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房屋建筑工程工程量清单编制说明</w:t>
      </w:r>
    </w:p>
    <w:p>
      <w:pPr>
        <w:spacing w:line="240" w:lineRule="auto"/>
        <w:jc w:val="left"/>
        <w:rPr>
          <w:rFonts w:hint="eastAsia" w:ascii="仿宋_GB2312" w:hAnsi="宋体" w:eastAsia="仿宋_GB2312"/>
          <w:sz w:val="24"/>
          <w:szCs w:val="24"/>
        </w:rPr>
      </w:pPr>
    </w:p>
    <w:p>
      <w:pPr>
        <w:spacing w:line="240" w:lineRule="auto"/>
        <w:jc w:val="left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工程名称（全称）：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>省立医院院史展览馆改造装修工程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</w:t>
      </w:r>
    </w:p>
    <w:p>
      <w:pPr>
        <w:spacing w:line="240" w:lineRule="auto"/>
        <w:jc w:val="left"/>
        <w:rPr>
          <w:rFonts w:hint="eastAsia" w:ascii="仿宋_GB2312" w:hAnsi="宋体" w:eastAsia="仿宋_GB2312"/>
          <w:sz w:val="24"/>
          <w:szCs w:val="24"/>
          <w:u w:val="single"/>
        </w:rPr>
      </w:pPr>
    </w:p>
    <w:tbl>
      <w:tblPr>
        <w:tblStyle w:val="2"/>
        <w:tblW w:w="0" w:type="auto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rPr>
          <w:trHeight w:val="1240" w:hRule="atLeast"/>
        </w:trPr>
        <w:tc>
          <w:tcPr>
            <w:tcW w:w="9292" w:type="dxa"/>
            <w:noWrap w:val="0"/>
            <w:vAlign w:val="top"/>
          </w:tcPr>
          <w:p>
            <w:pPr>
              <w:tabs>
                <w:tab w:val="left" w:pos="720"/>
              </w:tabs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一、工程概况</w:t>
            </w:r>
          </w:p>
          <w:p>
            <w:pPr>
              <w:spacing w:line="240" w:lineRule="auto"/>
              <w:ind w:firstLine="555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1.建设地点：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555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2.工程专业：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单独发包的装饰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874" w:leftChars="261" w:hanging="352" w:hangingChars="147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3.合同工期：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日历天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；工程质量等级：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合格工程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611" w:leftChars="259" w:hanging="93" w:hangingChars="39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4.招标范围：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包括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拆除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、装饰；具体详见招标人提供的施工图纸及工程量清单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；单独发包的专业工程：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无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874" w:leftChars="261" w:hanging="352" w:hangingChars="147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5.工程特征：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  <w:tab w:val="clear" w:pos="968"/>
              </w:tabs>
              <w:spacing w:line="240" w:lineRule="auto"/>
              <w:ind w:left="72" w:firstLine="47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建筑面积：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/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。 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  <w:tab w:val="clear" w:pos="968"/>
              </w:tabs>
              <w:spacing w:line="240" w:lineRule="auto"/>
              <w:ind w:left="0" w:firstLine="548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  <w:szCs w:val="24"/>
              </w:rPr>
              <w:t>层数：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/层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  <w:szCs w:val="24"/>
              </w:rPr>
              <w:t>檐口高度：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885"/>
                <w:tab w:val="clear" w:pos="968"/>
              </w:tabs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  <w:szCs w:val="24"/>
              </w:rPr>
              <w:t>结构质式：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885"/>
                <w:tab w:val="clear" w:pos="968"/>
              </w:tabs>
              <w:spacing w:line="240" w:lineRule="auto"/>
              <w:ind w:left="0" w:firstLine="548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24"/>
                <w:szCs w:val="24"/>
              </w:rPr>
              <w:t>基础类型：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885"/>
                <w:tab w:val="clear" w:pos="968"/>
              </w:tabs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装饰情况：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装饰板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墙面、天棚吊顶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修复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885"/>
                <w:tab w:val="clear" w:pos="968"/>
              </w:tabs>
              <w:spacing w:line="24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混凝土情况：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现场搅拌混凝土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tabs>
                <w:tab w:val="left" w:pos="720"/>
              </w:tabs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二、编制范围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按照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设计的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省立医院院史展览馆改造装修工程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图纸，专业范围包括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装饰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，具体如下：</w:t>
            </w:r>
          </w:p>
          <w:p>
            <w:pPr>
              <w:spacing w:line="240" w:lineRule="auto"/>
              <w:ind w:firstLine="600" w:firstLineChars="2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不含三通一平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>
            <w:pPr>
              <w:spacing w:line="240" w:lineRule="auto"/>
              <w:ind w:firstLine="600" w:firstLineChars="2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土建工程：砌筑工程、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装饰工程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等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600" w:firstLineChars="2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>安装工程：电气工程、给排水工程等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600" w:firstLineChars="2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三、编制依据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1.图纸：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highlight w:val="yellow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省立医院院史展览馆改造装修工程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图纸及有关设计文件。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2.招标文件：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编制的招标文件。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其中，招标文件中存在与现行计价规定不一致的内容：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3.地质勘察报告：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4.计价计量规范：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《建设工程工程量清单计价规范》（GB50500-2013）、《房屋建筑与装饰工程工程量计算规范》（GB50854-2013）福建省实施细则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5.预算定额：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《福建省房屋建筑与装饰工程预算定额》（FJYD-101-2017）、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eastAsia="zh-CN"/>
              </w:rPr>
              <w:t>《通用安装工程工程量计算规范》（GB50856-2013）福建省实施细则及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现行补充或调整文件（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截止至2022年1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6.费用定额：《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福建省建筑安装工程费用定额》（2017版）及现行补充调整文件（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截止至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2022年1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u w:val="single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。其中，暂列金额：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；专业工程暂估价：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；甲供材料费：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四、</w:t>
            </w:r>
            <w:bookmarkStart w:id="0" w:name="_Toc98212475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主要材料设备品牌明细表</w:t>
            </w:r>
          </w:p>
          <w:bookmarkEnd w:id="0"/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主要材料设备品牌明细表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7"/>
              <w:gridCol w:w="1457"/>
              <w:gridCol w:w="1072"/>
              <w:gridCol w:w="1062"/>
              <w:gridCol w:w="3152"/>
              <w:gridCol w:w="10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1" w:hRule="atLeast"/>
              </w:trPr>
              <w:tc>
                <w:tcPr>
                  <w:tcW w:w="676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01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材料设备名称</w:t>
                  </w:r>
                </w:p>
              </w:tc>
              <w:tc>
                <w:tcPr>
                  <w:tcW w:w="1089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规格、型号、技术参数</w:t>
                  </w:r>
                </w:p>
              </w:tc>
              <w:tc>
                <w:tcPr>
                  <w:tcW w:w="1089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质量等级</w:t>
                  </w:r>
                </w:p>
              </w:tc>
              <w:tc>
                <w:tcPr>
                  <w:tcW w:w="327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1089" w:type="dxa"/>
                  <w:vMerge w:val="restar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备  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7" w:hRule="atLeast"/>
              </w:trPr>
              <w:tc>
                <w:tcPr>
                  <w:tcW w:w="676" w:type="dxa"/>
                  <w:vMerge w:val="continue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01" w:type="dxa"/>
                  <w:vMerge w:val="continue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vMerge w:val="continue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vMerge w:val="continue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327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vMerge w:val="continue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676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01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272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676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01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3272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676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01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3272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主要材料设备品牌的内容应与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文件对工程主要材料设备的要求一致。</w:t>
            </w:r>
          </w:p>
          <w:p>
            <w:pPr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五、甲供材料一览表</w:t>
            </w:r>
          </w:p>
          <w:p>
            <w:pPr>
              <w:spacing w:line="24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甲供材料一览表</w:t>
            </w:r>
          </w:p>
          <w:tbl>
            <w:tblPr>
              <w:tblStyle w:val="2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8"/>
              <w:gridCol w:w="1488"/>
              <w:gridCol w:w="896"/>
              <w:gridCol w:w="1645"/>
              <w:gridCol w:w="1928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  <w:jc w:val="center"/>
              </w:trPr>
              <w:tc>
                <w:tcPr>
                  <w:tcW w:w="878" w:type="pct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78" w:type="pct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529" w:type="pct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971" w:type="pct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规格、型号</w:t>
                  </w:r>
                </w:p>
              </w:tc>
              <w:tc>
                <w:tcPr>
                  <w:tcW w:w="1138" w:type="pct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含税单价（元）</w:t>
                  </w:r>
                </w:p>
              </w:tc>
              <w:tc>
                <w:tcPr>
                  <w:tcW w:w="604" w:type="pct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878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529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71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8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604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  <w:jc w:val="center"/>
              </w:trPr>
              <w:tc>
                <w:tcPr>
                  <w:tcW w:w="878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529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71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8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604" w:type="pct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注：甲供材料一览表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的内容应与招标文件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发包人供应材料设备一览表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的要求一致。</w:t>
            </w:r>
          </w:p>
          <w:p>
            <w:pPr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六、投标报价注意事项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1.土方工程：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垃圾外运暂按25km，实际不同，按实调整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2.桩基工程：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3.混凝土模板及支架：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胶合板模板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4.脚手架：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5.施工排水、降水：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6.垂直运输：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7.大型机械设备进出场及安拆费：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；大型机械设备基础：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；大型机械设备检测：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8.基坑支护工程拆除：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9.材料二次搬运：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考虑电梯搬运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10.需要二次深化设计的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，按招标文件规定据实调整工程量和综合单价，其投标单价不得优惠。</w:t>
            </w:r>
          </w:p>
          <w:p>
            <w:pPr>
              <w:spacing w:line="240" w:lineRule="auto"/>
              <w:ind w:left="32" w:leftChars="16" w:firstLine="484" w:firstLineChars="20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11.其他：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七、本项目补充的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工程量清单</w:t>
            </w:r>
          </w:p>
          <w:tbl>
            <w:tblPr>
              <w:tblStyle w:val="2"/>
              <w:tblW w:w="0" w:type="auto"/>
              <w:tblInd w:w="17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9"/>
              <w:gridCol w:w="1079"/>
              <w:gridCol w:w="1098"/>
              <w:gridCol w:w="1640"/>
              <w:gridCol w:w="1070"/>
              <w:gridCol w:w="1364"/>
              <w:gridCol w:w="14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645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0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  <w:t>项目编码</w:t>
                  </w:r>
                </w:p>
              </w:tc>
              <w:tc>
                <w:tcPr>
                  <w:tcW w:w="112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68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  <w:t>项目特征</w:t>
                  </w:r>
                </w:p>
              </w:tc>
              <w:tc>
                <w:tcPr>
                  <w:tcW w:w="1091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  <w:t>计量单位</w:t>
                  </w:r>
                </w:p>
              </w:tc>
              <w:tc>
                <w:tcPr>
                  <w:tcW w:w="1395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  <w:t>工程量计算规则</w:t>
                  </w:r>
                </w:p>
              </w:tc>
              <w:tc>
                <w:tcPr>
                  <w:tcW w:w="144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645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645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645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91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noWrap w:val="0"/>
                  <w:vAlign w:val="top"/>
                </w:tcPr>
                <w:p>
                  <w:pPr>
                    <w:spacing w:line="240" w:lineRule="auto"/>
                    <w:rPr>
                      <w:rFonts w:hint="eastAsia" w:ascii="仿宋_GB2312" w:hAnsi="仿宋_GB2312" w:eastAsia="仿宋_GB2312" w:cs="仿宋_GB2312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ind w:firstLine="482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八、其他需要的说明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垃圾外运按25km考虑计入。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依据业主回复，吊顶内有走管及桥架，需要额外考虑吊顶拆除及修复，工程量暂按80m2计入，拆除石膏板吊顶饰面换新，面层满刮腻子两道，乳胶漆（一底两面）。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防火涂料按2遍考虑计入。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镂空浮雕造型，无具体尺寸，暂按2万元一个计入，实际不同按实调整。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根据设计回复，电气配线型号按WDZ-BYJ计取。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灯带引至原有回路配管配线暂按WDZ-BYJ-3*2.5mm2/JDG15，长度20m计取，实际不同时，结算按实际调整。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根据设计回复，弱电系统机柜内增加1个24口六类非屏蔽配线架（含模块）、1个金属理线器。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根据设计回复，弱电系统每台设备配置1个单口六类非屏蔽信息插座。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六类非屏蔽跳线按24条计取。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65寸交互智能一体机按8台计入本次清单，配管配线预留到位。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7DEDA"/>
    <w:multiLevelType w:val="singleLevel"/>
    <w:tmpl w:val="DDB7DE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NGFiY2ZkMWE1MDJiODcyYmFhMDQyNWM2MGE2NTcifQ=="/>
  </w:docVars>
  <w:rsids>
    <w:rsidRoot w:val="28A4293D"/>
    <w:rsid w:val="1188280F"/>
    <w:rsid w:val="26504B9E"/>
    <w:rsid w:val="28A4293D"/>
    <w:rsid w:val="34362EA1"/>
    <w:rsid w:val="38EC4858"/>
    <w:rsid w:val="3DDC458A"/>
    <w:rsid w:val="44C0504A"/>
    <w:rsid w:val="44E52620"/>
    <w:rsid w:val="4BA206E8"/>
    <w:rsid w:val="532F4F57"/>
    <w:rsid w:val="5CAE501B"/>
    <w:rsid w:val="5CB16562"/>
    <w:rsid w:val="6DEA7FA1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1546</Characters>
  <Lines>0</Lines>
  <Paragraphs>0</Paragraphs>
  <TotalTime>16</TotalTime>
  <ScaleCrop>false</ScaleCrop>
  <LinksUpToDate>false</LinksUpToDate>
  <CharactersWithSpaces>1936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2022-12-05T08:05:00Z</dcterms:created>
  <dc:creator>Administrator</dc:creator>
  <cp:lastModifiedBy>HT-吴明珠</cp:lastModifiedBy>
  <dcterms:modified xsi:type="dcterms:W3CDTF">2023-02-10T08:07:58Z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21CCB460E11D4080B01C5C4614AE594F</vt:lpwstr>
  </property>
</Properties>
</file>