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20" w:type="dxa"/>
        <w:tblInd w:w="0" w:type="dxa"/>
        <w:tblLayout w:type="fixed"/>
        <w:tblCellMar>
          <w:top w:w="0" w:type="dxa"/>
          <w:left w:w="28" w:type="dxa"/>
          <w:bottom w:w="0" w:type="dxa"/>
          <w:right w:w="28" w:type="dxa"/>
        </w:tblCellMar>
      </w:tblPr>
      <w:tblGrid>
        <w:gridCol w:w="6702"/>
        <w:gridCol w:w="2218"/>
      </w:tblGrid>
      <w:tr>
        <w:tblPrEx>
          <w:tblCellMar>
            <w:top w:w="0" w:type="dxa"/>
            <w:left w:w="28" w:type="dxa"/>
            <w:bottom w:w="0" w:type="dxa"/>
            <w:right w:w="28" w:type="dxa"/>
          </w:tblCellMar>
        </w:tblPrEx>
        <w:trPr>
          <w:trHeight w:val="483" w:hRule="exact"/>
        </w:trPr>
        <w:tc>
          <w:tcPr>
            <w:tcW w:w="8920" w:type="dxa"/>
            <w:gridSpan w:val="2"/>
            <w:vAlign w:val="center"/>
          </w:tcPr>
          <w:p>
            <w:pPr>
              <w:adjustRightInd w:val="0"/>
              <w:snapToGrid w:val="0"/>
              <w:spacing w:before="100" w:beforeAutospacing="1" w:after="100" w:afterAutospacing="1"/>
              <w:ind w:right="502" w:rightChars="157"/>
              <w:textAlignment w:val="bottom"/>
              <w:rPr>
                <w:rFonts w:hint="eastAsia" w:ascii="黑体" w:hAnsi="黑体" w:eastAsia="黑体"/>
                <w:sz w:val="32"/>
                <w:szCs w:val="36"/>
                <w:lang w:eastAsia="zh-CN"/>
              </w:rPr>
            </w:pPr>
            <w:bookmarkStart w:id="0" w:name="PO_fhj"/>
            <w:r>
              <w:rPr>
                <w:rFonts w:hint="eastAsia" w:ascii="黑体" w:hAnsi="黑体" w:eastAsia="黑体"/>
                <w:sz w:val="32"/>
                <w:szCs w:val="36"/>
                <w:lang w:eastAsia="zh-CN"/>
              </w:rPr>
              <w:t xml:space="preserve"> </w:t>
            </w:r>
            <w:bookmarkEnd w:id="0"/>
          </w:p>
          <w:p>
            <w:pPr>
              <w:adjustRightInd w:val="0"/>
              <w:snapToGrid w:val="0"/>
              <w:spacing w:before="100" w:beforeAutospacing="1" w:after="100" w:afterAutospacing="1"/>
              <w:ind w:right="502" w:rightChars="157"/>
              <w:textAlignment w:val="bottom"/>
              <w:rPr>
                <w:rFonts w:hint="eastAsia" w:ascii="黑体" w:hAnsi="黑体" w:eastAsia="黑体"/>
                <w:sz w:val="32"/>
                <w:szCs w:val="36"/>
              </w:rPr>
            </w:pPr>
          </w:p>
        </w:tc>
      </w:tr>
      <w:tr>
        <w:tblPrEx>
          <w:tblCellMar>
            <w:top w:w="0" w:type="dxa"/>
            <w:left w:w="28" w:type="dxa"/>
            <w:bottom w:w="0" w:type="dxa"/>
            <w:right w:w="28" w:type="dxa"/>
          </w:tblCellMar>
        </w:tblPrEx>
        <w:trPr>
          <w:trHeight w:val="1632" w:hRule="exact"/>
        </w:trPr>
        <w:tc>
          <w:tcPr>
            <w:tcW w:w="8920" w:type="dxa"/>
            <w:gridSpan w:val="2"/>
            <w:vAlign w:val="center"/>
          </w:tcPr>
          <w:p>
            <w:pPr>
              <w:adjustRightInd w:val="0"/>
              <w:snapToGrid w:val="0"/>
              <w:spacing w:before="100" w:beforeAutospacing="1" w:after="100" w:afterAutospacing="1"/>
              <w:ind w:right="502" w:rightChars="157"/>
              <w:textAlignment w:val="bottom"/>
              <w:rPr>
                <w:rFonts w:eastAsia="黑体"/>
                <w:sz w:val="32"/>
                <w:szCs w:val="32"/>
              </w:rPr>
            </w:pPr>
          </w:p>
        </w:tc>
      </w:tr>
      <w:tr>
        <w:tblPrEx>
          <w:tblCellMar>
            <w:top w:w="0" w:type="dxa"/>
            <w:left w:w="28" w:type="dxa"/>
            <w:bottom w:w="0" w:type="dxa"/>
            <w:right w:w="28" w:type="dxa"/>
          </w:tblCellMar>
        </w:tblPrEx>
        <w:trPr>
          <w:trHeight w:val="1560" w:hRule="atLeast"/>
        </w:trPr>
        <w:tc>
          <w:tcPr>
            <w:tcW w:w="6702" w:type="dxa"/>
            <w:vAlign w:val="center"/>
          </w:tcPr>
          <w:p>
            <w:pPr>
              <w:adjustRightInd w:val="0"/>
              <w:snapToGrid w:val="0"/>
              <w:spacing w:before="100" w:beforeAutospacing="1" w:after="100" w:afterAutospacing="1" w:line="1180" w:lineRule="exact"/>
              <w:jc w:val="distribute"/>
              <w:textAlignment w:val="bottom"/>
              <w:rPr>
                <w:rFonts w:hint="eastAsia" w:ascii="方正小标宋简体" w:eastAsia="方正小标宋简体"/>
                <w:b/>
                <w:bCs/>
                <w:color w:val="FF0000"/>
                <w:sz w:val="72"/>
                <w:szCs w:val="72"/>
                <w:lang w:eastAsia="zh-CN"/>
              </w:rPr>
            </w:pPr>
            <w:bookmarkStart w:id="1" w:name="PO_fhead1"/>
            <w:r>
              <w:rPr>
                <w:rFonts w:hint="eastAsia" w:ascii="方正小标宋简体" w:eastAsia="方正小标宋简体"/>
                <w:b/>
                <w:bCs/>
                <w:color w:val="FF0000"/>
                <w:sz w:val="72"/>
                <w:szCs w:val="72"/>
                <w:lang w:eastAsia="zh-CN"/>
              </w:rPr>
              <w:t>福建省科学技术厅</w:t>
            </w:r>
          </w:p>
          <w:p>
            <w:pPr>
              <w:adjustRightInd w:val="0"/>
              <w:snapToGrid w:val="0"/>
              <w:spacing w:before="100" w:beforeAutospacing="1" w:after="100" w:afterAutospacing="1" w:line="1180" w:lineRule="exact"/>
              <w:jc w:val="distribute"/>
              <w:textAlignment w:val="bottom"/>
              <w:rPr>
                <w:rFonts w:hint="eastAsia" w:ascii="方正小标宋简体" w:eastAsia="方正小标宋简体"/>
                <w:b/>
                <w:bCs/>
                <w:color w:val="FF0000"/>
                <w:sz w:val="84"/>
                <w:szCs w:val="84"/>
                <w:lang w:eastAsia="zh-CN"/>
              </w:rPr>
            </w:pPr>
            <w:r>
              <w:rPr>
                <w:rFonts w:hint="eastAsia" w:ascii="方正小标宋简体" w:eastAsia="方正小标宋简体"/>
                <w:b/>
                <w:bCs/>
                <w:color w:val="FF0000"/>
                <w:sz w:val="72"/>
                <w:szCs w:val="72"/>
                <w:lang w:eastAsia="zh-CN"/>
              </w:rPr>
              <w:t>福建省财政厅</w:t>
            </w:r>
            <w:bookmarkEnd w:id="1"/>
          </w:p>
        </w:tc>
        <w:tc>
          <w:tcPr>
            <w:tcW w:w="2218" w:type="dxa"/>
            <w:vAlign w:val="center"/>
          </w:tcPr>
          <w:p>
            <w:pPr>
              <w:adjustRightInd w:val="0"/>
              <w:snapToGrid w:val="0"/>
              <w:spacing w:before="100" w:beforeAutospacing="1" w:after="100" w:afterAutospacing="1"/>
              <w:jc w:val="center"/>
              <w:textAlignment w:val="bottom"/>
              <w:rPr>
                <w:rFonts w:ascii="方正小标宋简体" w:eastAsia="方正小标宋简体"/>
                <w:b/>
                <w:bCs/>
                <w:sz w:val="84"/>
                <w:szCs w:val="84"/>
              </w:rPr>
            </w:pPr>
            <w:bookmarkStart w:id="2" w:name="PO_fhead2"/>
            <w:r>
              <w:rPr>
                <w:rFonts w:hint="eastAsia" w:ascii="方正小标宋简体" w:eastAsia="方正小标宋简体" w:cs="宋体"/>
                <w:b/>
                <w:bCs/>
                <w:color w:val="FF0000"/>
                <w:spacing w:val="52"/>
                <w:sz w:val="84"/>
                <w:szCs w:val="84"/>
              </w:rPr>
              <w:t>文件</w:t>
            </w:r>
            <w:bookmarkEnd w:id="2"/>
          </w:p>
        </w:tc>
      </w:tr>
      <w:tr>
        <w:tblPrEx>
          <w:tblCellMar>
            <w:top w:w="0" w:type="dxa"/>
            <w:left w:w="28" w:type="dxa"/>
            <w:bottom w:w="0" w:type="dxa"/>
            <w:right w:w="28" w:type="dxa"/>
          </w:tblCellMar>
        </w:tblPrEx>
        <w:trPr>
          <w:trHeight w:val="931" w:hRule="exact"/>
        </w:trPr>
        <w:tc>
          <w:tcPr>
            <w:tcW w:w="8920" w:type="dxa"/>
            <w:gridSpan w:val="2"/>
            <w:vAlign w:val="bottom"/>
          </w:tcPr>
          <w:p>
            <w:pPr>
              <w:adjustRightInd w:val="0"/>
              <w:snapToGrid w:val="0"/>
              <w:spacing w:before="120" w:line="318" w:lineRule="atLeast"/>
              <w:ind w:right="339" w:firstLine="256" w:firstLineChars="80"/>
              <w:jc w:val="center"/>
              <w:textAlignment w:val="bottom"/>
              <w:rPr>
                <w:rFonts w:hint="eastAsia" w:ascii="仿宋" w:hAnsi="仿宋" w:eastAsia="仿宋"/>
                <w:lang w:val="en-US" w:eastAsia="zh-CN"/>
              </w:rPr>
            </w:pPr>
            <w:bookmarkStart w:id="3" w:name="PO_fwh"/>
            <w:r>
              <w:rPr>
                <w:rFonts w:hint="eastAsia" w:ascii="仿宋" w:hAnsi="仿宋" w:eastAsia="仿宋" w:cs="仿宋"/>
                <w:sz w:val="32"/>
                <w:szCs w:val="36"/>
                <w:lang w:eastAsia="zh-CN"/>
              </w:rPr>
              <w:t xml:space="preserve"> </w:t>
            </w:r>
            <w:bookmarkEnd w:id="3"/>
            <w:r>
              <w:rPr>
                <w:rFonts w:hint="eastAsia" w:ascii="仿宋" w:hAnsi="仿宋" w:eastAsia="仿宋" w:cs="仿宋"/>
                <w:sz w:val="32"/>
                <w:szCs w:val="36"/>
                <w:lang w:eastAsia="zh-CN"/>
              </w:rPr>
              <w:t>闽科规〔</w:t>
            </w:r>
            <w:r>
              <w:rPr>
                <w:rFonts w:hint="eastAsia" w:ascii="仿宋" w:hAnsi="仿宋" w:eastAsia="仿宋" w:cs="仿宋"/>
                <w:sz w:val="32"/>
                <w:szCs w:val="36"/>
                <w:lang w:val="en-US" w:eastAsia="zh-CN"/>
              </w:rPr>
              <w:t>2022</w:t>
            </w:r>
            <w:r>
              <w:rPr>
                <w:rFonts w:hint="eastAsia" w:ascii="仿宋" w:hAnsi="仿宋" w:eastAsia="仿宋" w:cs="仿宋"/>
                <w:sz w:val="32"/>
                <w:szCs w:val="36"/>
                <w:lang w:eastAsia="zh-CN"/>
              </w:rPr>
              <w:t>〕</w:t>
            </w:r>
            <w:r>
              <w:rPr>
                <w:rFonts w:hint="eastAsia" w:ascii="仿宋" w:hAnsi="仿宋" w:eastAsia="仿宋" w:cs="仿宋"/>
                <w:sz w:val="32"/>
                <w:szCs w:val="36"/>
                <w:lang w:val="en-US" w:eastAsia="zh-CN"/>
              </w:rPr>
              <w:t>8号</w:t>
            </w:r>
          </w:p>
        </w:tc>
      </w:tr>
      <w:tr>
        <w:tblPrEx>
          <w:tblCellMar>
            <w:top w:w="0" w:type="dxa"/>
            <w:left w:w="28" w:type="dxa"/>
            <w:bottom w:w="0" w:type="dxa"/>
            <w:right w:w="28" w:type="dxa"/>
          </w:tblCellMar>
        </w:tblPrEx>
        <w:trPr>
          <w:trHeight w:val="92" w:hRule="exact"/>
        </w:trPr>
        <w:tc>
          <w:tcPr>
            <w:tcW w:w="8920" w:type="dxa"/>
            <w:gridSpan w:val="2"/>
            <w:vAlign w:val="top"/>
          </w:tcPr>
          <w:p>
            <w:pPr>
              <w:adjustRightInd w:val="0"/>
              <w:snapToGrid w:val="0"/>
              <w:spacing w:line="240" w:lineRule="exact"/>
              <w:jc w:val="center"/>
              <w:rPr>
                <w:rFonts w:ascii="仿宋" w:hAnsi="仿宋" w:cs="宋体"/>
                <w:sz w:val="10"/>
                <w:szCs w:val="10"/>
              </w:rPr>
            </w:pPr>
            <w:bookmarkStart w:id="4" w:name="PO_fline"/>
            <w:r>
              <w:rPr>
                <w:rFonts w:ascii="仿宋" w:hAnsi="仿宋" w:cs="宋体"/>
                <w:sz w:val="10"/>
                <w:szCs w:val="10"/>
              </w:rPr>
              <w:pict>
                <v:line id="_x0000_s1026" o:spid="_x0000_s1026" o:spt="20" style="position:absolute;left:0pt;margin-top:5.65pt;height:0pt;width:441.05pt;mso-position-horizontal:center;mso-wrap-distance-left:9pt;mso-wrap-distance-right:9pt;z-index:-251657216;mso-width-relative:page;mso-height-relative:page;" filled="f" stroked="t" coordsize="21600,21600" wrapcoords="0 0 21600 0 0 0">
                  <v:path arrowok="t"/>
                  <v:fill on="f" focussize="0,0"/>
                  <v:stroke weight="3pt" color="#FF0000"/>
                  <v:imagedata o:title=""/>
                  <o:lock v:ext="edit"/>
                  <w10:wrap type="tight"/>
                </v:line>
              </w:pict>
            </w:r>
            <w:bookmarkEnd w:id="4"/>
          </w:p>
        </w:tc>
      </w:tr>
    </w:tbl>
    <w:p>
      <w:pPr>
        <w:rPr>
          <w:rFonts w:hint="eastAsia" w:ascii="仿宋" w:hAnsi="仿宋" w:eastAsia="仿宋"/>
          <w:sz w:val="32"/>
          <w:szCs w:val="32"/>
        </w:rPr>
      </w:pPr>
    </w:p>
    <w:p>
      <w:pPr>
        <w:snapToGrid w:val="0"/>
        <w:jc w:val="center"/>
        <w:rPr>
          <w:rFonts w:hint="eastAsia" w:ascii="方正小标宋简体" w:hAnsi="仿宋" w:eastAsia="方正小标宋简体"/>
          <w:sz w:val="44"/>
          <w:szCs w:val="44"/>
          <w:lang w:eastAsia="zh-CN"/>
        </w:rPr>
      </w:pPr>
      <w:bookmarkStart w:id="5" w:name="PO_fbt"/>
      <w:r>
        <w:rPr>
          <w:rFonts w:hint="eastAsia" w:ascii="方正小标宋简体" w:hAnsi="仿宋" w:eastAsia="方正小标宋简体"/>
          <w:sz w:val="44"/>
          <w:szCs w:val="44"/>
          <w:lang w:eastAsia="zh-CN"/>
        </w:rPr>
        <w:t>福建省科学技术厅</w:t>
      </w:r>
      <w:r>
        <w:rPr>
          <w:rFonts w:hint="default" w:ascii="方正小标宋简体" w:hAnsi="仿宋" w:eastAsia="方正小标宋简体"/>
          <w:sz w:val="44"/>
          <w:szCs w:val="44"/>
          <w:lang w:val="en" w:eastAsia="zh-CN"/>
        </w:rPr>
        <w:t xml:space="preserve"> </w:t>
      </w:r>
      <w:r>
        <w:rPr>
          <w:rFonts w:hint="eastAsia" w:ascii="方正小标宋简体" w:hAnsi="仿宋" w:eastAsia="方正小标宋简体"/>
          <w:sz w:val="44"/>
          <w:szCs w:val="44"/>
          <w:lang w:eastAsia="zh-CN"/>
        </w:rPr>
        <w:t>福建省财政厅关于</w:t>
      </w:r>
    </w:p>
    <w:p>
      <w:pPr>
        <w:snapToGrid w:val="0"/>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印发《</w:t>
      </w:r>
      <w:bookmarkStart w:id="15" w:name="_GoBack"/>
      <w:r>
        <w:rPr>
          <w:rFonts w:hint="eastAsia" w:ascii="方正小标宋简体" w:hAnsi="仿宋" w:eastAsia="方正小标宋简体"/>
          <w:sz w:val="44"/>
          <w:szCs w:val="44"/>
          <w:lang w:eastAsia="zh-CN"/>
        </w:rPr>
        <w:t>福建省级科技计划项目经费</w:t>
      </w:r>
    </w:p>
    <w:p>
      <w:pPr>
        <w:snapToGrid w:val="0"/>
        <w:jc w:val="center"/>
        <w:rPr>
          <w:rFonts w:hint="eastAsia" w:ascii="宋体" w:hAnsi="宋体" w:eastAsia="方正小标宋简体" w:cs="宋体"/>
          <w:sz w:val="44"/>
          <w:szCs w:val="44"/>
          <w:lang w:eastAsia="zh-CN"/>
        </w:rPr>
      </w:pPr>
      <w:r>
        <w:rPr>
          <w:rFonts w:hint="eastAsia" w:ascii="方正小标宋简体" w:hAnsi="仿宋" w:eastAsia="方正小标宋简体"/>
          <w:sz w:val="44"/>
          <w:szCs w:val="44"/>
          <w:lang w:eastAsia="zh-CN"/>
        </w:rPr>
        <w:t>管理办法</w:t>
      </w:r>
      <w:bookmarkEnd w:id="15"/>
      <w:r>
        <w:rPr>
          <w:rFonts w:hint="eastAsia" w:ascii="方正小标宋简体" w:hAnsi="仿宋" w:eastAsia="方正小标宋简体"/>
          <w:sz w:val="44"/>
          <w:szCs w:val="44"/>
          <w:lang w:eastAsia="zh-CN"/>
        </w:rPr>
        <w:t>》的通知</w:t>
      </w:r>
      <w:bookmarkEnd w:id="5"/>
    </w:p>
    <w:p>
      <w:pPr>
        <w:rPr>
          <w:rFonts w:hint="eastAsia" w:ascii="仿宋" w:hAnsi="仿宋" w:eastAsia="仿宋"/>
          <w:sz w:val="32"/>
          <w:szCs w:val="36"/>
        </w:rPr>
      </w:pPr>
    </w:p>
    <w:p>
      <w:pPr>
        <w:jc w:val="left"/>
      </w:pPr>
      <w:bookmarkStart w:id="6" w:name="PO_fzs"/>
      <w:r>
        <w:rPr>
          <w:rFonts w:hint="eastAsia" w:ascii="仿宋" w:hAnsi="仿宋" w:eastAsia="仿宋"/>
          <w:sz w:val="32"/>
          <w:szCs w:val="36"/>
          <w:lang w:eastAsia="zh-CN"/>
        </w:rPr>
        <w:t>各设区市科技局、财政局，平潭综合实验区经济发展局、财政金融局，省政府有关部门、有关直属机构，各大企业，各高等院校：</w:t>
      </w:r>
      <w:bookmarkEnd w:id="6"/>
    </w:p>
    <w:p>
      <w:pPr>
        <w:ind w:firstLine="640" w:firstLineChars="200"/>
        <w:contextualSpacing/>
        <w:rPr>
          <w:rFonts w:hint="eastAsia" w:ascii="仿宋" w:hAnsi="仿宋" w:eastAsia="仿宋"/>
          <w:sz w:val="32"/>
          <w:szCs w:val="32"/>
        </w:rPr>
      </w:pPr>
      <w:bookmarkStart w:id="7" w:name="PO_zw"/>
      <w:bookmarkEnd w:id="7"/>
      <w:r>
        <w:rPr>
          <w:rFonts w:hint="eastAsia" w:ascii="仿宋" w:hAnsi="仿宋" w:eastAsia="仿宋"/>
          <w:sz w:val="32"/>
          <w:szCs w:val="32"/>
        </w:rPr>
        <w:t>为规范省级科技计划项目经费管理，提高资金使用效益，根据《国务院关于优化科研管理提升科研绩效若干措施的通知》（国发〔2018〕25号）</w:t>
      </w:r>
      <w:r>
        <w:rPr>
          <w:rFonts w:hint="eastAsia" w:ascii="仿宋" w:hAnsi="仿宋" w:eastAsia="仿宋"/>
          <w:sz w:val="32"/>
          <w:szCs w:val="32"/>
          <w:lang w:eastAsia="zh-CN"/>
        </w:rPr>
        <w:t>、</w:t>
      </w:r>
      <w:r>
        <w:rPr>
          <w:rFonts w:hint="eastAsia" w:ascii="仿宋" w:hAnsi="仿宋" w:eastAsia="仿宋"/>
          <w:sz w:val="32"/>
          <w:szCs w:val="32"/>
        </w:rPr>
        <w:t>《国务院办公厅关于改革完善中央财政科研经费管理的若干意见》（国办发〔2021〕32号）</w:t>
      </w:r>
      <w:r>
        <w:rPr>
          <w:rFonts w:hint="eastAsia" w:ascii="仿宋" w:hAnsi="仿宋" w:eastAsia="仿宋"/>
          <w:sz w:val="32"/>
          <w:szCs w:val="32"/>
          <w:lang w:eastAsia="zh-CN"/>
        </w:rPr>
        <w:t>和</w:t>
      </w:r>
      <w:r>
        <w:rPr>
          <w:rFonts w:hint="eastAsia" w:ascii="仿宋" w:hAnsi="仿宋" w:eastAsia="仿宋"/>
          <w:sz w:val="32"/>
          <w:szCs w:val="32"/>
        </w:rPr>
        <w:t>《中共福建省委办公厅 福建省人民政府办公厅印发&lt;关于深化项目评审、人才评价、机构评估改革的实施意见&gt;的通知》（闽委办发〔2018〕30号）等文件精神，结合我省实际，省科技厅和省财政厅修订了《福建省级科技计划项目经费管理办法》，现印发给你们，请遵照执行。</w:t>
      </w:r>
    </w:p>
    <w:p>
      <w:pPr>
        <w:rPr>
          <w:rFonts w:hint="eastAsia" w:ascii="仿宋" w:hAnsi="仿宋" w:eastAsia="仿宋" w:cs="仿宋"/>
          <w:color w:val="000000"/>
          <w:sz w:val="32"/>
          <w:szCs w:val="32"/>
        </w:rPr>
      </w:pPr>
    </w:p>
    <w:tbl>
      <w:tblPr>
        <w:tblStyle w:val="4"/>
        <w:tblW w:w="9061" w:type="dxa"/>
        <w:tblInd w:w="0" w:type="dxa"/>
        <w:tblLayout w:type="fixed"/>
        <w:tblCellMar>
          <w:top w:w="0" w:type="dxa"/>
          <w:left w:w="108" w:type="dxa"/>
          <w:bottom w:w="0" w:type="dxa"/>
          <w:right w:w="108" w:type="dxa"/>
        </w:tblCellMar>
      </w:tblPr>
      <w:tblGrid>
        <w:gridCol w:w="4530"/>
        <w:gridCol w:w="4531"/>
      </w:tblGrid>
      <w:tr>
        <w:tblPrEx>
          <w:tblCellMar>
            <w:top w:w="0" w:type="dxa"/>
            <w:left w:w="108" w:type="dxa"/>
            <w:bottom w:w="0" w:type="dxa"/>
            <w:right w:w="108" w:type="dxa"/>
          </w:tblCellMar>
        </w:tblPrEx>
        <w:trPr>
          <w:trHeight w:val="624" w:hRule="atLeast"/>
        </w:trPr>
        <w:tc>
          <w:tcPr>
            <w:tcW w:w="4530" w:type="dxa"/>
            <w:vAlign w:val="center"/>
          </w:tcPr>
          <w:p>
            <w:pPr>
              <w:spacing w:line="560" w:lineRule="exact"/>
              <w:jc w:val="center"/>
              <w:rPr>
                <w:rFonts w:hint="eastAsia" w:ascii="仿宋" w:hAnsi="仿宋" w:eastAsia="仿宋" w:cs="仿宋"/>
                <w:color w:val="000000"/>
                <w:sz w:val="32"/>
                <w:szCs w:val="32"/>
              </w:rPr>
            </w:pPr>
          </w:p>
          <w:p>
            <w:pPr>
              <w:spacing w:line="560" w:lineRule="exact"/>
              <w:jc w:val="center"/>
              <w:rPr>
                <w:rFonts w:hint="eastAsia" w:ascii="仿宋" w:hAnsi="仿宋" w:eastAsia="仿宋" w:cs="仿宋"/>
                <w:color w:val="000000"/>
                <w:sz w:val="32"/>
                <w:szCs w:val="32"/>
              </w:rPr>
            </w:pPr>
          </w:p>
          <w:p>
            <w:pPr>
              <w:spacing w:line="560" w:lineRule="exact"/>
              <w:jc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福建省科学技术厅</w:t>
            </w:r>
          </w:p>
        </w:tc>
        <w:tc>
          <w:tcPr>
            <w:tcW w:w="4531" w:type="dxa"/>
            <w:vAlign w:val="center"/>
          </w:tcPr>
          <w:p>
            <w:pPr>
              <w:spacing w:line="560" w:lineRule="exact"/>
              <w:jc w:val="center"/>
              <w:rPr>
                <w:rFonts w:hint="eastAsia" w:ascii="仿宋" w:hAnsi="仿宋" w:eastAsia="仿宋" w:cs="仿宋"/>
                <w:color w:val="000000"/>
                <w:sz w:val="32"/>
                <w:szCs w:val="32"/>
              </w:rPr>
            </w:pPr>
          </w:p>
          <w:p>
            <w:pPr>
              <w:spacing w:line="560" w:lineRule="exact"/>
              <w:jc w:val="center"/>
              <w:rPr>
                <w:rFonts w:hint="eastAsia" w:ascii="仿宋" w:hAnsi="仿宋" w:eastAsia="仿宋" w:cs="仿宋"/>
                <w:color w:val="000000"/>
                <w:sz w:val="32"/>
                <w:szCs w:val="32"/>
              </w:rPr>
            </w:pPr>
          </w:p>
          <w:p>
            <w:pPr>
              <w:spacing w:line="560" w:lineRule="exact"/>
              <w:jc w:val="center"/>
              <w:rPr>
                <w:rFonts w:hint="eastAsia" w:ascii="仿宋" w:hAnsi="仿宋" w:eastAsia="仿宋" w:cs="仿宋"/>
                <w:color w:val="000000"/>
                <w:sz w:val="32"/>
                <w:szCs w:val="32"/>
              </w:rPr>
            </w:pPr>
            <w:bookmarkStart w:id="8" w:name="PO_fsm2"/>
            <w:r>
              <w:rPr>
                <w:rFonts w:hint="eastAsia" w:ascii="仿宋" w:hAnsi="仿宋" w:eastAsia="仿宋" w:cs="仿宋"/>
                <w:color w:val="000000"/>
                <w:sz w:val="32"/>
                <w:szCs w:val="32"/>
                <w:lang w:eastAsia="zh-CN"/>
              </w:rPr>
              <w:t>福建省财政厅</w:t>
            </w:r>
            <w:bookmarkEnd w:id="8"/>
          </w:p>
        </w:tc>
      </w:tr>
      <w:tr>
        <w:tblPrEx>
          <w:tblCellMar>
            <w:top w:w="0" w:type="dxa"/>
            <w:left w:w="108" w:type="dxa"/>
            <w:bottom w:w="0" w:type="dxa"/>
            <w:right w:w="108" w:type="dxa"/>
          </w:tblCellMar>
        </w:tblPrEx>
        <w:trPr>
          <w:trHeight w:val="308" w:hRule="atLeast"/>
        </w:trPr>
        <w:tc>
          <w:tcPr>
            <w:tcW w:w="9061" w:type="dxa"/>
            <w:gridSpan w:val="2"/>
            <w:vAlign w:val="bottom"/>
          </w:tcPr>
          <w:p>
            <w:pPr>
              <w:keepNext w:val="0"/>
              <w:keepLines w:val="0"/>
              <w:pageBreakBefore w:val="0"/>
              <w:widowControl w:val="0"/>
              <w:kinsoku/>
              <w:wordWrap w:val="0"/>
              <w:overflowPunct/>
              <w:topLinePunct w:val="0"/>
              <w:autoSpaceDE/>
              <w:autoSpaceDN/>
              <w:bidi w:val="0"/>
              <w:adjustRightInd/>
              <w:snapToGrid/>
              <w:spacing w:line="560" w:lineRule="exact"/>
              <w:ind w:right="0" w:rightChars="0"/>
              <w:jc w:val="right"/>
              <w:textAlignment w:val="auto"/>
              <w:rPr>
                <w:rFonts w:hint="default" w:ascii="仿宋" w:hAnsi="仿宋" w:eastAsia="仿宋" w:cs="仿宋"/>
                <w:color w:val="000000"/>
                <w:sz w:val="32"/>
                <w:szCs w:val="32"/>
                <w:lang w:val="en-US"/>
              </w:rPr>
            </w:pPr>
            <w:bookmarkStart w:id="9" w:name="PO_fqfrq"/>
            <w:r>
              <w:rPr>
                <w:rFonts w:hint="eastAsia" w:ascii="仿宋" w:hAnsi="仿宋" w:eastAsia="仿宋" w:cs="仿宋"/>
                <w:color w:val="000000"/>
                <w:sz w:val="32"/>
                <w:szCs w:val="32"/>
                <w:lang w:val="en-US" w:eastAsia="zh-CN"/>
              </w:rPr>
              <w:t>2022年7月26日</w:t>
            </w:r>
            <w:bookmarkEnd w:id="9"/>
            <w:r>
              <w:rPr>
                <w:rFonts w:hint="eastAsia" w:ascii="仿宋" w:hAnsi="仿宋" w:eastAsia="仿宋" w:cs="仿宋"/>
                <w:color w:val="000000"/>
                <w:sz w:val="32"/>
                <w:szCs w:val="32"/>
                <w:lang w:val="en-US" w:eastAsia="zh-CN"/>
              </w:rPr>
              <w:t xml:space="preserve">       </w:t>
            </w:r>
          </w:p>
        </w:tc>
      </w:tr>
    </w:tbl>
    <w:p>
      <w:pPr>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w:t>
      </w:r>
      <w:bookmarkStart w:id="10" w:name="PO_ffz"/>
      <w:r>
        <w:rPr>
          <w:rFonts w:hint="eastAsia" w:ascii="仿宋" w:hAnsi="仿宋" w:eastAsia="仿宋" w:cs="仿宋"/>
          <w:color w:val="000000"/>
          <w:sz w:val="32"/>
          <w:szCs w:val="32"/>
          <w:lang w:eastAsia="zh-CN"/>
        </w:rPr>
        <w:t xml:space="preserve"> </w:t>
      </w:r>
      <w:bookmarkEnd w:id="10"/>
    </w:p>
    <w:tbl>
      <w:tblPr>
        <w:tblStyle w:val="4"/>
        <w:tblpPr w:leftFromText="180" w:rightFromText="180" w:horzAnchor="margin" w:tblpXSpec="center" w:tblpYSpec="bottom"/>
        <w:tblOverlap w:val="never"/>
        <w:tblW w:w="8643" w:type="dxa"/>
        <w:tblInd w:w="0" w:type="dxa"/>
        <w:tblLayout w:type="fixed"/>
        <w:tblCellMar>
          <w:top w:w="0" w:type="dxa"/>
          <w:left w:w="0" w:type="dxa"/>
          <w:bottom w:w="0" w:type="dxa"/>
          <w:right w:w="0" w:type="dxa"/>
        </w:tblCellMar>
      </w:tblPr>
      <w:tblGrid>
        <w:gridCol w:w="4220"/>
        <w:gridCol w:w="4423"/>
      </w:tblGrid>
      <w:tr>
        <w:tblPrEx>
          <w:tblCellMar>
            <w:top w:w="0" w:type="dxa"/>
            <w:left w:w="0" w:type="dxa"/>
            <w:bottom w:w="0" w:type="dxa"/>
            <w:right w:w="0" w:type="dxa"/>
          </w:tblCellMar>
        </w:tblPrEx>
        <w:trPr>
          <w:trHeight w:val="567" w:hRule="atLeast"/>
        </w:trPr>
        <w:tc>
          <w:tcPr>
            <w:tcW w:w="8643" w:type="dxa"/>
            <w:gridSpan w:val="2"/>
            <w:tcBorders>
              <w:top w:val="nil"/>
              <w:left w:val="nil"/>
              <w:bottom w:val="single" w:color="auto" w:sz="12" w:space="0"/>
              <w:right w:val="nil"/>
            </w:tcBorders>
            <w:vAlign w:val="center"/>
          </w:tcPr>
          <w:p>
            <w:pPr>
              <w:spacing w:after="100" w:afterAutospacing="1" w:line="460" w:lineRule="exact"/>
              <w:ind w:right="208" w:rightChars="65" w:firstLine="280" w:firstLineChars="100"/>
              <w:textAlignment w:val="bottom"/>
              <w:rPr>
                <w:rFonts w:hint="default" w:ascii="仿宋" w:hAnsi="仿宋" w:eastAsia="仿宋" w:cs="仿宋_GB2312"/>
                <w:color w:val="000000"/>
                <w:sz w:val="28"/>
                <w:szCs w:val="28"/>
                <w:lang w:val="en" w:eastAsia="zh-CN"/>
              </w:rPr>
            </w:pPr>
            <w:r>
              <w:rPr>
                <w:rFonts w:hint="eastAsia" w:ascii="仿宋" w:hAnsi="仿宋" w:eastAsia="仿宋" w:cs="仿宋_GB2312"/>
                <w:color w:val="000000"/>
                <w:sz w:val="28"/>
                <w:szCs w:val="28"/>
              </w:rPr>
              <w:t>信息公开类型：</w:t>
            </w:r>
            <w:r>
              <w:rPr>
                <w:rFonts w:hint="eastAsia" w:ascii="仿宋" w:hAnsi="仿宋" w:eastAsia="仿宋" w:cs="仿宋_GB2312"/>
                <w:color w:val="000000"/>
                <w:sz w:val="28"/>
                <w:szCs w:val="28"/>
                <w:lang w:val="en-US" w:eastAsia="zh-CN"/>
              </w:rPr>
              <w:t>主动公开</w:t>
            </w:r>
          </w:p>
        </w:tc>
      </w:tr>
      <w:tr>
        <w:tblPrEx>
          <w:tblCellMar>
            <w:top w:w="0" w:type="dxa"/>
            <w:left w:w="0" w:type="dxa"/>
            <w:bottom w:w="0" w:type="dxa"/>
            <w:right w:w="0" w:type="dxa"/>
          </w:tblCellMar>
        </w:tblPrEx>
        <w:trPr>
          <w:trHeight w:val="510" w:hRule="atLeast"/>
        </w:trPr>
        <w:tc>
          <w:tcPr>
            <w:tcW w:w="4220" w:type="dxa"/>
            <w:tcBorders>
              <w:top w:val="single" w:color="auto" w:sz="8" w:space="0"/>
              <w:left w:val="nil"/>
              <w:bottom w:val="single" w:color="auto" w:sz="12" w:space="0"/>
              <w:right w:val="nil"/>
            </w:tcBorders>
            <w:vAlign w:val="center"/>
          </w:tcPr>
          <w:p>
            <w:pPr>
              <w:spacing w:after="100" w:line="460" w:lineRule="exact"/>
              <w:ind w:right="208" w:rightChars="65" w:firstLine="280" w:firstLineChars="100"/>
              <w:rPr>
                <w:rFonts w:ascii="仿宋" w:hAnsi="仿宋" w:eastAsia="仿宋"/>
                <w:color w:val="000000"/>
                <w:sz w:val="28"/>
                <w:szCs w:val="32"/>
              </w:rPr>
            </w:pPr>
            <w:r>
              <w:rPr>
                <w:rFonts w:hint="eastAsia" w:ascii="仿宋" w:hAnsi="仿宋" w:eastAsia="仿宋" w:cs="仿宋_GB2312"/>
                <w:color w:val="000000"/>
                <w:sz w:val="28"/>
                <w:szCs w:val="32"/>
              </w:rPr>
              <w:t>福建省</w:t>
            </w:r>
            <w:r>
              <w:rPr>
                <w:rFonts w:hint="eastAsia" w:ascii="仿宋" w:hAnsi="仿宋" w:eastAsia="仿宋" w:cs="仿宋_GB2312"/>
                <w:color w:val="000000"/>
                <w:sz w:val="28"/>
                <w:szCs w:val="32"/>
                <w:lang w:eastAsia="zh-CN"/>
              </w:rPr>
              <w:t>科学技术</w:t>
            </w:r>
            <w:r>
              <w:rPr>
                <w:rFonts w:hint="eastAsia" w:ascii="仿宋" w:hAnsi="仿宋" w:eastAsia="仿宋" w:cs="仿宋_GB2312"/>
                <w:color w:val="000000"/>
                <w:sz w:val="28"/>
                <w:szCs w:val="32"/>
              </w:rPr>
              <w:t>厅办公室</w:t>
            </w:r>
          </w:p>
        </w:tc>
        <w:tc>
          <w:tcPr>
            <w:tcW w:w="4423" w:type="dxa"/>
            <w:tcBorders>
              <w:top w:val="single" w:color="auto" w:sz="8" w:space="0"/>
              <w:left w:val="nil"/>
              <w:bottom w:val="single" w:color="auto" w:sz="12" w:space="0"/>
              <w:right w:val="nil"/>
            </w:tcBorders>
            <w:vAlign w:val="center"/>
          </w:tcPr>
          <w:p>
            <w:pPr>
              <w:wordWrap w:val="0"/>
              <w:spacing w:after="100" w:afterAutospacing="1" w:line="460" w:lineRule="exact"/>
              <w:ind w:right="208" w:rightChars="65" w:firstLine="1120" w:firstLineChars="400"/>
              <w:jc w:val="both"/>
              <w:textAlignment w:val="bottom"/>
              <w:rPr>
                <w:rFonts w:ascii="仿宋_GB2312" w:eastAsia="仿宋_GB2312"/>
                <w:color w:val="000000"/>
                <w:sz w:val="32"/>
                <w:szCs w:val="32"/>
              </w:rPr>
            </w:pPr>
            <w:bookmarkStart w:id="11" w:name="PO_fyfrq"/>
            <w:r>
              <w:rPr>
                <w:rFonts w:hint="eastAsia" w:ascii="仿宋" w:hAnsi="仿宋" w:eastAsia="仿宋" w:cs="仿宋_GB2312"/>
                <w:color w:val="000000"/>
                <w:sz w:val="28"/>
                <w:szCs w:val="32"/>
                <w:lang w:eastAsia="zh-CN"/>
              </w:rPr>
              <w:t>2022年</w:t>
            </w:r>
            <w:r>
              <w:rPr>
                <w:rFonts w:hint="eastAsia" w:ascii="仿宋" w:hAnsi="仿宋" w:eastAsia="仿宋" w:cs="仿宋_GB2312"/>
                <w:color w:val="000000"/>
                <w:sz w:val="28"/>
                <w:szCs w:val="32"/>
                <w:lang w:val="en-US" w:eastAsia="zh-CN"/>
              </w:rPr>
              <w:t>7</w:t>
            </w:r>
            <w:r>
              <w:rPr>
                <w:rFonts w:hint="eastAsia" w:ascii="仿宋" w:hAnsi="仿宋" w:eastAsia="仿宋" w:cs="仿宋_GB2312"/>
                <w:color w:val="000000"/>
                <w:sz w:val="28"/>
                <w:szCs w:val="32"/>
                <w:lang w:eastAsia="zh-CN"/>
              </w:rPr>
              <w:t>月</w:t>
            </w:r>
            <w:r>
              <w:rPr>
                <w:rFonts w:hint="eastAsia" w:ascii="仿宋" w:hAnsi="仿宋" w:eastAsia="仿宋" w:cs="仿宋_GB2312"/>
                <w:color w:val="000000"/>
                <w:sz w:val="28"/>
                <w:szCs w:val="32"/>
                <w:lang w:val="en-US" w:eastAsia="zh-CN"/>
              </w:rPr>
              <w:t>26</w:t>
            </w:r>
            <w:r>
              <w:rPr>
                <w:rFonts w:hint="eastAsia" w:ascii="仿宋" w:hAnsi="仿宋" w:eastAsia="仿宋" w:cs="仿宋_GB2312"/>
                <w:color w:val="000000"/>
                <w:sz w:val="28"/>
                <w:szCs w:val="32"/>
                <w:lang w:eastAsia="zh-CN"/>
              </w:rPr>
              <w:t>日</w:t>
            </w:r>
            <w:bookmarkEnd w:id="11"/>
            <w:r>
              <w:rPr>
                <w:rFonts w:hint="eastAsia" w:ascii="仿宋" w:hAnsi="仿宋" w:eastAsia="仿宋" w:cs="仿宋_GB2312"/>
                <w:color w:val="000000"/>
                <w:sz w:val="28"/>
                <w:szCs w:val="32"/>
              </w:rPr>
              <w:t>印发</w:t>
            </w:r>
            <w:r>
              <w:rPr>
                <w:rFonts w:hint="eastAsia" w:ascii="仿宋_GB2312" w:eastAsia="仿宋_GB2312" w:cs="仿宋_GB2312"/>
                <w:color w:val="000000"/>
                <w:sz w:val="32"/>
                <w:szCs w:val="32"/>
              </w:rPr>
              <w:t xml:space="preserve">  </w:t>
            </w:r>
          </w:p>
        </w:tc>
      </w:tr>
    </w:tbl>
    <w:p>
      <w:pPr>
        <w:rPr>
          <w:rFonts w:hint="eastAsia" w:ascii="仿宋" w:hAnsi="仿宋" w:eastAsia="仿宋" w:cs="仿宋"/>
          <w:sz w:val="32"/>
          <w:szCs w:val="36"/>
        </w:rPr>
      </w:pPr>
    </w:p>
    <w:p>
      <w:pPr>
        <w:rPr>
          <w:rFonts w:hint="eastAsia" w:ascii="仿宋" w:hAnsi="仿宋" w:eastAsia="仿宋" w:cs="仿宋"/>
          <w:sz w:val="32"/>
          <w:szCs w:val="32"/>
        </w:rPr>
      </w:pPr>
    </w:p>
    <w:p>
      <w:pPr>
        <w:ind w:firstLine="640" w:firstLineChars="200"/>
        <w:contextualSpacing/>
        <w:rPr>
          <w:rFonts w:hint="eastAsia" w:ascii="仿宋" w:hAnsi="仿宋" w:eastAsia="仿宋"/>
          <w:sz w:val="32"/>
          <w:szCs w:val="32"/>
        </w:rPr>
      </w:pPr>
    </w:p>
    <w:p>
      <w:pPr>
        <w:ind w:firstLine="640" w:firstLineChars="200"/>
        <w:contextualSpacing/>
        <w:rPr>
          <w:rFonts w:hint="eastAsia" w:ascii="仿宋" w:hAnsi="仿宋" w:eastAsia="仿宋"/>
          <w:sz w:val="32"/>
          <w:szCs w:val="32"/>
        </w:rPr>
      </w:pPr>
    </w:p>
    <w:p>
      <w:pPr>
        <w:ind w:firstLine="640" w:firstLineChars="200"/>
        <w:contextualSpacing/>
        <w:rPr>
          <w:rFonts w:hint="eastAsia" w:ascii="仿宋" w:hAnsi="仿宋" w:eastAsia="仿宋"/>
          <w:sz w:val="32"/>
          <w:szCs w:val="32"/>
        </w:rPr>
      </w:pPr>
    </w:p>
    <w:p>
      <w:pPr>
        <w:ind w:firstLine="640" w:firstLineChars="200"/>
        <w:contextualSpacing/>
        <w:rPr>
          <w:rFonts w:hint="eastAsia" w:ascii="仿宋" w:hAnsi="仿宋" w:eastAsia="仿宋"/>
          <w:sz w:val="32"/>
          <w:szCs w:val="32"/>
        </w:rPr>
      </w:pPr>
    </w:p>
    <w:p>
      <w:pPr>
        <w:spacing w:line="560" w:lineRule="exact"/>
        <w:jc w:val="center"/>
        <w:rPr>
          <w:rFonts w:hint="eastAsia" w:ascii="方正小标宋简体" w:hAnsi="方正小标宋简体" w:eastAsia="方正小标宋简体"/>
          <w:sz w:val="44"/>
          <w:szCs w:val="44"/>
        </w:rPr>
      </w:pPr>
      <w:bookmarkStart w:id="12" w:name="fyz"/>
      <w:bookmarkEnd w:id="12"/>
      <w:r>
        <w:rPr>
          <w:rFonts w:ascii="方正小标宋简体" w:hAnsi="方正小标宋简体" w:eastAsia="方正小标宋简体"/>
          <w:sz w:val="44"/>
          <w:szCs w:val="44"/>
        </w:rPr>
        <w:br w:type="page"/>
      </w:r>
      <w:r>
        <w:rPr>
          <w:rFonts w:hint="eastAsia" w:ascii="方正小标宋简体" w:hAnsi="方正小标宋简体" w:eastAsia="方正小标宋简体"/>
          <w:sz w:val="44"/>
          <w:szCs w:val="44"/>
        </w:rPr>
        <w:t>福建省级科技计划项目经费管理办法</w:t>
      </w:r>
    </w:p>
    <w:p>
      <w:pPr>
        <w:spacing w:line="560" w:lineRule="exact"/>
        <w:jc w:val="center"/>
        <w:rPr>
          <w:rFonts w:hint="eastAsia" w:ascii="黑体" w:hAnsi="黑体" w:eastAsia="黑体"/>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第一章  总  则</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hint="eastAsia" w:ascii="仿宋" w:hAnsi="仿宋" w:eastAsia="仿宋"/>
          <w:sz w:val="32"/>
          <w:szCs w:val="32"/>
        </w:rPr>
      </w:pPr>
      <w:r>
        <w:rPr>
          <w:rFonts w:hint="eastAsia" w:ascii="黑体" w:hAnsi="黑体" w:eastAsia="黑体" w:cs="黑体"/>
          <w:bCs/>
          <w:sz w:val="32"/>
          <w:szCs w:val="32"/>
        </w:rPr>
        <w:t>第一条</w:t>
      </w:r>
      <w:r>
        <w:rPr>
          <w:rFonts w:hint="eastAsia" w:ascii="仿宋" w:hAnsi="仿宋" w:eastAsia="仿宋"/>
          <w:sz w:val="32"/>
          <w:szCs w:val="32"/>
        </w:rPr>
        <w:t xml:space="preserve">  为规范省级科技计划项目经费管理，提高资金使用效益，根据《国务院关于优化科研管理提升科研绩效若干措施的通知》（国发〔2018〕25号）</w:t>
      </w:r>
      <w:r>
        <w:rPr>
          <w:rFonts w:hint="eastAsia" w:ascii="仿宋" w:hAnsi="仿宋" w:eastAsia="仿宋"/>
          <w:sz w:val="32"/>
          <w:szCs w:val="32"/>
          <w:lang w:eastAsia="zh-CN"/>
        </w:rPr>
        <w:t>、</w:t>
      </w:r>
      <w:r>
        <w:rPr>
          <w:rFonts w:hint="eastAsia" w:ascii="仿宋" w:hAnsi="仿宋" w:eastAsia="仿宋"/>
          <w:sz w:val="32"/>
          <w:szCs w:val="32"/>
        </w:rPr>
        <w:t>《国务院办公厅关于改革完善中央财政科研经费管理的若干意见》（国办发〔2021〕32号）</w:t>
      </w:r>
      <w:r>
        <w:rPr>
          <w:rFonts w:hint="eastAsia" w:ascii="仿宋" w:hAnsi="仿宋" w:eastAsia="仿宋"/>
          <w:sz w:val="32"/>
          <w:szCs w:val="32"/>
          <w:lang w:eastAsia="zh-CN"/>
        </w:rPr>
        <w:t>和</w:t>
      </w:r>
      <w:r>
        <w:rPr>
          <w:rFonts w:hint="eastAsia" w:ascii="仿宋" w:hAnsi="仿宋" w:eastAsia="仿宋"/>
          <w:sz w:val="32"/>
          <w:szCs w:val="32"/>
        </w:rPr>
        <w:t>《中共福建省委办公厅 福建省人民政府办公厅印发&lt;关于深化项目评审、人才评价、机构评估改革的实施意见&gt;的通知》（闽委办发〔2018〕30号）等要求，以及我省省级财政专项资金管理办法和有关财务管理制度，结合我省实际，制定本办法。</w:t>
      </w:r>
    </w:p>
    <w:p>
      <w:pPr>
        <w:spacing w:line="560" w:lineRule="exact"/>
        <w:ind w:firstLine="640" w:firstLineChars="200"/>
        <w:rPr>
          <w:rFonts w:hint="eastAsia" w:ascii="仿宋" w:hAnsi="仿宋" w:eastAsia="仿宋"/>
          <w:sz w:val="32"/>
          <w:szCs w:val="32"/>
        </w:rPr>
      </w:pPr>
      <w:r>
        <w:rPr>
          <w:rFonts w:hint="eastAsia" w:ascii="黑体" w:hAnsi="黑体" w:eastAsia="黑体" w:cs="黑体"/>
          <w:bCs/>
          <w:sz w:val="32"/>
          <w:szCs w:val="32"/>
        </w:rPr>
        <w:t>第二条</w:t>
      </w:r>
      <w:r>
        <w:rPr>
          <w:rFonts w:hint="eastAsia" w:ascii="黑体" w:hAnsi="黑体" w:eastAsia="黑体"/>
          <w:sz w:val="32"/>
          <w:szCs w:val="32"/>
        </w:rPr>
        <w:t xml:space="preserve">  </w:t>
      </w:r>
      <w:r>
        <w:rPr>
          <w:rFonts w:hint="eastAsia" w:ascii="仿宋" w:hAnsi="仿宋" w:eastAsia="仿宋"/>
          <w:sz w:val="32"/>
          <w:szCs w:val="32"/>
        </w:rPr>
        <w:t>省级科技计划项目经费（以下简称项目经费）是指省级财政预算安排的列入省科技计划支持开展科学技术活动的专项资金。项目经费主要用于支持在我省（计划单列市除外，如有规定的从其规定）注册、具有独立法人资格的单位开展各类科学技术活动，主要包括基础研究、应用研究、技术研究与开发、科技条件与平台建设、科技交流与合作、科技成果转化等。实施“揭榜挂帅”“赛马”等新型组织机制的项目可根据项目特点由省外单位承担。</w:t>
      </w:r>
    </w:p>
    <w:p>
      <w:pPr>
        <w:spacing w:line="560" w:lineRule="exact"/>
        <w:ind w:firstLine="640" w:firstLineChars="200"/>
        <w:rPr>
          <w:rFonts w:hint="eastAsia" w:ascii="仿宋" w:hAnsi="仿宋" w:eastAsia="仿宋"/>
          <w:sz w:val="32"/>
          <w:szCs w:val="32"/>
        </w:rPr>
      </w:pPr>
      <w:r>
        <w:rPr>
          <w:rFonts w:hint="eastAsia" w:ascii="黑体" w:hAnsi="黑体" w:eastAsia="黑体" w:cs="黑体"/>
          <w:bCs/>
          <w:sz w:val="32"/>
          <w:szCs w:val="32"/>
        </w:rPr>
        <w:t>第三条</w:t>
      </w:r>
      <w:r>
        <w:rPr>
          <w:rFonts w:hint="eastAsia" w:ascii="仿宋" w:hAnsi="仿宋" w:eastAsia="仿宋"/>
          <w:sz w:val="32"/>
          <w:szCs w:val="32"/>
        </w:rPr>
        <w:t xml:space="preserve">  项目经费采取包括事前直接补助、事前立项事后补助、事后立项事后补助等多种支持方式。</w:t>
      </w:r>
      <w:r>
        <w:rPr>
          <w:rFonts w:hint="eastAsia" w:ascii="仿宋" w:hAnsi="仿宋" w:eastAsia="仿宋"/>
          <w:sz w:val="32"/>
          <w:szCs w:val="32"/>
          <w:lang w:eastAsia="zh-CN"/>
        </w:rPr>
        <w:t>采用事前直接补助</w:t>
      </w:r>
      <w:r>
        <w:rPr>
          <w:rFonts w:hint="eastAsia" w:ascii="仿宋" w:hAnsi="仿宋" w:eastAsia="仿宋"/>
          <w:sz w:val="32"/>
          <w:szCs w:val="32"/>
        </w:rPr>
        <w:t>、事前立项事后补助</w:t>
      </w:r>
      <w:r>
        <w:rPr>
          <w:rFonts w:hint="eastAsia" w:ascii="仿宋" w:hAnsi="仿宋" w:eastAsia="仿宋"/>
          <w:sz w:val="32"/>
          <w:szCs w:val="32"/>
          <w:lang w:eastAsia="zh-CN"/>
        </w:rPr>
        <w:t>方式支持的项目经费按以下规定管理，其他支持方式应另行制定经费管理办法。</w:t>
      </w:r>
    </w:p>
    <w:p>
      <w:pPr>
        <w:spacing w:line="560" w:lineRule="exact"/>
        <w:ind w:firstLine="640" w:firstLineChars="200"/>
        <w:rPr>
          <w:rFonts w:hint="eastAsia" w:ascii="仿宋" w:hAnsi="仿宋" w:eastAsia="仿宋"/>
          <w:sz w:val="32"/>
          <w:szCs w:val="32"/>
        </w:rPr>
      </w:pPr>
      <w:r>
        <w:rPr>
          <w:rFonts w:hint="eastAsia" w:ascii="黑体" w:hAnsi="黑体" w:eastAsia="黑体" w:cs="黑体"/>
          <w:bCs/>
          <w:sz w:val="32"/>
          <w:szCs w:val="32"/>
        </w:rPr>
        <w:t>第四条</w:t>
      </w:r>
      <w:r>
        <w:rPr>
          <w:rFonts w:hint="eastAsia" w:ascii="仿宋" w:hAnsi="仿宋" w:eastAsia="仿宋"/>
          <w:sz w:val="32"/>
          <w:szCs w:val="32"/>
        </w:rPr>
        <w:t xml:space="preserve">  项目经费按照突出重点、分类支持，放管结合、合理配置，专款专用、单独核算，公正公开、注重绩效的原则进行管理。</w:t>
      </w:r>
    </w:p>
    <w:p>
      <w:pPr>
        <w:spacing w:line="560" w:lineRule="exact"/>
        <w:ind w:firstLine="640" w:firstLineChars="200"/>
        <w:rPr>
          <w:rFonts w:hint="eastAsia" w:ascii="仿宋" w:hAnsi="仿宋" w:eastAsia="仿宋"/>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第二章  职责与分工</w:t>
      </w:r>
    </w:p>
    <w:p>
      <w:pPr>
        <w:spacing w:line="560" w:lineRule="exact"/>
        <w:ind w:firstLine="645"/>
        <w:rPr>
          <w:rFonts w:hint="eastAsia" w:ascii="黑体" w:hAnsi="黑体" w:eastAsia="黑体"/>
          <w:sz w:val="32"/>
          <w:szCs w:val="32"/>
        </w:rPr>
      </w:pP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第五条</w:t>
      </w:r>
      <w:r>
        <w:rPr>
          <w:rFonts w:hint="eastAsia" w:ascii="黑体" w:hAnsi="黑体" w:eastAsia="黑体"/>
          <w:sz w:val="32"/>
          <w:szCs w:val="32"/>
        </w:rPr>
        <w:t xml:space="preserve">  </w:t>
      </w:r>
      <w:r>
        <w:rPr>
          <w:rFonts w:hint="eastAsia" w:ascii="仿宋" w:hAnsi="仿宋" w:eastAsia="仿宋"/>
          <w:sz w:val="32"/>
          <w:szCs w:val="32"/>
        </w:rPr>
        <w:t>项目经费实行分级管理、分级负责。</w:t>
      </w: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第六条</w:t>
      </w:r>
      <w:r>
        <w:rPr>
          <w:rFonts w:hint="eastAsia" w:ascii="仿宋" w:hAnsi="仿宋" w:eastAsia="仿宋"/>
          <w:sz w:val="32"/>
          <w:szCs w:val="32"/>
        </w:rPr>
        <w:t xml:space="preserve">  项目主管机构职责：</w:t>
      </w:r>
    </w:p>
    <w:p>
      <w:pPr>
        <w:spacing w:line="560" w:lineRule="exact"/>
        <w:ind w:firstLine="645"/>
        <w:rPr>
          <w:rFonts w:hint="eastAsia" w:ascii="仿宋" w:hAnsi="仿宋" w:eastAsia="仿宋"/>
          <w:sz w:val="32"/>
          <w:szCs w:val="32"/>
        </w:rPr>
      </w:pPr>
      <w:r>
        <w:rPr>
          <w:rFonts w:hint="eastAsia" w:ascii="仿宋" w:hAnsi="仿宋" w:eastAsia="仿宋" w:cs="仿宋"/>
          <w:sz w:val="32"/>
          <w:szCs w:val="32"/>
        </w:rPr>
        <w:t>负责研究制定项目经费管理制度，研究确定年度项目经费总体投向；负责制定并发布年度项目申报指南，组织项目申报、评审和预决算编制；负责组织对项目经费开展绩效考评和监督检查等</w:t>
      </w:r>
      <w:r>
        <w:rPr>
          <w:rFonts w:hint="eastAsia" w:ascii="仿宋" w:hAnsi="仿宋" w:eastAsia="仿宋"/>
          <w:sz w:val="32"/>
          <w:szCs w:val="32"/>
        </w:rPr>
        <w:t>。</w:t>
      </w: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第七条</w:t>
      </w:r>
      <w:r>
        <w:rPr>
          <w:rFonts w:hint="eastAsia" w:ascii="仿宋" w:hAnsi="仿宋" w:eastAsia="仿宋"/>
          <w:sz w:val="32"/>
          <w:szCs w:val="32"/>
        </w:rPr>
        <w:t xml:space="preserve">  项目实施管理机构（含主管部门，即项目任务书中的丙方，下同）职责：</w:t>
      </w:r>
    </w:p>
    <w:p>
      <w:pPr>
        <w:spacing w:line="560" w:lineRule="exact"/>
        <w:ind w:firstLine="645"/>
        <w:rPr>
          <w:rFonts w:hint="eastAsia" w:ascii="仿宋" w:hAnsi="仿宋" w:eastAsia="仿宋"/>
          <w:sz w:val="32"/>
          <w:szCs w:val="32"/>
        </w:rPr>
      </w:pPr>
      <w:r>
        <w:rPr>
          <w:rFonts w:hint="eastAsia" w:ascii="仿宋" w:hAnsi="仿宋" w:eastAsia="仿宋"/>
          <w:sz w:val="32"/>
          <w:szCs w:val="32"/>
        </w:rPr>
        <w:t>建立符合项目特点的经费内部监管机制，做好项目经费过程管理，强化经费使用规范性、合理性、有效性的监督力度；监督项目承担单位落实项目经费以外资金及相关配套条件；配合有关部门对项目经费使用情况进行自查、绩效考评和监督检查等。</w:t>
      </w: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第八条</w:t>
      </w:r>
      <w:r>
        <w:rPr>
          <w:rFonts w:hint="eastAsia" w:ascii="仿宋" w:hAnsi="仿宋" w:eastAsia="仿宋"/>
          <w:sz w:val="32"/>
          <w:szCs w:val="32"/>
        </w:rPr>
        <w:t xml:space="preserve">  项目承担单位职责：</w:t>
      </w:r>
    </w:p>
    <w:p>
      <w:pPr>
        <w:spacing w:line="560" w:lineRule="exact"/>
        <w:ind w:firstLine="645"/>
        <w:rPr>
          <w:rFonts w:hint="eastAsia" w:ascii="仿宋" w:hAnsi="仿宋" w:eastAsia="仿宋"/>
          <w:sz w:val="32"/>
          <w:szCs w:val="32"/>
        </w:rPr>
      </w:pPr>
      <w:r>
        <w:rPr>
          <w:rFonts w:hint="eastAsia" w:ascii="仿宋" w:hAnsi="仿宋" w:eastAsia="仿宋"/>
          <w:sz w:val="32"/>
          <w:szCs w:val="32"/>
        </w:rPr>
        <w:t>负责建立健全内部管理制度，切实履行在项目申请、组织实施、验收等方面的经费管理职责。</w:t>
      </w:r>
    </w:p>
    <w:p>
      <w:pPr>
        <w:spacing w:line="560" w:lineRule="exact"/>
        <w:ind w:firstLine="645"/>
        <w:rPr>
          <w:rFonts w:hint="eastAsia" w:ascii="仿宋" w:hAnsi="仿宋" w:eastAsia="仿宋"/>
          <w:sz w:val="32"/>
          <w:szCs w:val="32"/>
        </w:rPr>
      </w:pPr>
      <w:r>
        <w:rPr>
          <w:rFonts w:hint="eastAsia" w:ascii="仿宋" w:hAnsi="仿宋" w:eastAsia="仿宋"/>
          <w:sz w:val="32"/>
          <w:szCs w:val="32"/>
        </w:rPr>
        <w:t>（一）负责建立和完善单位内控机制。制定和完善与项目经费管理有关的预算、支出、报销等财务管理制度，制定和公示绩效支出使用的分配制度。</w:t>
      </w:r>
    </w:p>
    <w:p>
      <w:pPr>
        <w:spacing w:line="560" w:lineRule="exact"/>
        <w:ind w:firstLine="645"/>
        <w:rPr>
          <w:rFonts w:hint="eastAsia" w:ascii="仿宋" w:hAnsi="仿宋" w:eastAsia="仿宋"/>
          <w:sz w:val="32"/>
          <w:szCs w:val="32"/>
        </w:rPr>
      </w:pPr>
      <w:r>
        <w:rPr>
          <w:rFonts w:hint="eastAsia" w:ascii="仿宋" w:hAnsi="仿宋" w:eastAsia="仿宋"/>
          <w:sz w:val="32"/>
          <w:szCs w:val="32"/>
        </w:rPr>
        <w:t>（二）负责建立健全科研财务助理制度，确保每个项目配有相对固定的科研财务助理，为科研人员在预算编制和调剂、经费支出、财务决算和验收等方面提供专业化服务，减轻科研人员事务性负担。科研财务助理所需人力成本费用可由项目承担单位通过科研项目经费等渠道统筹解决。</w:t>
      </w:r>
    </w:p>
    <w:p>
      <w:pPr>
        <w:spacing w:line="560" w:lineRule="exact"/>
        <w:ind w:firstLine="645"/>
        <w:rPr>
          <w:rFonts w:hint="eastAsia" w:ascii="仿宋" w:hAnsi="仿宋" w:eastAsia="仿宋"/>
          <w:sz w:val="32"/>
          <w:szCs w:val="32"/>
        </w:rPr>
      </w:pPr>
      <w:r>
        <w:rPr>
          <w:rFonts w:hint="eastAsia" w:ascii="仿宋" w:hAnsi="仿宋" w:eastAsia="仿宋"/>
          <w:sz w:val="32"/>
          <w:szCs w:val="32"/>
        </w:rPr>
        <w:t>（三）负责审核项目经费预算和决算，按照项目有关匹配资金的约定，落实单位自筹资金及其他配套条件。</w:t>
      </w:r>
    </w:p>
    <w:p>
      <w:pPr>
        <w:spacing w:line="560" w:lineRule="exact"/>
        <w:ind w:firstLine="645"/>
        <w:rPr>
          <w:rFonts w:hint="eastAsia" w:ascii="仿宋" w:hAnsi="仿宋" w:eastAsia="仿宋"/>
          <w:sz w:val="32"/>
          <w:szCs w:val="32"/>
        </w:rPr>
      </w:pPr>
      <w:r>
        <w:rPr>
          <w:rFonts w:hint="eastAsia" w:ascii="仿宋" w:hAnsi="仿宋" w:eastAsia="仿宋"/>
          <w:sz w:val="32"/>
          <w:szCs w:val="32"/>
        </w:rPr>
        <w:t>（四）负责据实核准项目设备费的预算调剂，间接费用统筹使用、结余经费使用、科研仪器设备采购等管理工作。</w:t>
      </w:r>
    </w:p>
    <w:p>
      <w:pPr>
        <w:spacing w:line="560" w:lineRule="exact"/>
        <w:ind w:firstLine="645"/>
        <w:rPr>
          <w:rFonts w:hint="eastAsia" w:ascii="仿宋" w:hAnsi="仿宋" w:eastAsia="仿宋"/>
          <w:sz w:val="32"/>
          <w:szCs w:val="32"/>
        </w:rPr>
      </w:pPr>
      <w:r>
        <w:rPr>
          <w:rFonts w:hint="eastAsia" w:ascii="仿宋" w:hAnsi="仿宋" w:eastAsia="仿宋"/>
          <w:sz w:val="32"/>
          <w:szCs w:val="32"/>
        </w:rPr>
        <w:t>（五）负责在单位内部主动公开项目立项、主要研究人员、经费使用、大型仪器购置、研究成果、结余资金等事项信息，并接受内部监督。</w:t>
      </w:r>
    </w:p>
    <w:p>
      <w:pPr>
        <w:spacing w:line="560" w:lineRule="exact"/>
        <w:ind w:firstLine="645"/>
        <w:rPr>
          <w:rFonts w:hint="eastAsia" w:ascii="仿宋" w:hAnsi="仿宋" w:eastAsia="仿宋"/>
          <w:sz w:val="32"/>
          <w:szCs w:val="32"/>
        </w:rPr>
      </w:pPr>
      <w:r>
        <w:rPr>
          <w:rFonts w:hint="eastAsia" w:ascii="仿宋" w:hAnsi="仿宋" w:eastAsia="仿宋"/>
          <w:sz w:val="32"/>
          <w:szCs w:val="32"/>
        </w:rPr>
        <w:t>（六</w:t>
      </w:r>
      <w:r>
        <w:rPr>
          <w:rFonts w:ascii="仿宋" w:hAnsi="仿宋" w:eastAsia="仿宋"/>
          <w:sz w:val="32"/>
          <w:szCs w:val="32"/>
        </w:rPr>
        <w:t>）</w:t>
      </w:r>
      <w:r>
        <w:rPr>
          <w:rFonts w:hint="eastAsia" w:ascii="仿宋" w:hAnsi="仿宋" w:eastAsia="仿宋"/>
          <w:sz w:val="32"/>
          <w:szCs w:val="32"/>
        </w:rPr>
        <w:t>负责有关财务文件的归档保存，接受有关部门的绩效考评和监督检查等。</w:t>
      </w: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 xml:space="preserve">第九条 </w:t>
      </w:r>
      <w:r>
        <w:rPr>
          <w:rFonts w:hint="eastAsia" w:ascii="仿宋" w:hAnsi="仿宋" w:eastAsia="仿宋"/>
          <w:sz w:val="32"/>
          <w:szCs w:val="32"/>
        </w:rPr>
        <w:t xml:space="preserve"> 项目负责人（首席专家）职责：</w:t>
      </w:r>
    </w:p>
    <w:p>
      <w:pPr>
        <w:spacing w:line="560" w:lineRule="exact"/>
        <w:ind w:firstLine="645"/>
        <w:rPr>
          <w:rFonts w:hint="eastAsia" w:ascii="仿宋" w:hAnsi="仿宋" w:eastAsia="仿宋"/>
          <w:sz w:val="32"/>
          <w:szCs w:val="32"/>
        </w:rPr>
      </w:pPr>
      <w:r>
        <w:rPr>
          <w:rFonts w:hint="eastAsia" w:ascii="仿宋" w:hAnsi="仿宋" w:eastAsia="仿宋"/>
          <w:sz w:val="32"/>
          <w:szCs w:val="32"/>
        </w:rPr>
        <w:t>负责做好项目实施的组织协调工作，配合项目承担单位履行项目申请、实施和验收中的经费管理职责；负责编制项目经费预算和决算，核准项目预算调整方案(除设备费预算调增外)；严格遵守科技项目经费管理的各项规定，对经费使用的合规性、合理性、真实性和相关性负责；自觉接受有关部门的绩效考评和监督检查等。</w:t>
      </w:r>
    </w:p>
    <w:p>
      <w:pPr>
        <w:spacing w:line="560" w:lineRule="exact"/>
        <w:ind w:firstLine="645"/>
        <w:rPr>
          <w:rFonts w:hint="eastAsia" w:ascii="仿宋" w:hAnsi="仿宋" w:eastAsia="仿宋"/>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第三章  项目经费支出范围</w:t>
      </w:r>
    </w:p>
    <w:p>
      <w:pPr>
        <w:spacing w:line="560" w:lineRule="exact"/>
        <w:ind w:firstLine="645"/>
        <w:rPr>
          <w:rFonts w:hint="eastAsia" w:ascii="黑体" w:hAnsi="黑体" w:eastAsia="黑体"/>
          <w:sz w:val="32"/>
          <w:szCs w:val="32"/>
        </w:rPr>
      </w:pP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第十条</w:t>
      </w:r>
      <w:r>
        <w:rPr>
          <w:rFonts w:hint="eastAsia" w:ascii="仿宋" w:hAnsi="仿宋" w:eastAsia="仿宋"/>
          <w:sz w:val="32"/>
          <w:szCs w:val="32"/>
        </w:rPr>
        <w:t xml:space="preserve">  项目经费由直接费用和间接费用两部分组成。项目承担单位履行本职工作的经费和其他与项目不相关的经费不在该列支范围。</w:t>
      </w: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第十一条</w:t>
      </w:r>
      <w:r>
        <w:rPr>
          <w:rFonts w:hint="eastAsia" w:ascii="仿宋" w:hAnsi="仿宋" w:eastAsia="仿宋"/>
          <w:sz w:val="32"/>
          <w:szCs w:val="32"/>
        </w:rPr>
        <w:t xml:space="preserve">  直接费用是指在项目实施过程中发生的与之直接相关的费用，主要包括设备费、业务费和劳务费。</w:t>
      </w:r>
    </w:p>
    <w:p>
      <w:pPr>
        <w:spacing w:line="560" w:lineRule="exact"/>
        <w:ind w:firstLine="645"/>
        <w:rPr>
          <w:rFonts w:hint="eastAsia" w:ascii="仿宋" w:hAnsi="仿宋" w:eastAsia="仿宋"/>
          <w:sz w:val="32"/>
          <w:szCs w:val="32"/>
        </w:rPr>
      </w:pPr>
      <w:r>
        <w:rPr>
          <w:rFonts w:hint="eastAsia" w:ascii="仿宋" w:hAnsi="仿宋" w:eastAsia="仿宋"/>
          <w:sz w:val="32"/>
          <w:szCs w:val="32"/>
        </w:rPr>
        <w:t>（一）设备费：指在项目实施过程中购置或试制专用仪器设备，对现有仪器设备进行升级改造，以及租赁外单位仪器设备而发生的费用。计算类仪器设备和软件工具可在设备费科目列支。</w:t>
      </w:r>
    </w:p>
    <w:p>
      <w:pPr>
        <w:spacing w:line="560" w:lineRule="exact"/>
        <w:ind w:firstLine="645"/>
        <w:rPr>
          <w:rFonts w:hint="eastAsia" w:ascii="仿宋" w:hAnsi="仿宋" w:eastAsia="仿宋"/>
          <w:sz w:val="32"/>
          <w:szCs w:val="32"/>
        </w:rPr>
      </w:pPr>
      <w:r>
        <w:rPr>
          <w:rFonts w:hint="eastAsia" w:ascii="仿宋" w:hAnsi="仿宋" w:eastAsia="仿宋"/>
          <w:sz w:val="32"/>
          <w:szCs w:val="32"/>
        </w:rPr>
        <w:t>（二）业务费：指在项目实施过程中消耗的各种材料、辅助材料等低值易耗品的采购、运输、装卸、整理等费用，发生的测试化验加工、燃料动力、会议/差旅/国际合作交流、档案/出版/文献/信息传播</w:t>
      </w:r>
      <w:r>
        <w:rPr>
          <w:rFonts w:ascii="仿宋" w:hAnsi="仿宋" w:eastAsia="仿宋"/>
          <w:sz w:val="32"/>
          <w:szCs w:val="32"/>
        </w:rPr>
        <w:t>/</w:t>
      </w:r>
      <w:r>
        <w:rPr>
          <w:rFonts w:hint="eastAsia" w:ascii="仿宋" w:hAnsi="仿宋" w:eastAsia="仿宋"/>
          <w:sz w:val="32"/>
          <w:szCs w:val="32"/>
        </w:rPr>
        <w:t xml:space="preserve">知识产权事务等费用，以及其他相关支出。具体内容可包括： </w:t>
      </w:r>
    </w:p>
    <w:p>
      <w:pPr>
        <w:spacing w:line="560" w:lineRule="exact"/>
        <w:ind w:firstLine="645"/>
        <w:rPr>
          <w:rFonts w:hint="eastAsia" w:ascii="仿宋" w:hAnsi="仿宋" w:eastAsia="仿宋"/>
          <w:sz w:val="32"/>
          <w:szCs w:val="32"/>
        </w:rPr>
      </w:pPr>
      <w:r>
        <w:rPr>
          <w:rFonts w:hint="eastAsia" w:ascii="仿宋" w:hAnsi="仿宋" w:eastAsia="仿宋"/>
          <w:sz w:val="32"/>
          <w:szCs w:val="32"/>
        </w:rPr>
        <w:t>1.材料支出主要用于在项目实施过程中消耗的各种原材料、辅助材料等低值易耗品的采购及运输、装卸、整理等支出。</w:t>
      </w:r>
    </w:p>
    <w:p>
      <w:pPr>
        <w:spacing w:line="560" w:lineRule="exact"/>
        <w:ind w:firstLine="645"/>
        <w:rPr>
          <w:rFonts w:hint="eastAsia" w:ascii="仿宋" w:hAnsi="仿宋" w:eastAsia="仿宋"/>
          <w:sz w:val="32"/>
          <w:szCs w:val="32"/>
        </w:rPr>
      </w:pPr>
      <w:r>
        <w:rPr>
          <w:rFonts w:hint="eastAsia" w:ascii="仿宋" w:hAnsi="仿宋" w:eastAsia="仿宋"/>
          <w:sz w:val="32"/>
          <w:szCs w:val="32"/>
        </w:rPr>
        <w:t>2.测试化验加工支出主要用于由于项目承担单位自身的技术、工艺和设备等条件限制，在项目实施过程中委托或与外单位合作（包括项目承担单位内部独立经济核算单位）进行的检验、测试、化验、加工、计算、试验、设计、制作等所支付的费用。</w:t>
      </w:r>
    </w:p>
    <w:p>
      <w:pPr>
        <w:spacing w:line="560" w:lineRule="exact"/>
        <w:ind w:firstLine="645"/>
        <w:rPr>
          <w:rFonts w:hint="eastAsia" w:ascii="仿宋" w:hAnsi="仿宋" w:eastAsia="仿宋"/>
          <w:sz w:val="32"/>
          <w:szCs w:val="32"/>
        </w:rPr>
      </w:pPr>
      <w:r>
        <w:rPr>
          <w:rFonts w:hint="eastAsia" w:ascii="仿宋" w:hAnsi="仿宋" w:eastAsia="仿宋"/>
          <w:sz w:val="32"/>
          <w:szCs w:val="32"/>
        </w:rPr>
        <w:t>3.燃料动力支出主要用于在项目实施过程中相关大型仪器设备、专用科学装置发生的可以单独计量的水、电、气、暖、燃料消耗等费用。不能单独计量的，应列入间接费用。</w:t>
      </w:r>
    </w:p>
    <w:p>
      <w:pPr>
        <w:spacing w:line="560" w:lineRule="exact"/>
        <w:ind w:firstLine="645"/>
        <w:rPr>
          <w:rFonts w:hint="eastAsia" w:ascii="仿宋" w:hAnsi="仿宋" w:eastAsia="仿宋"/>
          <w:sz w:val="32"/>
          <w:szCs w:val="32"/>
        </w:rPr>
      </w:pPr>
      <w:r>
        <w:rPr>
          <w:rFonts w:hint="eastAsia" w:ascii="仿宋" w:hAnsi="仿宋" w:eastAsia="仿宋"/>
          <w:sz w:val="32"/>
          <w:szCs w:val="32"/>
        </w:rPr>
        <w:t>4.会议/差旅/国际合作交流支出主要用于在项目实施过程中为组织开展学术研讨、咨询论证，以及组织协调项目或课题等活动而发生的会议费用；开展科学实验（试验）、科学考察、业务调研、学术交流及邀请国内外专家、学者和有关人员参加由其主办的会议所发生的国际旅费、城市间交通费、住宿费、伙食补助费和市内交通费等费用；研究人员出国及外国专家来华开展科学技术交流与合作的支出。</w:t>
      </w:r>
    </w:p>
    <w:p>
      <w:pPr>
        <w:spacing w:line="560" w:lineRule="exact"/>
        <w:ind w:firstLine="645"/>
        <w:rPr>
          <w:rFonts w:hint="eastAsia" w:ascii="仿宋" w:hAnsi="仿宋" w:eastAsia="仿宋"/>
          <w:sz w:val="32"/>
          <w:szCs w:val="32"/>
        </w:rPr>
      </w:pPr>
      <w:r>
        <w:rPr>
          <w:rFonts w:hint="eastAsia" w:ascii="仿宋" w:hAnsi="仿宋" w:eastAsia="仿宋"/>
          <w:sz w:val="32"/>
          <w:szCs w:val="32"/>
        </w:rPr>
        <w:t>5.档案/出版/文献/信息传播</w:t>
      </w:r>
      <w:r>
        <w:rPr>
          <w:rFonts w:ascii="仿宋" w:hAnsi="仿宋" w:eastAsia="仿宋"/>
          <w:sz w:val="32"/>
          <w:szCs w:val="32"/>
        </w:rPr>
        <w:t>/</w:t>
      </w:r>
      <w:r>
        <w:rPr>
          <w:rFonts w:hint="eastAsia" w:ascii="仿宋" w:hAnsi="仿宋" w:eastAsia="仿宋"/>
          <w:sz w:val="32"/>
          <w:szCs w:val="32"/>
        </w:rPr>
        <w:t>知识产权事务支出主要用于在项目实施过程中，需要支付的出版、资料购买及印刷、文献检索、专业通讯、专利申请及其他知识产权事务等支出。</w:t>
      </w:r>
    </w:p>
    <w:p>
      <w:pPr>
        <w:spacing w:line="560" w:lineRule="exact"/>
        <w:ind w:firstLine="645"/>
        <w:rPr>
          <w:rFonts w:hint="eastAsia" w:ascii="仿宋" w:hAnsi="仿宋" w:eastAsia="仿宋"/>
          <w:sz w:val="32"/>
          <w:szCs w:val="32"/>
        </w:rPr>
      </w:pPr>
      <w:r>
        <w:rPr>
          <w:rFonts w:hint="eastAsia" w:ascii="仿宋" w:hAnsi="仿宋" w:eastAsia="仿宋"/>
          <w:sz w:val="32"/>
          <w:szCs w:val="32"/>
        </w:rPr>
        <w:t>除“三类高质量论文”外的论文版面费列支原则上不得超过2篇，在国家发布的学术期刊“黑名单”或预警名单上发表的论文版面费不得列支。</w:t>
      </w:r>
    </w:p>
    <w:p>
      <w:pPr>
        <w:spacing w:line="560" w:lineRule="exact"/>
        <w:ind w:firstLine="645"/>
        <w:rPr>
          <w:rFonts w:hint="eastAsia" w:ascii="仿宋" w:hAnsi="仿宋" w:eastAsia="仿宋"/>
          <w:sz w:val="32"/>
          <w:szCs w:val="32"/>
        </w:rPr>
      </w:pPr>
      <w:r>
        <w:rPr>
          <w:rFonts w:hint="eastAsia" w:ascii="仿宋" w:hAnsi="仿宋" w:eastAsia="仿宋"/>
          <w:sz w:val="32"/>
          <w:szCs w:val="32"/>
        </w:rPr>
        <w:t>6.其他相关支出主要用于项目实施过程中除上述支出之外的其他业务费支出。</w:t>
      </w:r>
    </w:p>
    <w:p>
      <w:pPr>
        <w:spacing w:line="560" w:lineRule="exact"/>
        <w:ind w:firstLine="645"/>
        <w:rPr>
          <w:rFonts w:hint="eastAsia" w:ascii="仿宋" w:hAnsi="仿宋" w:eastAsia="仿宋"/>
          <w:sz w:val="32"/>
          <w:szCs w:val="32"/>
        </w:rPr>
      </w:pPr>
      <w:r>
        <w:rPr>
          <w:rFonts w:hint="eastAsia" w:ascii="仿宋" w:hAnsi="仿宋" w:eastAsia="仿宋"/>
          <w:sz w:val="32"/>
          <w:szCs w:val="32"/>
        </w:rPr>
        <w:t>（三）劳务费：指项目承担单位在科研项目实施过程中支付给项目聘用人员的劳务性费用，以及支付给临时聘请的咨询专家的费用等。</w:t>
      </w:r>
    </w:p>
    <w:p>
      <w:pPr>
        <w:spacing w:line="560" w:lineRule="exact"/>
        <w:ind w:firstLine="645"/>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rPr>
        <w:t>项目聘用人员指项目承担单位临时聘用</w:t>
      </w:r>
      <w:r>
        <w:rPr>
          <w:rFonts w:hint="eastAsia" w:ascii="仿宋" w:hAnsi="仿宋" w:eastAsia="仿宋"/>
          <w:lang w:eastAsia="zh-CN"/>
        </w:rPr>
        <w:t>的科研</w:t>
      </w:r>
      <w:r>
        <w:rPr>
          <w:rFonts w:hint="eastAsia" w:ascii="仿宋" w:hAnsi="仿宋" w:eastAsia="仿宋"/>
        </w:rPr>
        <w:t>人员和通过签订劳动合同、劳务派遣或聘用协议等方式组织参与项目研究的人员，包括参与项目研究的研究生、博士后、访问学者、研究人员、科研辅助人员、科研财务助理等人员。</w:t>
      </w:r>
    </w:p>
    <w:p>
      <w:pPr>
        <w:spacing w:line="560" w:lineRule="exact"/>
        <w:ind w:firstLine="645"/>
        <w:rPr>
          <w:rFonts w:hint="eastAsia" w:ascii="仿宋" w:hAnsi="仿宋" w:eastAsia="仿宋"/>
          <w:sz w:val="32"/>
          <w:szCs w:val="32"/>
        </w:rPr>
      </w:pPr>
      <w:r>
        <w:rPr>
          <w:rFonts w:hint="eastAsia" w:ascii="仿宋" w:hAnsi="仿宋" w:eastAsia="仿宋"/>
          <w:sz w:val="32"/>
          <w:szCs w:val="32"/>
        </w:rPr>
        <w:t>2.劳务性费用包括支付给项目聘用人员的工资、补贴和社会保险、住房公积金等费用支出。</w:t>
      </w:r>
    </w:p>
    <w:p>
      <w:pPr>
        <w:spacing w:line="560" w:lineRule="exact"/>
        <w:ind w:firstLine="630"/>
        <w:contextualSpacing/>
        <w:rPr>
          <w:rFonts w:ascii="仿宋" w:hAnsi="仿宋" w:eastAsia="仿宋"/>
          <w:sz w:val="32"/>
          <w:szCs w:val="32"/>
        </w:rPr>
      </w:pPr>
      <w:r>
        <w:rPr>
          <w:rFonts w:hint="eastAsia" w:ascii="仿宋" w:hAnsi="仿宋" w:eastAsia="仿宋"/>
          <w:sz w:val="32"/>
          <w:szCs w:val="32"/>
        </w:rPr>
        <w:t>3.咨询专家的费用（以下简称专家咨询费）不得支付给参与本项目及所属课题研究和管理的相关人员。专家咨询费按以下标准执行：</w:t>
      </w:r>
    </w:p>
    <w:p>
      <w:pPr>
        <w:spacing w:line="560" w:lineRule="exact"/>
        <w:ind w:firstLine="645"/>
        <w:rPr>
          <w:rFonts w:hint="eastAsia" w:ascii="仿宋" w:hAnsi="仿宋" w:eastAsia="仿宋"/>
          <w:sz w:val="32"/>
          <w:szCs w:val="32"/>
        </w:rPr>
      </w:pPr>
      <w:r>
        <w:rPr>
          <w:rFonts w:hint="eastAsia" w:ascii="仿宋" w:hAnsi="仿宋" w:eastAsia="仿宋"/>
          <w:sz w:val="32"/>
          <w:szCs w:val="32"/>
        </w:rPr>
        <w:t>（1）高级专业技术职称人员的专家咨询费标准为1500元/人天（税后）；其他专业人员的专家咨询费标准为900元/人天（税后）。</w:t>
      </w:r>
    </w:p>
    <w:p>
      <w:pPr>
        <w:spacing w:line="560" w:lineRule="exact"/>
        <w:ind w:firstLine="645"/>
        <w:rPr>
          <w:rFonts w:hint="eastAsia" w:ascii="仿宋" w:hAnsi="仿宋" w:eastAsia="仿宋"/>
          <w:sz w:val="32"/>
          <w:szCs w:val="32"/>
        </w:rPr>
      </w:pPr>
      <w:r>
        <w:rPr>
          <w:rFonts w:hint="eastAsia" w:ascii="仿宋" w:hAnsi="仿宋" w:eastAsia="仿宋"/>
          <w:sz w:val="32"/>
          <w:szCs w:val="32"/>
        </w:rPr>
        <w:t>（2）院士、全国知名专家咨询费标准为3600元/人天（税后）。</w:t>
      </w:r>
    </w:p>
    <w:p>
      <w:pPr>
        <w:spacing w:line="560" w:lineRule="exact"/>
        <w:ind w:firstLine="645"/>
        <w:rPr>
          <w:rFonts w:hint="eastAsia" w:ascii="仿宋" w:hAnsi="仿宋" w:eastAsia="仿宋"/>
          <w:sz w:val="32"/>
          <w:szCs w:val="32"/>
        </w:rPr>
      </w:pPr>
      <w:r>
        <w:rPr>
          <w:rFonts w:hint="eastAsia" w:ascii="仿宋" w:hAnsi="仿宋" w:eastAsia="仿宋"/>
          <w:sz w:val="32"/>
          <w:szCs w:val="32"/>
        </w:rPr>
        <w:t>以会议（包括视频会议）、现场访谈或者勘察形式组织专家咨询活动的，活动为半天的，按以上标准的60%执行；活动不超过2天的，按以上标准执行；活动超过2天的，第3天及以后按以上标准的50%执行；邀请省外专家参加现场活动的，可给予往返补贴1000元/人次。</w:t>
      </w:r>
    </w:p>
    <w:p>
      <w:pPr>
        <w:spacing w:line="560" w:lineRule="exact"/>
        <w:ind w:firstLine="630"/>
        <w:contextualSpacing/>
        <w:rPr>
          <w:rFonts w:hint="eastAsia" w:ascii="仿宋" w:hAnsi="仿宋" w:eastAsia="仿宋"/>
          <w:sz w:val="32"/>
          <w:szCs w:val="32"/>
        </w:rPr>
      </w:pPr>
      <w:r>
        <w:rPr>
          <w:rFonts w:hint="eastAsia" w:ascii="仿宋" w:hAnsi="仿宋" w:eastAsia="仿宋"/>
          <w:sz w:val="32"/>
          <w:szCs w:val="32"/>
        </w:rPr>
        <w:t>以通过信函、邮件等通讯方式（包括非会议形式的网评）组织专家咨询活动的，专家咨询费按人次（项）计算，每人次（项）按以上标准的10-30%执行。</w:t>
      </w: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第十二条</w:t>
      </w:r>
      <w:r>
        <w:rPr>
          <w:rFonts w:hint="eastAsia" w:ascii="仿宋" w:hAnsi="仿宋" w:eastAsia="仿宋"/>
          <w:sz w:val="32"/>
          <w:szCs w:val="32"/>
        </w:rPr>
        <w:t xml:space="preserve">  间接费用是指项目承担单位在组织实施项目过程中发生的无法在直接费用中列支的相关费用。主要包括：</w:t>
      </w:r>
    </w:p>
    <w:p>
      <w:pPr>
        <w:spacing w:line="560" w:lineRule="exact"/>
        <w:ind w:firstLine="645"/>
        <w:rPr>
          <w:rFonts w:hint="eastAsia" w:ascii="仿宋" w:hAnsi="仿宋" w:eastAsia="仿宋"/>
          <w:sz w:val="32"/>
          <w:szCs w:val="32"/>
        </w:rPr>
      </w:pPr>
      <w:r>
        <w:rPr>
          <w:rFonts w:hint="eastAsia" w:ascii="仿宋" w:hAnsi="仿宋" w:eastAsia="仿宋"/>
          <w:sz w:val="32"/>
          <w:szCs w:val="32"/>
        </w:rPr>
        <w:t>（一）绩效支出。是项目承担单位为提高科研工作绩效安排的相关支出，其支出不纳入项目承担单位绩效工资总额。</w:t>
      </w:r>
    </w:p>
    <w:p>
      <w:pPr>
        <w:spacing w:line="560" w:lineRule="exact"/>
        <w:ind w:firstLine="645"/>
        <w:rPr>
          <w:rFonts w:hint="eastAsia" w:ascii="仿宋" w:hAnsi="仿宋" w:eastAsia="仿宋"/>
          <w:sz w:val="32"/>
          <w:szCs w:val="32"/>
        </w:rPr>
      </w:pPr>
      <w:r>
        <w:rPr>
          <w:rFonts w:hint="eastAsia" w:ascii="仿宋" w:hAnsi="仿宋" w:eastAsia="仿宋"/>
          <w:sz w:val="32"/>
          <w:szCs w:val="32"/>
        </w:rPr>
        <w:t>（二）管理费用。主要包括项目承担单位为</w:t>
      </w:r>
      <w:r>
        <w:rPr>
          <w:rFonts w:hint="eastAsia" w:ascii="仿宋" w:hAnsi="仿宋" w:eastAsia="仿宋" w:cs="仿宋"/>
          <w:sz w:val="32"/>
          <w:szCs w:val="32"/>
        </w:rPr>
        <w:t>项目研究</w:t>
      </w:r>
      <w:r>
        <w:rPr>
          <w:rFonts w:hint="eastAsia" w:ascii="仿宋" w:hAnsi="仿宋" w:eastAsia="仿宋"/>
          <w:sz w:val="32"/>
          <w:szCs w:val="32"/>
        </w:rPr>
        <w:t>提供的现有仪器设备及房屋占用，日常水、电、气、暖等消耗。</w:t>
      </w:r>
    </w:p>
    <w:p>
      <w:pPr>
        <w:spacing w:line="560" w:lineRule="exact"/>
        <w:ind w:firstLine="645"/>
        <w:rPr>
          <w:rFonts w:hint="eastAsia" w:ascii="仿宋" w:hAnsi="仿宋" w:eastAsia="仿宋"/>
          <w:sz w:val="32"/>
          <w:szCs w:val="32"/>
        </w:rPr>
      </w:pPr>
      <w:r>
        <w:rPr>
          <w:rFonts w:hint="eastAsia" w:ascii="仿宋" w:hAnsi="仿宋" w:eastAsia="仿宋"/>
          <w:sz w:val="32"/>
          <w:szCs w:val="32"/>
        </w:rPr>
        <w:t>（三）有关管理费用的补助支出。</w:t>
      </w:r>
    </w:p>
    <w:p>
      <w:pPr>
        <w:spacing w:line="560" w:lineRule="exact"/>
        <w:ind w:firstLine="645"/>
        <w:rPr>
          <w:rFonts w:hint="eastAsia" w:ascii="仿宋" w:hAnsi="仿宋" w:eastAsia="仿宋"/>
          <w:sz w:val="32"/>
          <w:szCs w:val="32"/>
        </w:rPr>
      </w:pPr>
      <w:r>
        <w:rPr>
          <w:rFonts w:hint="eastAsia" w:ascii="仿宋" w:hAnsi="仿宋" w:eastAsia="仿宋"/>
          <w:sz w:val="32"/>
          <w:szCs w:val="32"/>
        </w:rPr>
        <w:t>间接费用实行总额控制，按照项目经费扣除设备购置费后的一定比例核定：扣除后500万元及以下的部分为不超过30%；500万元至1000万元的部分为不超过25%；1000万元以上的部分为不超过20%；对数学、物理等纯理论基础研究项目和省创新战略研究项目，间接费用比例进一步提高到不超过80%。项目承担单位可将间接费用全部用于绩效支出，并向创新绩效突出的团队和个人倾斜。</w:t>
      </w: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第十三条</w:t>
      </w:r>
      <w:r>
        <w:rPr>
          <w:rFonts w:hint="eastAsia" w:ascii="黑体" w:hAnsi="黑体" w:eastAsia="黑体"/>
          <w:sz w:val="32"/>
          <w:szCs w:val="32"/>
        </w:rPr>
        <w:t xml:space="preserve">  </w:t>
      </w:r>
      <w:r>
        <w:rPr>
          <w:rFonts w:hint="eastAsia" w:ascii="仿宋" w:hAnsi="仿宋" w:eastAsia="仿宋"/>
          <w:sz w:val="32"/>
          <w:szCs w:val="32"/>
        </w:rPr>
        <w:t>对全时全职承担省科技计划项目任务的负责人（首席专家）及引进高端人才，实行一项一策、清单式管理和年薪制。项目承担单位应在项目立项签订任务书时，与省科技厅商定人员名单和年薪标准，并报省财政厅、人社厅备案。年薪所需经费在项目经费中单独核定，在本单位绩效工资总量中单列，相应增加单位当年绩效工资总量。</w:t>
      </w: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第十四条</w:t>
      </w:r>
      <w:r>
        <w:rPr>
          <w:rFonts w:hint="eastAsia" w:ascii="黑体" w:hAnsi="黑体" w:eastAsia="黑体"/>
          <w:sz w:val="32"/>
          <w:szCs w:val="32"/>
        </w:rPr>
        <w:t xml:space="preserve">  </w:t>
      </w:r>
      <w:r>
        <w:rPr>
          <w:rFonts w:hint="eastAsia" w:ascii="仿宋" w:hAnsi="仿宋" w:eastAsia="仿宋"/>
          <w:sz w:val="32"/>
          <w:szCs w:val="32"/>
        </w:rPr>
        <w:t>省属公益类科研院所可在项目验收通过后，从省属公益类科研院所基本科研专项、基础研究项目经费的直接费用中，提取不超过20%的费用作为奖励经费，奖励经费的使用范围和标准由单位在绩效工资总量内统筹决定，在单位内部公示。</w:t>
      </w:r>
    </w:p>
    <w:p>
      <w:pPr>
        <w:spacing w:line="560" w:lineRule="exact"/>
        <w:ind w:firstLine="645"/>
        <w:rPr>
          <w:rFonts w:hint="eastAsia" w:ascii="仿宋" w:hAnsi="仿宋" w:eastAsia="仿宋"/>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第四章  项目经费预算编制与审批</w:t>
      </w:r>
    </w:p>
    <w:p>
      <w:pPr>
        <w:spacing w:line="560" w:lineRule="exact"/>
        <w:ind w:firstLine="645"/>
        <w:rPr>
          <w:rFonts w:hint="eastAsia" w:ascii="黑体" w:hAnsi="黑体" w:eastAsia="黑体"/>
          <w:sz w:val="32"/>
          <w:szCs w:val="32"/>
        </w:rPr>
      </w:pPr>
    </w:p>
    <w:p>
      <w:pPr>
        <w:spacing w:line="560" w:lineRule="exact"/>
        <w:ind w:firstLine="645"/>
        <w:rPr>
          <w:rFonts w:hint="eastAsia" w:ascii="黑体" w:hAnsi="黑体" w:eastAsia="黑体"/>
          <w:sz w:val="32"/>
          <w:szCs w:val="32"/>
        </w:rPr>
      </w:pPr>
      <w:r>
        <w:rPr>
          <w:rFonts w:hint="eastAsia" w:ascii="黑体" w:hAnsi="黑体" w:eastAsia="黑体" w:cs="黑体"/>
          <w:bCs/>
          <w:sz w:val="32"/>
          <w:szCs w:val="32"/>
        </w:rPr>
        <w:t>第十五条</w:t>
      </w:r>
      <w:r>
        <w:rPr>
          <w:rFonts w:hint="eastAsia" w:ascii="仿宋" w:hAnsi="仿宋" w:eastAsia="仿宋"/>
          <w:sz w:val="32"/>
          <w:szCs w:val="32"/>
        </w:rPr>
        <w:t xml:space="preserve">  项目承担单位应当按照政策相符性、目标相关性和经济合理性原则，科学、合理、真实地编制预算。</w:t>
      </w: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第十六条</w:t>
      </w:r>
      <w:r>
        <w:rPr>
          <w:rFonts w:hint="eastAsia" w:ascii="仿宋" w:hAnsi="仿宋" w:eastAsia="仿宋"/>
          <w:sz w:val="32"/>
          <w:szCs w:val="32"/>
        </w:rPr>
        <w:t xml:space="preserve">  项目经费预算编制要求</w:t>
      </w:r>
    </w:p>
    <w:p>
      <w:pPr>
        <w:spacing w:line="560" w:lineRule="exact"/>
        <w:ind w:firstLine="645"/>
        <w:rPr>
          <w:rFonts w:hint="eastAsia" w:ascii="仿宋" w:hAnsi="仿宋" w:eastAsia="仿宋"/>
          <w:sz w:val="32"/>
          <w:szCs w:val="32"/>
        </w:rPr>
      </w:pPr>
      <w:r>
        <w:rPr>
          <w:rFonts w:hint="eastAsia" w:ascii="仿宋" w:hAnsi="仿宋" w:eastAsia="仿宋"/>
          <w:sz w:val="32"/>
          <w:szCs w:val="32"/>
        </w:rPr>
        <w:t>（一）项目经费预算由经费来源（收入）预算和经费支出预算构成。经费支出预算应当按照项目经费支出范围编制，并对各项经费支出的主要用途和测算等进行说明。</w:t>
      </w:r>
    </w:p>
    <w:p>
      <w:pPr>
        <w:spacing w:line="560" w:lineRule="exact"/>
        <w:ind w:firstLine="645"/>
        <w:rPr>
          <w:rFonts w:hint="eastAsia" w:ascii="仿宋" w:hAnsi="仿宋" w:eastAsia="仿宋"/>
          <w:sz w:val="32"/>
          <w:szCs w:val="32"/>
        </w:rPr>
      </w:pPr>
      <w:r>
        <w:rPr>
          <w:rFonts w:hint="eastAsia" w:ascii="仿宋" w:hAnsi="仿宋" w:eastAsia="仿宋"/>
          <w:sz w:val="32"/>
          <w:szCs w:val="32"/>
        </w:rPr>
        <w:t>（二）直接费用中除50万元以上设备费外，其他费用只提供基本测算说明，不需要提供明细。</w:t>
      </w:r>
    </w:p>
    <w:p>
      <w:pPr>
        <w:spacing w:line="560" w:lineRule="exact"/>
        <w:ind w:firstLine="645"/>
        <w:rPr>
          <w:rFonts w:hint="eastAsia" w:ascii="仿宋" w:hAnsi="仿宋" w:eastAsia="仿宋"/>
          <w:sz w:val="32"/>
          <w:szCs w:val="32"/>
          <w:lang w:val="en-US" w:eastAsia="zh-CN"/>
        </w:rPr>
      </w:pPr>
      <w:r>
        <w:rPr>
          <w:rFonts w:hint="eastAsia" w:ascii="仿宋" w:hAnsi="仿宋" w:eastAsia="仿宋"/>
          <w:sz w:val="32"/>
          <w:szCs w:val="32"/>
        </w:rPr>
        <w:t>（三）由多个单位共同承担的项目，应当根据合作协议同时编列各单位承担的主要任务、经费预算等。</w:t>
      </w:r>
      <w:r>
        <w:rPr>
          <w:rFonts w:hint="eastAsia" w:ascii="仿宋" w:hAnsi="仿宋" w:eastAsia="仿宋"/>
          <w:sz w:val="32"/>
          <w:szCs w:val="32"/>
          <w:lang w:val="en-US" w:eastAsia="zh-CN"/>
        </w:rPr>
        <w:t xml:space="preserve"> </w:t>
      </w:r>
    </w:p>
    <w:p>
      <w:pPr>
        <w:spacing w:line="560" w:lineRule="exact"/>
        <w:ind w:firstLine="645"/>
        <w:rPr>
          <w:rFonts w:hint="eastAsia" w:ascii="仿宋" w:hAnsi="仿宋" w:eastAsia="仿宋"/>
          <w:sz w:val="32"/>
          <w:szCs w:val="32"/>
        </w:rPr>
      </w:pPr>
      <w:r>
        <w:rPr>
          <w:rFonts w:hint="eastAsia" w:ascii="仿宋" w:hAnsi="仿宋" w:eastAsia="仿宋"/>
          <w:sz w:val="32"/>
          <w:szCs w:val="32"/>
        </w:rPr>
        <w:t>（四）项目经费预算应当由项目负责人、科研财务助理与项目承担单位财务人员等共同参与编制。</w:t>
      </w:r>
    </w:p>
    <w:p>
      <w:pPr>
        <w:spacing w:line="560" w:lineRule="exact"/>
        <w:ind w:firstLine="645"/>
        <w:rPr>
          <w:rFonts w:hint="eastAsia" w:ascii="黑体" w:hAnsi="黑体" w:eastAsia="黑体"/>
          <w:sz w:val="32"/>
          <w:szCs w:val="32"/>
        </w:rPr>
      </w:pPr>
      <w:r>
        <w:rPr>
          <w:rFonts w:hint="eastAsia" w:ascii="仿宋" w:hAnsi="仿宋" w:eastAsia="仿宋"/>
          <w:sz w:val="32"/>
          <w:szCs w:val="32"/>
        </w:rPr>
        <w:t>具体项目经费预算编制按《科技计划项目经费预算编制说明》（附件1）要求执行。</w:t>
      </w:r>
    </w:p>
    <w:p>
      <w:pPr>
        <w:spacing w:line="560" w:lineRule="exact"/>
        <w:ind w:firstLine="645"/>
        <w:rPr>
          <w:rFonts w:hint="eastAsia" w:ascii="黑体" w:hAnsi="黑体" w:eastAsia="黑体"/>
          <w:sz w:val="32"/>
          <w:szCs w:val="32"/>
        </w:rPr>
      </w:pPr>
      <w:r>
        <w:rPr>
          <w:rFonts w:hint="eastAsia" w:ascii="黑体" w:hAnsi="黑体" w:eastAsia="黑体" w:cs="黑体"/>
          <w:bCs/>
          <w:sz w:val="32"/>
          <w:szCs w:val="32"/>
        </w:rPr>
        <w:t>第十七条</w:t>
      </w:r>
      <w:r>
        <w:rPr>
          <w:rFonts w:hint="eastAsia" w:ascii="黑体" w:hAnsi="黑体" w:eastAsia="黑体"/>
          <w:sz w:val="32"/>
          <w:szCs w:val="32"/>
        </w:rPr>
        <w:t xml:space="preserve">  </w:t>
      </w:r>
      <w:r>
        <w:rPr>
          <w:rFonts w:hint="eastAsia" w:ascii="仿宋" w:hAnsi="仿宋" w:eastAsia="仿宋"/>
          <w:sz w:val="32"/>
          <w:szCs w:val="32"/>
        </w:rPr>
        <w:t>对利用“福建省大型科研设施仪器管理服务平台”科技资源能够满足项目实施需要的，省科技厅不再批准利用项目经费重复购置。凡是项目经费全额或部分出资新购置单台套价格50万元或成套价格在100万元以上的科研仪器设备，按照“谁审批、谁负责”的原则，由省科技厅委托的第三方中介机构进行查重和评议，评议结果作为新购置科研仪器设备预算编制审核的依据。</w:t>
      </w: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第十八条</w:t>
      </w:r>
      <w:r>
        <w:rPr>
          <w:rFonts w:hint="eastAsia" w:ascii="仿宋" w:hAnsi="仿宋" w:eastAsia="仿宋"/>
          <w:sz w:val="32"/>
          <w:szCs w:val="32"/>
        </w:rPr>
        <w:t xml:space="preserve">  项目经费预算评审和审批</w:t>
      </w:r>
    </w:p>
    <w:p>
      <w:pPr>
        <w:spacing w:line="560" w:lineRule="exact"/>
        <w:ind w:firstLine="645"/>
        <w:rPr>
          <w:rFonts w:hint="eastAsia" w:ascii="仿宋" w:hAnsi="仿宋" w:eastAsia="仿宋"/>
          <w:sz w:val="32"/>
          <w:szCs w:val="32"/>
        </w:rPr>
      </w:pPr>
      <w:r>
        <w:rPr>
          <w:rFonts w:hint="eastAsia" w:ascii="仿宋" w:hAnsi="仿宋" w:eastAsia="仿宋"/>
          <w:sz w:val="32"/>
          <w:szCs w:val="32"/>
        </w:rPr>
        <w:t>（一）省科技厅合并技术评审和预算评审，在项目评审时同步开展技术评审和预算评审，不得简单按比例核减预算,不得将预算编制细致程度作为评审预算的因素。</w:t>
      </w:r>
    </w:p>
    <w:p>
      <w:pPr>
        <w:spacing w:line="560" w:lineRule="exact"/>
        <w:ind w:firstLine="645"/>
        <w:rPr>
          <w:rFonts w:hint="eastAsia" w:ascii="仿宋" w:hAnsi="仿宋" w:eastAsia="仿宋"/>
          <w:sz w:val="32"/>
          <w:szCs w:val="32"/>
        </w:rPr>
      </w:pPr>
      <w:r>
        <w:rPr>
          <w:rFonts w:hint="eastAsia" w:ascii="仿宋" w:hAnsi="仿宋" w:eastAsia="仿宋"/>
          <w:sz w:val="32"/>
          <w:szCs w:val="32"/>
        </w:rPr>
        <w:t>（二）预算评审应当按照规范的程序和要求，坚持独立、客观、公正、科学的原则，对项目申报预算的政策相符性、目标相关性和经济合理性进行评审。评审专家应当满足相关回避要求。</w:t>
      </w:r>
    </w:p>
    <w:p>
      <w:pPr>
        <w:spacing w:line="560" w:lineRule="exact"/>
        <w:ind w:firstLine="645"/>
        <w:rPr>
          <w:rFonts w:hint="eastAsia" w:ascii="仿宋" w:hAnsi="仿宋" w:eastAsia="仿宋"/>
          <w:sz w:val="32"/>
          <w:szCs w:val="32"/>
        </w:rPr>
      </w:pPr>
      <w:r>
        <w:rPr>
          <w:rFonts w:hint="eastAsia" w:ascii="仿宋" w:hAnsi="仿宋" w:eastAsia="仿宋"/>
          <w:sz w:val="32"/>
          <w:szCs w:val="32"/>
        </w:rPr>
        <w:t>（三）省科技厅可组织专家或委托中介机构对重大项目的经费预算进行评审。</w:t>
      </w:r>
    </w:p>
    <w:p>
      <w:pPr>
        <w:spacing w:line="560" w:lineRule="exact"/>
        <w:ind w:firstLine="645"/>
        <w:rPr>
          <w:rFonts w:hint="eastAsia" w:ascii="仿宋" w:hAnsi="仿宋" w:eastAsia="仿宋"/>
          <w:sz w:val="32"/>
          <w:szCs w:val="32"/>
        </w:rPr>
      </w:pPr>
      <w:r>
        <w:rPr>
          <w:rFonts w:hint="eastAsia" w:ascii="仿宋" w:hAnsi="仿宋" w:eastAsia="仿宋"/>
          <w:sz w:val="32"/>
          <w:szCs w:val="32"/>
        </w:rPr>
        <w:t>（四）在听取专家或中介机构评审意见的基础上，由省科技厅和省财政厅对经费预算进行审核。对特别重大的项目还可对经费预算组织专门论证。</w:t>
      </w:r>
    </w:p>
    <w:p>
      <w:pPr>
        <w:spacing w:line="560" w:lineRule="exact"/>
        <w:ind w:firstLine="645"/>
        <w:rPr>
          <w:rFonts w:hint="eastAsia" w:ascii="仿宋" w:hAnsi="仿宋" w:eastAsia="仿宋"/>
          <w:sz w:val="32"/>
          <w:szCs w:val="32"/>
        </w:rPr>
      </w:pPr>
      <w:r>
        <w:rPr>
          <w:rFonts w:hint="eastAsia" w:ascii="仿宋" w:hAnsi="仿宋" w:eastAsia="仿宋"/>
          <w:sz w:val="32"/>
          <w:szCs w:val="32"/>
        </w:rPr>
        <w:t>（五）项目立项和经费审定后，由省科技厅会同省财政厅下达项目计划和经费。</w:t>
      </w: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第十九条</w:t>
      </w:r>
      <w:r>
        <w:rPr>
          <w:rFonts w:hint="eastAsia" w:ascii="黑体" w:hAnsi="黑体" w:eastAsia="黑体"/>
          <w:sz w:val="32"/>
          <w:szCs w:val="32"/>
        </w:rPr>
        <w:t xml:space="preserve">  </w:t>
      </w:r>
      <w:r>
        <w:rPr>
          <w:rFonts w:hint="eastAsia" w:ascii="仿宋" w:hAnsi="仿宋" w:eastAsia="仿宋"/>
          <w:sz w:val="32"/>
          <w:szCs w:val="32"/>
        </w:rPr>
        <w:t>对批准立项并分年度实施的项目，由省科技厅根据项目执行情况，将分年度项目经费直接列入年度预算，会同省财政厅下达。</w:t>
      </w: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第二十条</w:t>
      </w:r>
      <w:r>
        <w:rPr>
          <w:rFonts w:hint="eastAsia" w:ascii="仿宋" w:hAnsi="仿宋" w:eastAsia="仿宋"/>
          <w:sz w:val="32"/>
          <w:szCs w:val="32"/>
        </w:rPr>
        <w:t xml:space="preserve">  实行经费包干制的项目，无需编制项目经费预算。</w:t>
      </w:r>
    </w:p>
    <w:p>
      <w:pPr>
        <w:spacing w:line="560" w:lineRule="exact"/>
        <w:ind w:firstLine="645"/>
        <w:rPr>
          <w:rFonts w:hint="eastAsia" w:ascii="仿宋" w:hAnsi="仿宋" w:eastAsia="仿宋"/>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第五章  项目经费使用管理</w:t>
      </w:r>
    </w:p>
    <w:p>
      <w:pPr>
        <w:spacing w:line="560" w:lineRule="exact"/>
        <w:ind w:firstLine="645"/>
        <w:rPr>
          <w:rFonts w:hint="eastAsia" w:ascii="黑体" w:hAnsi="黑体" w:eastAsia="黑体"/>
          <w:sz w:val="32"/>
          <w:szCs w:val="32"/>
        </w:rPr>
      </w:pP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第二十一条</w:t>
      </w:r>
      <w:r>
        <w:rPr>
          <w:rFonts w:hint="eastAsia" w:ascii="仿宋" w:hAnsi="仿宋" w:eastAsia="仿宋"/>
          <w:sz w:val="32"/>
          <w:szCs w:val="32"/>
        </w:rPr>
        <w:t xml:space="preserve">  省科技厅与项目实施管理机构、项目承担单位签订项目任务书（含预算），项目任务书中项目经费预算作为项目预算执行、绩效考评和监督检查的主要依据。</w:t>
      </w: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第二十二条</w:t>
      </w:r>
      <w:r>
        <w:rPr>
          <w:rFonts w:hint="eastAsia" w:ascii="仿宋" w:hAnsi="仿宋" w:eastAsia="仿宋"/>
          <w:sz w:val="32"/>
          <w:szCs w:val="32"/>
        </w:rPr>
        <w:t xml:space="preserve">  项目承担单位应当严格执行国家有关财经法规和财务制度，切实履行项目经费管理法人主体责任，正确行使项目经费管理使用自主权，建立健全项目经费内部管理制度和报销规定，明确内部管理权限和审批程序，完善内控机制建设，加强项目经费绩效管理，确保项目经费使用安全规范有效。</w:t>
      </w: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第二十三条</w:t>
      </w:r>
      <w:r>
        <w:rPr>
          <w:rFonts w:hint="eastAsia" w:ascii="黑体" w:hAnsi="黑体" w:eastAsia="黑体"/>
          <w:sz w:val="32"/>
          <w:szCs w:val="32"/>
        </w:rPr>
        <w:t xml:space="preserve"> </w:t>
      </w:r>
      <w:r>
        <w:rPr>
          <w:rFonts w:hint="eastAsia" w:ascii="仿宋" w:hAnsi="仿宋" w:eastAsia="仿宋"/>
          <w:sz w:val="32"/>
          <w:szCs w:val="32"/>
        </w:rPr>
        <w:t xml:space="preserve"> 项目承担单位应将项目经费纳入单位财务统一管理，对项目经费实行专项管理，进行单独核算，确保专款专用。</w:t>
      </w: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第二十四条</w:t>
      </w:r>
      <w:r>
        <w:rPr>
          <w:rFonts w:hint="eastAsia" w:ascii="仿宋" w:hAnsi="仿宋" w:eastAsia="仿宋"/>
          <w:sz w:val="32"/>
          <w:szCs w:val="32"/>
        </w:rPr>
        <w:t xml:space="preserve">  项目经费会计核算</w:t>
      </w:r>
    </w:p>
    <w:p>
      <w:pPr>
        <w:spacing w:line="560" w:lineRule="exact"/>
        <w:ind w:firstLine="645"/>
        <w:rPr>
          <w:rFonts w:hint="eastAsia" w:ascii="仿宋" w:hAnsi="仿宋" w:eastAsia="仿宋"/>
          <w:sz w:val="32"/>
          <w:szCs w:val="32"/>
        </w:rPr>
      </w:pPr>
      <w:r>
        <w:rPr>
          <w:rFonts w:hint="eastAsia" w:ascii="仿宋" w:hAnsi="仿宋" w:eastAsia="仿宋"/>
          <w:sz w:val="32"/>
          <w:szCs w:val="32"/>
        </w:rPr>
        <w:t>（一）项目承担单位应当具备健全的会计机构和内控制度，由专职的财务人员负责项目经费的会计核算和财务管理工作。</w:t>
      </w:r>
    </w:p>
    <w:p>
      <w:pPr>
        <w:spacing w:line="560" w:lineRule="exact"/>
        <w:ind w:firstLine="645"/>
        <w:rPr>
          <w:rFonts w:hint="eastAsia" w:ascii="黑体" w:hAnsi="黑体" w:eastAsia="黑体"/>
          <w:sz w:val="32"/>
          <w:szCs w:val="32"/>
        </w:rPr>
      </w:pPr>
      <w:r>
        <w:rPr>
          <w:rFonts w:hint="eastAsia" w:ascii="仿宋" w:hAnsi="仿宋" w:eastAsia="仿宋"/>
          <w:sz w:val="32"/>
          <w:szCs w:val="32"/>
        </w:rPr>
        <w:t>（二）项目承担单位应当对不同来源的项目经费分别进行单独核算，即在单位适用的会计制度一级科目之下，按照规定的项目经费支出范围设置明细科目，按支出范围与标准执行，并进行会计核算。</w:t>
      </w: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第二十五条</w:t>
      </w:r>
      <w:r>
        <w:rPr>
          <w:rFonts w:hint="eastAsia" w:ascii="仿宋" w:hAnsi="仿宋" w:eastAsia="仿宋"/>
          <w:sz w:val="32"/>
          <w:szCs w:val="32"/>
        </w:rPr>
        <w:t xml:space="preserve">  项目承担单位是省级预算单位的，可一次性申请项目经费全部用款计划并自行选择支付方式随时支付；也可提起项目经费支付申请，经省级财政部门同意后，将项目经费直接拨付至单位专用账户。</w:t>
      </w: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第二十六条</w:t>
      </w:r>
      <w:r>
        <w:rPr>
          <w:rFonts w:hint="eastAsia" w:ascii="仿宋" w:hAnsi="仿宋" w:eastAsia="仿宋"/>
          <w:sz w:val="32"/>
          <w:szCs w:val="32"/>
        </w:rPr>
        <w:t xml:space="preserve">  项目承担单位应当严格执行国家有关支出管理制度。对于设备、大宗材料、测试化验加工、劳务、专家咨询等费用，原则上应当通过银行转账方式或公务卡结算。</w:t>
      </w: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第二十七条</w:t>
      </w:r>
      <w:r>
        <w:rPr>
          <w:rFonts w:hint="eastAsia" w:ascii="仿宋" w:hAnsi="仿宋" w:eastAsia="仿宋"/>
          <w:sz w:val="32"/>
          <w:szCs w:val="32"/>
        </w:rPr>
        <w:t xml:space="preserve">  完善公务卡管理</w:t>
      </w:r>
    </w:p>
    <w:p>
      <w:pPr>
        <w:spacing w:line="560" w:lineRule="exact"/>
        <w:ind w:firstLine="645"/>
        <w:rPr>
          <w:rFonts w:hint="eastAsia" w:ascii="仿宋" w:hAnsi="仿宋" w:eastAsia="仿宋"/>
          <w:sz w:val="32"/>
          <w:szCs w:val="32"/>
        </w:rPr>
      </w:pPr>
      <w:r>
        <w:rPr>
          <w:rFonts w:hint="eastAsia" w:ascii="仿宋" w:hAnsi="仿宋" w:eastAsia="仿宋"/>
          <w:sz w:val="32"/>
          <w:szCs w:val="32"/>
        </w:rPr>
        <w:t>（一）高校、科研院所等事业单位承担项目所发生的会议/差旅/国际合作交流、材料和测试化验加工等支出，按相关规定实行银行转账或公务卡结算，在不具备刷卡条件的情况下，经单位同意可不使用公务卡结算。</w:t>
      </w:r>
    </w:p>
    <w:p>
      <w:pPr>
        <w:spacing w:line="560" w:lineRule="exact"/>
        <w:ind w:firstLine="645"/>
        <w:rPr>
          <w:rFonts w:hint="eastAsia" w:ascii="仿宋" w:hAnsi="仿宋" w:eastAsia="仿宋"/>
          <w:sz w:val="32"/>
          <w:szCs w:val="32"/>
        </w:rPr>
      </w:pPr>
      <w:r>
        <w:rPr>
          <w:rFonts w:hint="eastAsia" w:ascii="仿宋" w:hAnsi="仿宋" w:eastAsia="仿宋"/>
          <w:sz w:val="32"/>
          <w:szCs w:val="32"/>
        </w:rPr>
        <w:t>（二）对于参与科研项目1年以上，并负责科研经费支出报销业务的项目聘用人员，经项目负责人和单位批准后，可以办理并使用公务卡。</w:t>
      </w:r>
    </w:p>
    <w:p>
      <w:pPr>
        <w:spacing w:line="560" w:lineRule="exact"/>
        <w:ind w:firstLine="645"/>
        <w:rPr>
          <w:rFonts w:hint="eastAsia" w:ascii="仿宋" w:hAnsi="仿宋" w:eastAsia="仿宋"/>
          <w:sz w:val="32"/>
          <w:szCs w:val="32"/>
        </w:rPr>
      </w:pPr>
      <w:r>
        <w:rPr>
          <w:rFonts w:hint="eastAsia" w:ascii="仿宋" w:hAnsi="仿宋" w:eastAsia="仿宋"/>
          <w:sz w:val="32"/>
          <w:szCs w:val="32"/>
        </w:rPr>
        <w:t>（三）科研项目中的临时聘用人员、研究生等不具备公务卡办卡资格的参与人员，因执行项目任务产生的差旅费等支出，经项目负责人和单位批准后，可不使用公务卡结算，但原则上不得使用现金。</w:t>
      </w: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第二十八条</w:t>
      </w:r>
      <w:r>
        <w:rPr>
          <w:rFonts w:hint="eastAsia" w:ascii="黑体" w:hAnsi="黑体" w:eastAsia="黑体"/>
          <w:sz w:val="32"/>
          <w:szCs w:val="32"/>
        </w:rPr>
        <w:t xml:space="preserve">  </w:t>
      </w:r>
      <w:r>
        <w:rPr>
          <w:rFonts w:hint="eastAsia" w:ascii="仿宋" w:hAnsi="仿宋" w:eastAsia="仿宋"/>
          <w:sz w:val="32"/>
          <w:szCs w:val="32"/>
        </w:rPr>
        <w:t>项目经费使用中涉及政府采购的，采购活动应按照政府采购法律法规和有关规定执行。高校、科研院所应优化和完善内部管理规定，简化科研仪器设备采购流程，对科研急需的设备和耗材采取特事特办、随到随办的采购机制，可不进行招标投标程序。对申请变更政府采购方式实行限时办结制度，财政部门自收到变更申请并符合要求的项目，原则上在5个工作日内办结。</w:t>
      </w: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第二十九条</w:t>
      </w:r>
      <w:r>
        <w:rPr>
          <w:rFonts w:hint="eastAsia" w:ascii="黑体" w:hAnsi="黑体" w:eastAsia="黑体"/>
          <w:sz w:val="32"/>
          <w:szCs w:val="32"/>
        </w:rPr>
        <w:t xml:space="preserve">  </w:t>
      </w:r>
      <w:r>
        <w:rPr>
          <w:rFonts w:hint="eastAsia" w:ascii="仿宋" w:hAnsi="仿宋" w:eastAsia="仿宋"/>
          <w:sz w:val="32"/>
          <w:szCs w:val="32"/>
        </w:rPr>
        <w:t>项目经费中的会议/差旅</w:t>
      </w:r>
      <w:r>
        <w:rPr>
          <w:rFonts w:ascii="仿宋" w:hAnsi="仿宋" w:eastAsia="仿宋"/>
          <w:sz w:val="32"/>
          <w:szCs w:val="32"/>
        </w:rPr>
        <w:t>/</w:t>
      </w:r>
      <w:r>
        <w:rPr>
          <w:rFonts w:hint="eastAsia" w:ascii="仿宋" w:hAnsi="仿宋" w:eastAsia="仿宋"/>
          <w:sz w:val="32"/>
          <w:szCs w:val="32"/>
        </w:rPr>
        <w:t>国际合作交流支出应结合科研活动实际需要，参照国家、省内有关规定执行。高校、科研院所按以下规定执行：</w:t>
      </w:r>
    </w:p>
    <w:p>
      <w:pPr>
        <w:spacing w:line="560" w:lineRule="exact"/>
        <w:ind w:firstLine="645"/>
        <w:rPr>
          <w:rFonts w:hint="eastAsia" w:ascii="仿宋" w:hAnsi="仿宋" w:eastAsia="仿宋"/>
          <w:sz w:val="32"/>
          <w:szCs w:val="32"/>
        </w:rPr>
      </w:pPr>
      <w:r>
        <w:rPr>
          <w:rFonts w:hint="eastAsia" w:ascii="仿宋" w:hAnsi="仿宋" w:eastAsia="仿宋"/>
          <w:sz w:val="32"/>
          <w:szCs w:val="32"/>
        </w:rPr>
        <w:t>（一）高校、科研院所可根据科研活动实际需要，合理确定科研人员乘坐交通工具等级和住宿标准，会议次数、天数、人数和会议费开支范围、标准。对野外考察、心理测试等科研活动中无法取得发票或财政性票据的，项目承担单位在确保真实性的前提下，可按实际发生额予以报销费用，并按规定标准发放伙食补助和市内交通费。</w:t>
      </w:r>
    </w:p>
    <w:p>
      <w:pPr>
        <w:spacing w:line="560" w:lineRule="exact"/>
        <w:ind w:firstLine="645"/>
        <w:rPr>
          <w:rFonts w:hint="eastAsia" w:ascii="仿宋" w:hAnsi="仿宋" w:eastAsia="仿宋"/>
          <w:sz w:val="32"/>
          <w:szCs w:val="32"/>
        </w:rPr>
      </w:pPr>
      <w:r>
        <w:rPr>
          <w:rFonts w:hint="eastAsia" w:ascii="仿宋" w:hAnsi="仿宋" w:eastAsia="仿宋"/>
          <w:sz w:val="32"/>
          <w:szCs w:val="32"/>
        </w:rPr>
        <w:t>（二）高校、科研院所因科研活动需要，邀请国内外专家、学者和有关人员参加其主办的会议等，对确需负担的城市间交通费、国际旅费，可由其在会议费等费用中报销。对国内差旅费中的伙食补助费、市内交通费和难以取得发票的住宿费可实行包干制。</w:t>
      </w:r>
    </w:p>
    <w:p>
      <w:pPr>
        <w:spacing w:line="560" w:lineRule="exact"/>
        <w:ind w:firstLine="645"/>
        <w:rPr>
          <w:rFonts w:hint="eastAsia" w:ascii="仿宋" w:hAnsi="仿宋" w:eastAsia="仿宋"/>
          <w:sz w:val="32"/>
          <w:szCs w:val="32"/>
        </w:rPr>
      </w:pPr>
      <w:r>
        <w:rPr>
          <w:rFonts w:hint="eastAsia" w:ascii="仿宋" w:hAnsi="仿宋" w:eastAsia="仿宋"/>
          <w:sz w:val="32"/>
          <w:szCs w:val="32"/>
        </w:rPr>
        <w:t>（三）高校、科研院所为完成项目任务目标的出国（境）参加学术交流活动的次数、天数，可根据科研活动实际需要予以安排。</w:t>
      </w:r>
    </w:p>
    <w:p>
      <w:pPr>
        <w:spacing w:line="560" w:lineRule="exact"/>
        <w:ind w:firstLine="645"/>
        <w:rPr>
          <w:rFonts w:hint="eastAsia" w:ascii="仿宋" w:hAnsi="仿宋" w:eastAsia="仿宋"/>
          <w:sz w:val="32"/>
          <w:szCs w:val="32"/>
        </w:rPr>
      </w:pPr>
      <w:r>
        <w:rPr>
          <w:rFonts w:hint="eastAsia" w:ascii="仿宋" w:hAnsi="仿宋" w:eastAsia="仿宋"/>
          <w:sz w:val="32"/>
          <w:szCs w:val="32"/>
        </w:rPr>
        <w:t>项目承担单位为完成项目的任务目标，</w:t>
      </w:r>
      <w:r>
        <w:rPr>
          <w:rFonts w:hint="eastAsia" w:ascii="仿宋" w:hAnsi="仿宋" w:eastAsia="仿宋"/>
          <w:sz w:val="32"/>
          <w:szCs w:val="32"/>
          <w:lang w:eastAsia="zh-CN"/>
        </w:rPr>
        <w:t>从科研经费中</w:t>
      </w:r>
      <w:r>
        <w:rPr>
          <w:rFonts w:hint="eastAsia" w:ascii="仿宋" w:hAnsi="仿宋" w:eastAsia="仿宋"/>
          <w:sz w:val="32"/>
          <w:szCs w:val="32"/>
        </w:rPr>
        <w:t>列支的国际合作</w:t>
      </w:r>
      <w:r>
        <w:rPr>
          <w:rFonts w:hint="eastAsia" w:ascii="仿宋" w:hAnsi="仿宋" w:eastAsia="仿宋"/>
          <w:sz w:val="32"/>
          <w:szCs w:val="32"/>
          <w:lang w:eastAsia="zh-CN"/>
        </w:rPr>
        <w:t>与</w:t>
      </w:r>
      <w:r>
        <w:rPr>
          <w:rFonts w:hint="eastAsia" w:ascii="仿宋" w:hAnsi="仿宋" w:eastAsia="仿宋"/>
          <w:sz w:val="32"/>
          <w:szCs w:val="32"/>
        </w:rPr>
        <w:t>交流</w:t>
      </w:r>
      <w:r>
        <w:rPr>
          <w:rFonts w:hint="eastAsia" w:ascii="仿宋" w:hAnsi="仿宋" w:eastAsia="仿宋"/>
          <w:sz w:val="32"/>
          <w:szCs w:val="32"/>
          <w:lang w:eastAsia="zh-CN"/>
        </w:rPr>
        <w:t>费用</w:t>
      </w:r>
      <w:r>
        <w:rPr>
          <w:rFonts w:hint="eastAsia" w:ascii="仿宋" w:hAnsi="仿宋" w:eastAsia="仿宋"/>
          <w:sz w:val="32"/>
          <w:szCs w:val="32"/>
        </w:rPr>
        <w:t>不纳入“三公</w:t>
      </w:r>
      <w:r>
        <w:rPr>
          <w:rFonts w:ascii="仿宋" w:hAnsi="仿宋" w:eastAsia="仿宋"/>
          <w:sz w:val="32"/>
          <w:szCs w:val="32"/>
        </w:rPr>
        <w:t>”</w:t>
      </w:r>
      <w:r>
        <w:rPr>
          <w:rFonts w:hint="eastAsia" w:ascii="仿宋" w:hAnsi="仿宋" w:eastAsia="仿宋"/>
          <w:sz w:val="32"/>
          <w:szCs w:val="32"/>
        </w:rPr>
        <w:t>经费统计范围，不受零增长要求限制。</w:t>
      </w:r>
    </w:p>
    <w:p>
      <w:pPr>
        <w:spacing w:line="560" w:lineRule="exact"/>
        <w:ind w:firstLine="640" w:firstLineChars="200"/>
        <w:rPr>
          <w:rFonts w:hint="eastAsia" w:ascii="仿宋" w:hAnsi="仿宋" w:eastAsia="仿宋"/>
          <w:sz w:val="32"/>
          <w:szCs w:val="32"/>
        </w:rPr>
      </w:pPr>
      <w:r>
        <w:rPr>
          <w:rFonts w:hint="eastAsia" w:ascii="黑体" w:hAnsi="黑体" w:eastAsia="黑体" w:cs="黑体"/>
          <w:bCs/>
          <w:sz w:val="32"/>
          <w:szCs w:val="32"/>
        </w:rPr>
        <w:t>第三十条</w:t>
      </w:r>
      <w:r>
        <w:rPr>
          <w:rFonts w:hint="eastAsia" w:ascii="黑体" w:hAnsi="黑体" w:eastAsia="黑体"/>
          <w:sz w:val="32"/>
          <w:szCs w:val="32"/>
        </w:rPr>
        <w:t xml:space="preserve">  </w:t>
      </w:r>
      <w:r>
        <w:rPr>
          <w:rFonts w:hint="eastAsia" w:ascii="仿宋" w:hAnsi="仿宋" w:eastAsia="仿宋"/>
          <w:sz w:val="32"/>
          <w:szCs w:val="32"/>
        </w:rPr>
        <w:t>项目经费管理使用不得存在以下行为（负面清单）：</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（一）编报虚假预算；</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（二）未对项目经费进行单独核算；</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（三）列支与本项目任务无关的支出；</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（四）超标准列支项目经费；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（五）使用项目资金列支应当由个人负担的有关费用和支付各种罚款、捐款、赞助、投资，偿还债务等；</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（六）未按规定执行和调剂预算，违反规定转拨项目经费；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（七）通过编报虚假合同、虚假票据、虚构事项、虚报人员等弄虚作假，转移、套取、报销项目经费；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（八）截留、挤占、挪用项目经费；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（九）设置账外账、随意调账变动支出、随意修改记账凭证、提供虚假财务会计资料等；</w:t>
      </w:r>
    </w:p>
    <w:p>
      <w:pPr>
        <w:spacing w:line="560" w:lineRule="exact"/>
        <w:ind w:firstLine="645"/>
        <w:rPr>
          <w:rFonts w:hint="eastAsia" w:ascii="黑体" w:hAnsi="黑体" w:eastAsia="黑体"/>
          <w:sz w:val="32"/>
          <w:szCs w:val="32"/>
        </w:rPr>
      </w:pPr>
      <w:r>
        <w:rPr>
          <w:rFonts w:hint="eastAsia" w:ascii="仿宋" w:hAnsi="仿宋" w:eastAsia="仿宋"/>
          <w:sz w:val="32"/>
          <w:szCs w:val="32"/>
        </w:rPr>
        <w:t>（十）其他违反国家财经纪律的行为。</w:t>
      </w:r>
    </w:p>
    <w:p>
      <w:pPr>
        <w:spacing w:line="560" w:lineRule="exact"/>
        <w:ind w:firstLine="645"/>
        <w:rPr>
          <w:rFonts w:hint="eastAsia" w:ascii="黑体" w:hAnsi="黑体" w:eastAsia="黑体"/>
          <w:sz w:val="32"/>
          <w:szCs w:val="32"/>
        </w:rPr>
      </w:pPr>
      <w:r>
        <w:rPr>
          <w:rFonts w:hint="eastAsia" w:ascii="黑体" w:hAnsi="黑体" w:eastAsia="黑体" w:cs="黑体"/>
          <w:bCs/>
          <w:sz w:val="32"/>
          <w:szCs w:val="32"/>
        </w:rPr>
        <w:t>第三十一条</w:t>
      </w:r>
      <w:r>
        <w:rPr>
          <w:rFonts w:hint="eastAsia" w:ascii="仿宋" w:hAnsi="仿宋" w:eastAsia="仿宋"/>
          <w:sz w:val="32"/>
          <w:szCs w:val="32"/>
        </w:rPr>
        <w:t xml:space="preserve">  </w:t>
      </w:r>
      <w:r>
        <w:rPr>
          <w:rFonts w:hint="eastAsia" w:ascii="仿宋" w:hAnsi="仿宋" w:eastAsia="仿宋" w:cs="仿宋"/>
          <w:sz w:val="32"/>
          <w:szCs w:val="32"/>
        </w:rPr>
        <w:t>项目承担单位应当按照下达的项目经费预算执行。项目经费预算确有必要调剂时，应当按照以下调剂范围和权限，履行相关程序：</w:t>
      </w:r>
      <w:r>
        <w:rPr>
          <w:rFonts w:hint="eastAsia" w:ascii="仿宋" w:hAnsi="仿宋" w:eastAsia="仿宋"/>
          <w:sz w:val="32"/>
          <w:szCs w:val="32"/>
        </w:rPr>
        <w:t>对设备费预算调剂的，由项目负责人提出申请，所在单位统筹考虑现有设备配置情况和科研项目实际需求，及时办理审批手续；除设备费外的其他直接费用调剂，由项目负责人根据科研活动实际需要自主安排；间接费用预算调剂不得超过间接费用原预算总额。由多个合作单位共同承担的项目，合作单位预算调剂由牵头的项目承担单位核准。</w:t>
      </w:r>
    </w:p>
    <w:p>
      <w:pPr>
        <w:spacing w:line="560" w:lineRule="exact"/>
        <w:ind w:firstLine="645"/>
        <w:rPr>
          <w:rFonts w:hint="eastAsia" w:ascii="仿宋" w:hAnsi="仿宋" w:eastAsia="仿宋"/>
          <w:sz w:val="32"/>
          <w:szCs w:val="32"/>
        </w:rPr>
      </w:pPr>
      <w:r>
        <w:rPr>
          <w:rFonts w:hint="eastAsia" w:ascii="黑体" w:hAnsi="黑体" w:eastAsia="黑体" w:cs="黑体"/>
          <w:bCs/>
          <w:sz w:val="32"/>
          <w:szCs w:val="32"/>
        </w:rPr>
        <w:t>第三十二条</w:t>
      </w:r>
      <w:r>
        <w:rPr>
          <w:rFonts w:hint="eastAsia" w:ascii="仿宋" w:hAnsi="仿宋" w:eastAsia="仿宋"/>
          <w:sz w:val="32"/>
          <w:szCs w:val="32"/>
        </w:rPr>
        <w:t xml:space="preserve">  项目经费结转结余管理。</w:t>
      </w:r>
    </w:p>
    <w:p>
      <w:pPr>
        <w:spacing w:line="560" w:lineRule="exact"/>
        <w:ind w:firstLine="645"/>
        <w:rPr>
          <w:rFonts w:hint="eastAsia" w:ascii="仿宋" w:hAnsi="仿宋" w:eastAsia="仿宋"/>
          <w:sz w:val="32"/>
          <w:szCs w:val="32"/>
        </w:rPr>
      </w:pPr>
      <w:r>
        <w:rPr>
          <w:rFonts w:hint="eastAsia" w:ascii="仿宋" w:hAnsi="仿宋" w:eastAsia="仿宋"/>
          <w:sz w:val="32"/>
          <w:szCs w:val="32"/>
        </w:rPr>
        <w:t>（一）项目在研期间，年度剩余经费结转下一年度继续使用。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项目验收通过后，结余经费留归项目承担单位继续使用。项目承担单位要将结余经费统筹用于科研活动直接支出，优先考虑原项目团队科研需求。项目承担单位应加强结余经费管理，建立健全结余经费盘活机制，加快结余经费使用进度。</w:t>
      </w:r>
    </w:p>
    <w:p>
      <w:pPr>
        <w:spacing w:line="560" w:lineRule="exact"/>
        <w:ind w:firstLine="640" w:firstLineChars="200"/>
        <w:rPr>
          <w:rFonts w:hint="eastAsia" w:ascii="仿宋" w:hAnsi="仿宋" w:eastAsia="仿宋" w:cs="仿宋"/>
          <w:sz w:val="32"/>
          <w:szCs w:val="32"/>
        </w:rPr>
      </w:pPr>
      <w:r>
        <w:rPr>
          <w:rFonts w:hint="eastAsia" w:ascii="黑体" w:hAnsi="黑体" w:eastAsia="黑体" w:cs="黑体"/>
          <w:bCs/>
          <w:sz w:val="32"/>
          <w:szCs w:val="32"/>
        </w:rPr>
        <w:t>第三十三条</w:t>
      </w:r>
      <w:r>
        <w:rPr>
          <w:rFonts w:hint="eastAsia" w:ascii="黑体" w:hAnsi="黑体" w:eastAsia="黑体"/>
          <w:sz w:val="32"/>
          <w:szCs w:val="32"/>
        </w:rPr>
        <w:t xml:space="preserve">  </w:t>
      </w:r>
      <w:r>
        <w:rPr>
          <w:rFonts w:hint="eastAsia" w:ascii="仿宋" w:hAnsi="仿宋" w:eastAsia="仿宋" w:cs="仿宋"/>
          <w:sz w:val="32"/>
          <w:szCs w:val="32"/>
        </w:rPr>
        <w:t>对事业单位承担的项目经费在10万元及以下的基础性研究小额资助项目（包括省创新战略研究项目、自然科学基金面上项目和青创项目）实行经费包干制。</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实行经费包干制的项目，项目承担单位应当制定相应的内部管理规定，加强对资金使用的管理、指导和监督，确保资金安全和规范有效使用。项目负责人在承诺遵守科研伦理道德和作风学风诚信要求、资金全部用于与本项目研究工作相关支出的基础上，在项目经费支出范围内自主决定经费使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（二）对于项目承担单位为项目研究</w:t>
      </w:r>
      <w:r>
        <w:rPr>
          <w:rFonts w:hint="eastAsia" w:ascii="仿宋" w:hAnsi="仿宋" w:eastAsia="仿宋"/>
          <w:sz w:val="32"/>
          <w:szCs w:val="32"/>
        </w:rPr>
        <w:t>提供的现有仪器设备及房屋占用，日常水、电、气、暖等消耗</w:t>
      </w:r>
      <w:r>
        <w:rPr>
          <w:rFonts w:hint="eastAsia" w:ascii="仿宋" w:hAnsi="仿宋" w:eastAsia="仿宋" w:cs="仿宋"/>
          <w:sz w:val="32"/>
          <w:szCs w:val="32"/>
        </w:rPr>
        <w:t>，有关管理费用的补助支出，由项目承担单位根据实际管理需要，在充分征求项目负责人意见基础上合理确定。</w:t>
      </w:r>
    </w:p>
    <w:p>
      <w:pPr>
        <w:spacing w:line="560" w:lineRule="exact"/>
        <w:ind w:firstLine="645"/>
        <w:rPr>
          <w:rFonts w:hint="eastAsia" w:ascii="仿宋" w:hAnsi="仿宋" w:eastAsia="仿宋"/>
          <w:sz w:val="32"/>
          <w:szCs w:val="32"/>
        </w:rPr>
      </w:pPr>
      <w:r>
        <w:rPr>
          <w:rFonts w:hint="eastAsia" w:ascii="仿宋" w:hAnsi="仿宋" w:eastAsia="仿宋" w:cs="仿宋"/>
          <w:sz w:val="32"/>
          <w:szCs w:val="32"/>
        </w:rPr>
        <w:t>（三）项目执行期满后，项目负责人应当编制项目经费决算，经项目承担单位审核后报省科技厅，按规定办理项目验收手续。包干制项目验收通过后，结余经费留归项目负责人自主用于其他研发活动。</w:t>
      </w:r>
    </w:p>
    <w:p>
      <w:pPr>
        <w:spacing w:line="560" w:lineRule="exact"/>
        <w:ind w:firstLine="640" w:firstLineChars="200"/>
        <w:rPr>
          <w:rFonts w:hint="eastAsia" w:ascii="黑体" w:hAnsi="黑体" w:eastAsia="黑体"/>
          <w:sz w:val="32"/>
          <w:szCs w:val="32"/>
        </w:rPr>
      </w:pPr>
      <w:r>
        <w:rPr>
          <w:rFonts w:hint="eastAsia" w:ascii="黑体" w:hAnsi="黑体" w:eastAsia="黑体" w:cs="黑体"/>
          <w:bCs/>
          <w:sz w:val="32"/>
          <w:szCs w:val="32"/>
        </w:rPr>
        <w:t>第三十四条</w:t>
      </w:r>
      <w:r>
        <w:rPr>
          <w:rFonts w:hint="eastAsia" w:ascii="黑体" w:hAnsi="黑体" w:eastAsia="黑体"/>
          <w:sz w:val="32"/>
          <w:szCs w:val="32"/>
        </w:rPr>
        <w:t xml:space="preserve">  </w:t>
      </w:r>
      <w:r>
        <w:rPr>
          <w:rFonts w:hint="eastAsia" w:ascii="仿宋" w:hAnsi="仿宋" w:eastAsia="仿宋"/>
          <w:sz w:val="32"/>
          <w:szCs w:val="32"/>
        </w:rPr>
        <w:t>项目验收结题时，项目承担单位应当办理项目经费决算，提交《科技计划项目经费总决算表》，经项目承担单位审核后，上报省科技厅，作为项目验收结题的必备条件。项目承担单位已注销、破产或失联的，经项目实施管理机构核实确认并提供相关佐证材料，不再要求编制项目经费决算。</w:t>
      </w:r>
    </w:p>
    <w:p>
      <w:pPr>
        <w:spacing w:line="560" w:lineRule="exact"/>
        <w:ind w:firstLine="640" w:firstLineChars="200"/>
        <w:rPr>
          <w:rFonts w:hint="eastAsia" w:ascii="仿宋" w:hAnsi="仿宋" w:eastAsia="仿宋"/>
          <w:sz w:val="32"/>
          <w:szCs w:val="32"/>
        </w:rPr>
      </w:pPr>
      <w:r>
        <w:rPr>
          <w:rFonts w:hint="eastAsia" w:ascii="黑体" w:hAnsi="黑体" w:eastAsia="黑体" w:cs="黑体"/>
          <w:bCs/>
          <w:sz w:val="32"/>
          <w:szCs w:val="32"/>
        </w:rPr>
        <w:t>第三十五条</w:t>
      </w:r>
      <w:r>
        <w:rPr>
          <w:rFonts w:hint="eastAsia" w:ascii="黑体" w:hAnsi="黑体" w:eastAsia="黑体"/>
          <w:sz w:val="32"/>
          <w:szCs w:val="32"/>
        </w:rPr>
        <w:t xml:space="preserve">  </w:t>
      </w:r>
      <w:r>
        <w:rPr>
          <w:rFonts w:hint="eastAsia" w:ascii="仿宋" w:hAnsi="仿宋" w:eastAsia="仿宋"/>
          <w:sz w:val="32"/>
          <w:szCs w:val="32"/>
        </w:rPr>
        <w:t>验收不合格的项目，未拨付的项目经费不予拨付，已拨付未使用完的项目经费全部予以收回；验收基本合格的项目，不再下达结转经费（事前立项事后补助项目在计划经费额度内按验收核定实际经费80%下达）；撤销的项目，项目经费全部收回；中止的项目，剩余经费应全部收回。上述应收回经费应按要求的时限交回，否则，将限制相关项目承担单位省科技计划项目申报资格。</w:t>
      </w:r>
    </w:p>
    <w:p>
      <w:pPr>
        <w:spacing w:line="560" w:lineRule="exact"/>
        <w:ind w:firstLine="640" w:firstLineChars="200"/>
        <w:rPr>
          <w:rFonts w:hint="eastAsia" w:ascii="仿宋" w:hAnsi="仿宋" w:eastAsia="仿宋"/>
          <w:sz w:val="32"/>
          <w:szCs w:val="32"/>
        </w:rPr>
      </w:pPr>
      <w:r>
        <w:rPr>
          <w:rFonts w:hint="eastAsia" w:ascii="黑体" w:hAnsi="黑体" w:eastAsia="黑体" w:cs="黑体"/>
          <w:bCs/>
          <w:sz w:val="32"/>
          <w:szCs w:val="32"/>
        </w:rPr>
        <w:t>第三十六条</w:t>
      </w:r>
      <w:r>
        <w:rPr>
          <w:rFonts w:hint="eastAsia" w:ascii="仿宋" w:hAnsi="仿宋" w:eastAsia="仿宋"/>
          <w:sz w:val="32"/>
          <w:szCs w:val="32"/>
        </w:rPr>
        <w:t xml:space="preserve">  项目经费执行过程中实行重大事项报告制度。在项目实施期间出现任务重大调整和变更，以及不可抗拒因素造成意外损失等原因使项目中止或撤销而影响预算执行的重大事项，项目负责人和项目承担单位应及时报告项目实施管理机构审核后，报省科技厅审批。</w:t>
      </w:r>
    </w:p>
    <w:p>
      <w:pPr>
        <w:spacing w:line="560" w:lineRule="exact"/>
        <w:ind w:firstLine="640" w:firstLineChars="200"/>
        <w:rPr>
          <w:rFonts w:hint="eastAsia" w:ascii="仿宋" w:hAnsi="仿宋" w:eastAsia="仿宋"/>
          <w:sz w:val="32"/>
          <w:szCs w:val="32"/>
        </w:rPr>
      </w:pPr>
      <w:r>
        <w:rPr>
          <w:rFonts w:hint="eastAsia" w:ascii="黑体" w:hAnsi="黑体" w:eastAsia="黑体" w:cs="黑体"/>
          <w:sz w:val="32"/>
          <w:szCs w:val="32"/>
        </w:rPr>
        <w:t>第三十七条</w:t>
      </w:r>
      <w:r>
        <w:rPr>
          <w:rFonts w:hint="eastAsia" w:ascii="仿宋" w:hAnsi="仿宋" w:eastAsia="仿宋"/>
          <w:sz w:val="32"/>
          <w:szCs w:val="32"/>
        </w:rPr>
        <w:t xml:space="preserve">  项目实施过程中，行政事业单位使用项目经费形成的固定资产属于国有资产，应当按照国家和我省有关国有资产管理的规定执行。企业使用项目经费形成的固定资产，按照《企业财务通则》等相关规章制度执行。</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项目承担单位使用项目经费形成的知识产权等无形资产的管理，按照国家和我省有关规定执行。</w:t>
      </w:r>
    </w:p>
    <w:p>
      <w:pPr>
        <w:spacing w:line="560" w:lineRule="exact"/>
        <w:ind w:firstLine="645"/>
        <w:rPr>
          <w:rFonts w:hint="eastAsia" w:ascii="黑体" w:hAnsi="黑体" w:eastAsia="黑体"/>
          <w:sz w:val="32"/>
          <w:szCs w:val="32"/>
        </w:rPr>
      </w:pPr>
      <w:r>
        <w:rPr>
          <w:rFonts w:hint="eastAsia" w:ascii="仿宋" w:hAnsi="仿宋" w:eastAsia="仿宋"/>
          <w:sz w:val="32"/>
          <w:szCs w:val="32"/>
        </w:rPr>
        <w:t>使用项目经费形成的大型科学仪器设备、科学数据、自然科技资源等，按照规定开放共享。</w:t>
      </w:r>
    </w:p>
    <w:p>
      <w:pPr>
        <w:spacing w:line="560" w:lineRule="exact"/>
        <w:rPr>
          <w:rFonts w:hint="eastAsia" w:ascii="黑体" w:hAnsi="黑体" w:eastAsia="黑体"/>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 xml:space="preserve">第六章  </w:t>
      </w:r>
      <w:r>
        <w:rPr>
          <w:rFonts w:hint="eastAsia" w:ascii="黑体" w:hAnsi="黑体" w:eastAsia="黑体"/>
          <w:sz w:val="32"/>
          <w:szCs w:val="32"/>
          <w:lang w:eastAsia="zh-CN"/>
        </w:rPr>
        <w:t>绩效管理与</w:t>
      </w:r>
      <w:r>
        <w:rPr>
          <w:rFonts w:hint="eastAsia" w:ascii="黑体" w:hAnsi="黑体" w:eastAsia="黑体"/>
          <w:sz w:val="32"/>
          <w:szCs w:val="32"/>
        </w:rPr>
        <w:t>监督检查</w:t>
      </w:r>
    </w:p>
    <w:p>
      <w:pPr>
        <w:spacing w:line="560" w:lineRule="exact"/>
        <w:rPr>
          <w:rFonts w:hint="eastAsia" w:ascii="仿宋" w:hAnsi="仿宋" w:eastAsia="仿宋" w:cs="仿宋"/>
          <w:sz w:val="32"/>
          <w:szCs w:val="32"/>
        </w:rPr>
      </w:pP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第三十八条</w:t>
      </w:r>
      <w:r>
        <w:rPr>
          <w:rFonts w:hint="eastAsia" w:ascii="黑体" w:hAnsi="黑体" w:eastAsia="黑体" w:cs="黑体"/>
          <w:bCs/>
          <w:sz w:val="32"/>
          <w:szCs w:val="32"/>
          <w:lang w:val="en-US" w:eastAsia="zh-CN"/>
        </w:rPr>
        <w:t xml:space="preserve">  </w:t>
      </w:r>
      <w:r>
        <w:rPr>
          <w:rFonts w:hint="eastAsia" w:ascii="仿宋" w:hAnsi="仿宋" w:eastAsia="仿宋"/>
        </w:rPr>
        <w:t>省科技厅、省财政厅应进一步强化绩效导向，适时组织对项目经费管理使用效益进行绩效评价；加强分类绩效评价，对自由探索型、任务导向型等不同类型科研项目，健全差异化的绩效评价指标体系；强化绩效评价结果运用，将绩效评价结果作为项目调整、后续支持的重要依据。项目承担单位应切实加强绩效管理，引导科研资源向优秀人才和团队倾斜，提高项目经费使用效益。</w:t>
      </w:r>
    </w:p>
    <w:p>
      <w:pPr>
        <w:spacing w:line="560" w:lineRule="exact"/>
        <w:ind w:firstLine="640" w:firstLineChars="200"/>
        <w:rPr>
          <w:rFonts w:hint="eastAsia" w:ascii="仿宋" w:hAnsi="仿宋" w:eastAsia="仿宋" w:cs="仿宋"/>
          <w:sz w:val="32"/>
          <w:szCs w:val="32"/>
        </w:rPr>
      </w:pPr>
      <w:r>
        <w:rPr>
          <w:rFonts w:hint="eastAsia" w:ascii="黑体" w:hAnsi="黑体" w:eastAsia="黑体" w:cs="黑体"/>
          <w:bCs/>
          <w:sz w:val="32"/>
          <w:szCs w:val="32"/>
        </w:rPr>
        <w:t>第三十</w:t>
      </w:r>
      <w:r>
        <w:rPr>
          <w:rFonts w:hint="eastAsia" w:ascii="黑体" w:hAnsi="黑体" w:eastAsia="黑体" w:cs="黑体"/>
          <w:bCs/>
          <w:sz w:val="32"/>
          <w:szCs w:val="32"/>
          <w:lang w:eastAsia="zh-CN"/>
        </w:rPr>
        <w:t>九</w:t>
      </w:r>
      <w:r>
        <w:rPr>
          <w:rFonts w:hint="eastAsia" w:ascii="黑体" w:hAnsi="黑体" w:eastAsia="黑体" w:cs="黑体"/>
          <w:bCs/>
          <w:sz w:val="32"/>
          <w:szCs w:val="32"/>
        </w:rPr>
        <w:t>条</w:t>
      </w:r>
      <w:r>
        <w:rPr>
          <w:rFonts w:hint="eastAsia" w:ascii="黑体" w:hAnsi="黑体" w:eastAsia="黑体"/>
          <w:sz w:val="32"/>
          <w:szCs w:val="32"/>
        </w:rPr>
        <w:t xml:space="preserve">  </w:t>
      </w:r>
      <w:r>
        <w:rPr>
          <w:rFonts w:hint="eastAsia" w:ascii="仿宋" w:hAnsi="仿宋" w:eastAsia="仿宋" w:cs="仿宋"/>
          <w:sz w:val="32"/>
          <w:szCs w:val="32"/>
        </w:rPr>
        <w:t>省科技厅、省财政厅、项目实施管理机构和项目承担单位应当根据职责和分工，建立覆盖项目经费管理使用全过程的资金监督机制。加强审计监督、财会监督与日常监督的贯通协调，增强监督合力，加强信息共享，避免交叉重复。</w:t>
      </w:r>
    </w:p>
    <w:p>
      <w:pPr>
        <w:spacing w:line="560" w:lineRule="exact"/>
        <w:ind w:firstLine="640" w:firstLineChars="200"/>
        <w:rPr>
          <w:rFonts w:hint="eastAsia" w:ascii="仿宋" w:hAnsi="仿宋" w:eastAsia="仿宋" w:cs="仿宋"/>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四十</w:t>
      </w:r>
      <w:r>
        <w:rPr>
          <w:rFonts w:hint="eastAsia" w:ascii="黑体" w:hAnsi="黑体" w:eastAsia="黑体" w:cs="黑体"/>
          <w:bCs/>
          <w:sz w:val="32"/>
          <w:szCs w:val="32"/>
        </w:rPr>
        <w:t>条</w:t>
      </w:r>
      <w:r>
        <w:rPr>
          <w:rFonts w:hint="eastAsia" w:ascii="黑体" w:hAnsi="黑体" w:eastAsia="黑体"/>
          <w:sz w:val="32"/>
          <w:szCs w:val="32"/>
        </w:rPr>
        <w:t xml:space="preserve">  </w:t>
      </w:r>
      <w:r>
        <w:rPr>
          <w:rFonts w:hint="eastAsia" w:ascii="仿宋" w:hAnsi="仿宋" w:eastAsia="仿宋" w:cs="仿宋"/>
          <w:sz w:val="32"/>
          <w:szCs w:val="32"/>
        </w:rPr>
        <w:t>省科技厅、省财政厅可采取随机抽查、绩效考评、资金核查、专项检查等方式，充分利用大数据等信息技术手段，开展监督工作；对项目承担单位法人责任和内部控制，项目经费拨付的及时性，项目经费管理使用规范性、安全性和有效性等进行抽查。绩效考评和监督检查结果作为以后年度项目申报立项及经费预算安排的重要依据。</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bCs/>
          <w:sz w:val="32"/>
          <w:szCs w:val="32"/>
        </w:rPr>
        <w:t>第四十</w:t>
      </w:r>
      <w:r>
        <w:rPr>
          <w:rFonts w:hint="eastAsia" w:ascii="黑体" w:hAnsi="黑体" w:eastAsia="黑体" w:cs="黑体"/>
          <w:bCs/>
          <w:sz w:val="32"/>
          <w:szCs w:val="32"/>
          <w:lang w:eastAsia="zh-CN"/>
        </w:rPr>
        <w:t>一</w:t>
      </w:r>
      <w:r>
        <w:rPr>
          <w:rFonts w:hint="eastAsia" w:ascii="黑体" w:hAnsi="黑体" w:eastAsia="黑体" w:cs="黑体"/>
          <w:bCs/>
          <w:sz w:val="32"/>
          <w:szCs w:val="32"/>
        </w:rPr>
        <w:t>条</w:t>
      </w:r>
      <w:r>
        <w:rPr>
          <w:rFonts w:hint="eastAsia" w:ascii="黑体" w:hAnsi="黑体" w:eastAsia="黑体"/>
          <w:sz w:val="32"/>
          <w:szCs w:val="32"/>
        </w:rPr>
        <w:t xml:space="preserve">  </w:t>
      </w:r>
      <w:r>
        <w:rPr>
          <w:rFonts w:hint="eastAsia" w:ascii="仿宋" w:hAnsi="仿宋" w:eastAsia="仿宋" w:cs="仿宋"/>
          <w:sz w:val="32"/>
          <w:szCs w:val="32"/>
        </w:rPr>
        <w:t>项目实施管理机构应当督促所属项目承担单位加强内控制度和监督制约机制建设、落实项目经费管理责任，配合省科技厅、省财政厅开展绩效考评和监督检查工作。</w:t>
      </w:r>
    </w:p>
    <w:p>
      <w:pPr>
        <w:spacing w:line="560" w:lineRule="exact"/>
        <w:ind w:firstLine="640" w:firstLineChars="200"/>
        <w:rPr>
          <w:rFonts w:hint="eastAsia" w:ascii="仿宋" w:hAnsi="仿宋" w:eastAsia="仿宋" w:cs="仿宋"/>
          <w:sz w:val="32"/>
          <w:szCs w:val="32"/>
        </w:rPr>
      </w:pPr>
      <w:r>
        <w:rPr>
          <w:rFonts w:hint="eastAsia" w:ascii="黑体" w:hAnsi="黑体" w:eastAsia="黑体" w:cs="黑体"/>
          <w:bCs/>
          <w:sz w:val="32"/>
          <w:szCs w:val="32"/>
        </w:rPr>
        <w:t>第四十</w:t>
      </w:r>
      <w:r>
        <w:rPr>
          <w:rFonts w:hint="eastAsia" w:ascii="黑体" w:hAnsi="黑体" w:eastAsia="黑体" w:cs="黑体"/>
          <w:bCs/>
          <w:sz w:val="32"/>
          <w:szCs w:val="32"/>
          <w:lang w:eastAsia="zh-CN"/>
        </w:rPr>
        <w:t>二</w:t>
      </w:r>
      <w:r>
        <w:rPr>
          <w:rFonts w:hint="eastAsia" w:ascii="黑体" w:hAnsi="黑体" w:eastAsia="黑体" w:cs="黑体"/>
          <w:bCs/>
          <w:sz w:val="32"/>
          <w:szCs w:val="32"/>
        </w:rPr>
        <w:t>条</w:t>
      </w:r>
      <w:r>
        <w:rPr>
          <w:rFonts w:hint="eastAsia" w:ascii="黑体" w:hAnsi="黑体" w:eastAsia="黑体"/>
          <w:sz w:val="32"/>
          <w:szCs w:val="32"/>
        </w:rPr>
        <w:t xml:space="preserve">  </w:t>
      </w:r>
      <w:r>
        <w:rPr>
          <w:rFonts w:hint="eastAsia" w:ascii="仿宋" w:hAnsi="仿宋" w:eastAsia="仿宋" w:cs="仿宋"/>
          <w:sz w:val="32"/>
          <w:szCs w:val="32"/>
        </w:rPr>
        <w:t>项目承担单位应当按照本办法和国家相关财经法规及财务管理规定，完善监督制约机制，动态监管资金使用并实时预警提醒，加强支撑服务条件建设，提高对科研人员的服务水平，建立常态化的自查自纠机制，确保项目经费安全。</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bCs/>
          <w:sz w:val="32"/>
          <w:szCs w:val="32"/>
        </w:rPr>
        <w:t>第四十</w:t>
      </w:r>
      <w:r>
        <w:rPr>
          <w:rFonts w:hint="eastAsia" w:ascii="黑体" w:hAnsi="黑体" w:eastAsia="黑体" w:cs="黑体"/>
          <w:bCs/>
          <w:sz w:val="32"/>
          <w:szCs w:val="32"/>
          <w:lang w:eastAsia="zh-CN"/>
        </w:rPr>
        <w:t>三</w:t>
      </w:r>
      <w:r>
        <w:rPr>
          <w:rFonts w:hint="eastAsia" w:ascii="黑体" w:hAnsi="黑体" w:eastAsia="黑体" w:cs="黑体"/>
          <w:bCs/>
          <w:sz w:val="32"/>
          <w:szCs w:val="32"/>
        </w:rPr>
        <w:t>条</w:t>
      </w:r>
      <w:r>
        <w:rPr>
          <w:rFonts w:hint="eastAsia" w:ascii="黑体" w:hAnsi="黑体" w:eastAsia="黑体"/>
          <w:sz w:val="32"/>
          <w:szCs w:val="32"/>
        </w:rPr>
        <w:t xml:space="preserve">  </w:t>
      </w:r>
      <w:r>
        <w:rPr>
          <w:rFonts w:hint="eastAsia" w:ascii="仿宋" w:hAnsi="仿宋" w:eastAsia="仿宋" w:cs="仿宋"/>
          <w:sz w:val="32"/>
          <w:szCs w:val="32"/>
        </w:rPr>
        <w:t>项目承担单位、项目负责人等出现第三十条有关情形的，省科技厅、省财政厅应依照有关规定视情况轻重采取限期整改、暂停项目拨款、终止项目执行、收回项目结余经费、追回已拨经费、取消项目承担者一定期限内项目申报资格等措施，并按照《中华人民共和国预算法》、《财政违法行为处罚处分条例》等有关规定追究责任。涉嫌犯罪的，依法移送有关机关处理。</w:t>
      </w:r>
    </w:p>
    <w:p>
      <w:pPr>
        <w:spacing w:line="560" w:lineRule="exact"/>
        <w:ind w:firstLine="640" w:firstLineChars="200"/>
        <w:rPr>
          <w:rFonts w:hint="eastAsia" w:ascii="仿宋" w:hAnsi="仿宋" w:eastAsia="仿宋" w:cs="仿宋"/>
          <w:sz w:val="32"/>
          <w:szCs w:val="32"/>
        </w:rPr>
      </w:pPr>
      <w:r>
        <w:rPr>
          <w:rFonts w:hint="eastAsia" w:ascii="黑体" w:hAnsi="黑体" w:eastAsia="黑体" w:cs="黑体"/>
          <w:bCs/>
          <w:sz w:val="32"/>
          <w:szCs w:val="32"/>
        </w:rPr>
        <w:t>第四十</w:t>
      </w:r>
      <w:r>
        <w:rPr>
          <w:rFonts w:hint="eastAsia" w:ascii="黑体" w:hAnsi="黑体" w:eastAsia="黑体" w:cs="黑体"/>
          <w:bCs/>
          <w:sz w:val="32"/>
          <w:szCs w:val="32"/>
          <w:lang w:eastAsia="zh-CN"/>
        </w:rPr>
        <w:t>四</w:t>
      </w:r>
      <w:r>
        <w:rPr>
          <w:rFonts w:hint="eastAsia" w:ascii="黑体" w:hAnsi="黑体" w:eastAsia="黑体" w:cs="黑体"/>
          <w:bCs/>
          <w:sz w:val="32"/>
          <w:szCs w:val="32"/>
        </w:rPr>
        <w:t>条</w:t>
      </w:r>
      <w:r>
        <w:rPr>
          <w:rFonts w:hint="eastAsia" w:ascii="仿宋" w:hAnsi="仿宋" w:eastAsia="仿宋" w:cs="仿宋"/>
          <w:sz w:val="32"/>
          <w:szCs w:val="32"/>
        </w:rPr>
        <w:t xml:space="preserve">  省科技厅、省财政厅、项目实施管理机构及其相关工作人员在项目经费预算审核下达、项目经费分配等环节，中介服务机构、咨询评审专家等在项目审计和评审中，存在违反规定安排资金或其他滥用职权、玩忽职守、徇私舞弊等违法违规行为的，责令改正并追究相应责任。涉嫌犯罪的，依法移送有关机关处理。</w:t>
      </w:r>
    </w:p>
    <w:p>
      <w:pPr>
        <w:spacing w:line="560" w:lineRule="exact"/>
        <w:ind w:firstLine="640" w:firstLineChars="200"/>
        <w:rPr>
          <w:rFonts w:hint="eastAsia" w:ascii="仿宋" w:hAnsi="仿宋" w:eastAsia="仿宋"/>
          <w:sz w:val="32"/>
          <w:szCs w:val="32"/>
        </w:rPr>
      </w:pPr>
      <w:r>
        <w:rPr>
          <w:rFonts w:hint="eastAsia" w:ascii="黑体" w:hAnsi="黑体" w:eastAsia="黑体" w:cs="黑体"/>
          <w:bCs/>
          <w:sz w:val="32"/>
          <w:szCs w:val="32"/>
        </w:rPr>
        <w:t>第四十</w:t>
      </w:r>
      <w:r>
        <w:rPr>
          <w:rFonts w:hint="eastAsia" w:ascii="黑体" w:hAnsi="黑体" w:eastAsia="黑体" w:cs="黑体"/>
          <w:bCs/>
          <w:sz w:val="32"/>
          <w:szCs w:val="32"/>
          <w:lang w:eastAsia="zh-CN"/>
        </w:rPr>
        <w:t>五</w:t>
      </w:r>
      <w:r>
        <w:rPr>
          <w:rFonts w:hint="eastAsia" w:ascii="黑体" w:hAnsi="黑体" w:eastAsia="黑体" w:cs="黑体"/>
          <w:bCs/>
          <w:sz w:val="32"/>
          <w:szCs w:val="32"/>
        </w:rPr>
        <w:t>条</w:t>
      </w:r>
      <w:r>
        <w:rPr>
          <w:rFonts w:hint="eastAsia" w:ascii="黑体" w:hAnsi="黑体" w:eastAsia="黑体"/>
          <w:sz w:val="32"/>
          <w:szCs w:val="32"/>
        </w:rPr>
        <w:t xml:space="preserve">  </w:t>
      </w:r>
      <w:r>
        <w:rPr>
          <w:rFonts w:hint="eastAsia" w:ascii="仿宋" w:hAnsi="仿宋" w:eastAsia="仿宋" w:cs="仿宋"/>
          <w:sz w:val="32"/>
          <w:szCs w:val="32"/>
        </w:rPr>
        <w:t>省科技厅、省财政厅、项目实施管理机构对项目承担单位、项目负责人、咨询评审专家等参与项目经费管理使用中存在的违规或失信行为，进行信用记录。科研诚信记录信用结果</w:t>
      </w:r>
      <w:r>
        <w:rPr>
          <w:rFonts w:hint="eastAsia" w:ascii="仿宋" w:hAnsi="仿宋" w:eastAsia="仿宋"/>
          <w:sz w:val="32"/>
          <w:szCs w:val="32"/>
        </w:rPr>
        <w:t>作为项目立项、科技经费安排、咨询专家遴选等的重要依据。</w:t>
      </w:r>
    </w:p>
    <w:p>
      <w:pPr>
        <w:spacing w:line="560" w:lineRule="exact"/>
        <w:ind w:firstLine="640" w:firstLineChars="200"/>
        <w:rPr>
          <w:rFonts w:hint="eastAsia" w:ascii="仿宋" w:hAnsi="仿宋" w:eastAsia="仿宋" w:cs="仿宋"/>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第七章  附  则</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hint="eastAsia" w:ascii="仿宋" w:hAnsi="仿宋" w:eastAsia="仿宋"/>
          <w:sz w:val="32"/>
          <w:szCs w:val="32"/>
        </w:rPr>
      </w:pPr>
      <w:r>
        <w:rPr>
          <w:rFonts w:hint="eastAsia" w:ascii="黑体" w:hAnsi="黑体" w:eastAsia="黑体" w:cs="黑体"/>
          <w:bCs/>
          <w:sz w:val="32"/>
          <w:szCs w:val="32"/>
        </w:rPr>
        <w:t>第四十</w:t>
      </w:r>
      <w:r>
        <w:rPr>
          <w:rFonts w:hint="eastAsia" w:ascii="黑体" w:hAnsi="黑体" w:eastAsia="黑体" w:cs="黑体"/>
          <w:bCs/>
          <w:sz w:val="32"/>
          <w:szCs w:val="32"/>
          <w:lang w:eastAsia="zh-CN"/>
        </w:rPr>
        <w:t>六</w:t>
      </w:r>
      <w:r>
        <w:rPr>
          <w:rFonts w:hint="eastAsia" w:ascii="黑体" w:hAnsi="黑体" w:eastAsia="黑体" w:cs="黑体"/>
          <w:bCs/>
          <w:sz w:val="32"/>
          <w:szCs w:val="32"/>
        </w:rPr>
        <w:t>条</w:t>
      </w:r>
      <w:r>
        <w:rPr>
          <w:rFonts w:hint="eastAsia" w:ascii="仿宋" w:hAnsi="仿宋" w:eastAsia="仿宋"/>
          <w:sz w:val="32"/>
          <w:szCs w:val="32"/>
        </w:rPr>
        <w:t xml:space="preserve">  本办法由省科技厅、省财政厅负责解释。</w:t>
      </w:r>
    </w:p>
    <w:p>
      <w:pPr>
        <w:spacing w:line="560" w:lineRule="exact"/>
        <w:ind w:firstLine="640" w:firstLineChars="200"/>
        <w:rPr>
          <w:rFonts w:hint="eastAsia" w:ascii="仿宋" w:hAnsi="仿宋" w:eastAsia="仿宋"/>
          <w:sz w:val="32"/>
          <w:szCs w:val="32"/>
        </w:rPr>
      </w:pPr>
      <w:r>
        <w:rPr>
          <w:rFonts w:hint="eastAsia" w:ascii="黑体" w:hAnsi="黑体" w:eastAsia="黑体" w:cs="黑体"/>
          <w:bCs/>
          <w:sz w:val="32"/>
          <w:szCs w:val="32"/>
        </w:rPr>
        <w:t>第四十</w:t>
      </w:r>
      <w:r>
        <w:rPr>
          <w:rFonts w:hint="eastAsia" w:ascii="黑体" w:hAnsi="黑体" w:eastAsia="黑体" w:cs="黑体"/>
          <w:bCs/>
          <w:sz w:val="32"/>
          <w:szCs w:val="32"/>
          <w:lang w:eastAsia="zh-CN"/>
        </w:rPr>
        <w:t>七</w:t>
      </w:r>
      <w:r>
        <w:rPr>
          <w:rFonts w:hint="eastAsia" w:ascii="黑体" w:hAnsi="黑体" w:eastAsia="黑体" w:cs="黑体"/>
          <w:bCs/>
          <w:sz w:val="32"/>
          <w:szCs w:val="32"/>
        </w:rPr>
        <w:t>条</w:t>
      </w:r>
      <w:r>
        <w:rPr>
          <w:rFonts w:hint="eastAsia" w:ascii="仿宋" w:hAnsi="仿宋" w:eastAsia="仿宋"/>
          <w:sz w:val="32"/>
          <w:szCs w:val="32"/>
        </w:rPr>
        <w:t xml:space="preserve">  本办法自印发之日起施行</w:t>
      </w:r>
      <w:r>
        <w:rPr>
          <w:rFonts w:hint="eastAsia" w:ascii="仿宋" w:hAnsi="仿宋" w:eastAsia="仿宋"/>
          <w:sz w:val="32"/>
          <w:szCs w:val="32"/>
          <w:lang w:eastAsia="zh-CN"/>
        </w:rPr>
        <w:t>，有效期</w:t>
      </w:r>
      <w:r>
        <w:rPr>
          <w:rFonts w:hint="eastAsia" w:ascii="仿宋" w:hAnsi="仿宋" w:eastAsia="仿宋"/>
          <w:sz w:val="32"/>
          <w:szCs w:val="32"/>
          <w:lang w:val="en-US" w:eastAsia="zh-CN"/>
        </w:rPr>
        <w:t>5年</w:t>
      </w:r>
      <w:r>
        <w:rPr>
          <w:rFonts w:hint="eastAsia" w:ascii="仿宋" w:hAnsi="仿宋" w:eastAsia="仿宋"/>
          <w:sz w:val="32"/>
          <w:szCs w:val="32"/>
        </w:rPr>
        <w:t>。《关于印发福建省级科技计划项目经费管理办法的通知》（闽财教〔2017〕41号）和《福建省财政厅 福建省科学技术厅关于&lt;福建省级科技计划项目经费管理办法&gt;的补充通知》（闽财教〔2019〕12号）同时废止。</w:t>
      </w:r>
    </w:p>
    <w:p>
      <w:pPr>
        <w:spacing w:line="560" w:lineRule="exact"/>
        <w:ind w:firstLine="640" w:firstLineChars="200"/>
        <w:rPr>
          <w:rFonts w:hint="eastAsia" w:ascii="仿宋" w:hAnsi="仿宋" w:eastAsia="仿宋"/>
          <w:sz w:val="32"/>
          <w:szCs w:val="32"/>
        </w:rPr>
      </w:pPr>
    </w:p>
    <w:p>
      <w:pPr>
        <w:spacing w:line="560" w:lineRule="exact"/>
        <w:ind w:firstLine="624" w:firstLineChars="200"/>
        <w:rPr>
          <w:rFonts w:hint="eastAsia" w:ascii="仿宋" w:hAnsi="仿宋" w:eastAsia="仿宋"/>
          <w:spacing w:val="-4"/>
          <w:sz w:val="32"/>
          <w:szCs w:val="32"/>
        </w:rPr>
      </w:pPr>
      <w:r>
        <w:rPr>
          <w:rFonts w:hint="eastAsia" w:ascii="仿宋" w:hAnsi="仿宋" w:eastAsia="仿宋"/>
          <w:spacing w:val="-4"/>
          <w:sz w:val="32"/>
          <w:szCs w:val="32"/>
        </w:rPr>
        <w:t>附件：1.科技计划项目经费预算编制说明</w:t>
      </w:r>
    </w:p>
    <w:p>
      <w:pPr>
        <w:spacing w:line="560" w:lineRule="exact"/>
        <w:ind w:firstLine="624" w:firstLineChars="200"/>
        <w:rPr>
          <w:rFonts w:hint="eastAsia" w:ascii="仿宋" w:hAnsi="仿宋" w:eastAsia="仿宋"/>
          <w:spacing w:val="-4"/>
          <w:sz w:val="32"/>
          <w:szCs w:val="32"/>
        </w:rPr>
      </w:pPr>
      <w:r>
        <w:rPr>
          <w:rFonts w:hint="eastAsia" w:ascii="仿宋" w:hAnsi="仿宋" w:eastAsia="仿宋"/>
          <w:spacing w:val="-4"/>
          <w:sz w:val="32"/>
          <w:szCs w:val="32"/>
        </w:rPr>
        <w:t xml:space="preserve">      </w:t>
      </w:r>
      <w:r>
        <w:rPr>
          <w:rFonts w:ascii="仿宋" w:hAnsi="仿宋" w:eastAsia="仿宋"/>
          <w:spacing w:val="-4"/>
          <w:sz w:val="32"/>
          <w:szCs w:val="32"/>
          <w:lang w:val="en"/>
        </w:rPr>
        <w:t>2.</w:t>
      </w:r>
      <w:r>
        <w:rPr>
          <w:rFonts w:hint="eastAsia" w:ascii="仿宋" w:hAnsi="仿宋" w:eastAsia="仿宋"/>
          <w:spacing w:val="-4"/>
          <w:sz w:val="32"/>
          <w:szCs w:val="32"/>
        </w:rPr>
        <w:t>科技计划项目</w:t>
      </w:r>
      <w:r>
        <w:rPr>
          <w:rFonts w:hint="eastAsia" w:ascii="仿宋" w:hAnsi="仿宋" w:eastAsia="仿宋"/>
          <w:spacing w:val="-4"/>
          <w:sz w:val="32"/>
          <w:szCs w:val="32"/>
          <w:lang w:eastAsia="zh-CN"/>
        </w:rPr>
        <w:t>财政资助</w:t>
      </w:r>
      <w:r>
        <w:rPr>
          <w:rFonts w:hint="eastAsia" w:ascii="仿宋" w:hAnsi="仿宋" w:eastAsia="仿宋"/>
          <w:spacing w:val="-4"/>
          <w:sz w:val="32"/>
          <w:szCs w:val="32"/>
        </w:rPr>
        <w:t>经费预算表（承担单位填制）</w:t>
      </w:r>
    </w:p>
    <w:p>
      <w:pPr>
        <w:spacing w:line="560" w:lineRule="exact"/>
        <w:ind w:firstLine="624" w:firstLineChars="200"/>
        <w:rPr>
          <w:rFonts w:hint="eastAsia" w:ascii="仿宋" w:hAnsi="仿宋" w:eastAsia="仿宋"/>
          <w:spacing w:val="-4"/>
          <w:sz w:val="32"/>
          <w:szCs w:val="32"/>
        </w:rPr>
      </w:pPr>
      <w:r>
        <w:rPr>
          <w:rFonts w:hint="eastAsia" w:ascii="仿宋" w:hAnsi="仿宋" w:eastAsia="仿宋"/>
          <w:spacing w:val="-4"/>
          <w:sz w:val="32"/>
          <w:szCs w:val="32"/>
        </w:rPr>
        <w:t xml:space="preserve">      </w:t>
      </w:r>
      <w:r>
        <w:rPr>
          <w:rFonts w:ascii="仿宋" w:hAnsi="仿宋" w:eastAsia="仿宋"/>
          <w:spacing w:val="-4"/>
          <w:sz w:val="32"/>
          <w:szCs w:val="32"/>
          <w:lang w:val="en"/>
        </w:rPr>
        <w:t>3.</w:t>
      </w:r>
      <w:r>
        <w:rPr>
          <w:rFonts w:hint="eastAsia" w:ascii="仿宋" w:hAnsi="仿宋" w:eastAsia="仿宋"/>
          <w:spacing w:val="-4"/>
          <w:sz w:val="32"/>
          <w:szCs w:val="32"/>
        </w:rPr>
        <w:t>科技计划项目</w:t>
      </w:r>
      <w:r>
        <w:rPr>
          <w:rFonts w:hint="eastAsia" w:ascii="仿宋" w:hAnsi="仿宋" w:eastAsia="仿宋"/>
          <w:spacing w:val="-4"/>
          <w:sz w:val="32"/>
          <w:szCs w:val="32"/>
          <w:lang w:eastAsia="zh-CN"/>
        </w:rPr>
        <w:t>财政资助</w:t>
      </w:r>
      <w:r>
        <w:rPr>
          <w:rFonts w:hint="eastAsia" w:ascii="仿宋" w:hAnsi="仿宋" w:eastAsia="仿宋"/>
          <w:spacing w:val="-4"/>
          <w:sz w:val="32"/>
          <w:szCs w:val="32"/>
        </w:rPr>
        <w:t>经费预算表（合作单位填制）</w:t>
      </w:r>
    </w:p>
    <w:p>
      <w:pPr>
        <w:spacing w:line="560" w:lineRule="exact"/>
        <w:ind w:firstLine="1560" w:firstLineChars="500"/>
        <w:rPr>
          <w:rFonts w:hint="eastAsia" w:ascii="仿宋" w:hAnsi="仿宋" w:eastAsia="仿宋"/>
          <w:spacing w:val="-4"/>
          <w:sz w:val="32"/>
          <w:szCs w:val="32"/>
        </w:rPr>
      </w:pPr>
      <w:r>
        <w:rPr>
          <w:rFonts w:ascii="仿宋" w:hAnsi="仿宋" w:eastAsia="仿宋"/>
          <w:spacing w:val="-4"/>
          <w:sz w:val="32"/>
          <w:szCs w:val="32"/>
          <w:lang w:val="en"/>
        </w:rPr>
        <w:t>4.</w:t>
      </w:r>
      <w:r>
        <w:rPr>
          <w:rFonts w:hint="eastAsia" w:ascii="仿宋" w:hAnsi="仿宋" w:eastAsia="仿宋"/>
          <w:spacing w:val="-4"/>
          <w:sz w:val="32"/>
          <w:szCs w:val="32"/>
        </w:rPr>
        <w:t>科技计划项目</w:t>
      </w:r>
      <w:r>
        <w:rPr>
          <w:rFonts w:hint="eastAsia" w:ascii="仿宋" w:hAnsi="仿宋" w:eastAsia="仿宋"/>
          <w:spacing w:val="-4"/>
          <w:sz w:val="32"/>
          <w:szCs w:val="32"/>
          <w:lang w:eastAsia="zh-CN"/>
        </w:rPr>
        <w:t>财政资助</w:t>
      </w:r>
      <w:r>
        <w:rPr>
          <w:rFonts w:hint="eastAsia" w:ascii="仿宋" w:hAnsi="仿宋" w:eastAsia="仿宋"/>
          <w:spacing w:val="-4"/>
          <w:sz w:val="32"/>
          <w:szCs w:val="32"/>
        </w:rPr>
        <w:t>经费预算汇总表</w:t>
      </w:r>
    </w:p>
    <w:p>
      <w:pPr>
        <w:spacing w:line="560" w:lineRule="exact"/>
        <w:ind w:firstLine="624" w:firstLineChars="200"/>
        <w:rPr>
          <w:rFonts w:hint="eastAsia" w:ascii="仿宋" w:hAnsi="仿宋" w:eastAsia="仿宋"/>
          <w:spacing w:val="-4"/>
          <w:sz w:val="32"/>
          <w:szCs w:val="32"/>
        </w:rPr>
      </w:pPr>
      <w:r>
        <w:rPr>
          <w:rFonts w:hint="eastAsia" w:ascii="仿宋" w:hAnsi="仿宋" w:eastAsia="仿宋"/>
          <w:spacing w:val="-4"/>
          <w:sz w:val="32"/>
          <w:szCs w:val="32"/>
        </w:rPr>
        <w:t xml:space="preserve">      5.科技计划项目</w:t>
      </w:r>
      <w:r>
        <w:rPr>
          <w:rFonts w:hint="eastAsia" w:ascii="仿宋" w:hAnsi="仿宋" w:eastAsia="仿宋"/>
          <w:spacing w:val="-4"/>
          <w:sz w:val="32"/>
          <w:szCs w:val="32"/>
          <w:lang w:eastAsia="zh-CN"/>
        </w:rPr>
        <w:t>财政资助</w:t>
      </w:r>
      <w:r>
        <w:rPr>
          <w:rFonts w:hint="eastAsia" w:ascii="仿宋" w:hAnsi="仿宋" w:eastAsia="仿宋"/>
          <w:spacing w:val="-4"/>
          <w:sz w:val="32"/>
          <w:szCs w:val="32"/>
        </w:rPr>
        <w:t>经费总决算表</w:t>
      </w:r>
    </w:p>
    <w:p>
      <w:pPr>
        <w:spacing w:line="560" w:lineRule="exact"/>
        <w:rPr>
          <w:rFonts w:hint="eastAsia" w:ascii="黑体" w:hAnsi="黑体" w:eastAsia="黑体"/>
          <w:sz w:val="30"/>
          <w:szCs w:val="30"/>
        </w:rPr>
      </w:pPr>
      <w:r>
        <w:rPr>
          <w:rFonts w:ascii="仿宋" w:hAnsi="仿宋" w:eastAsia="仿宋"/>
          <w:sz w:val="32"/>
          <w:szCs w:val="32"/>
        </w:rPr>
        <w:br w:type="page"/>
      </w:r>
      <w:r>
        <w:rPr>
          <w:rFonts w:hint="eastAsia" w:ascii="黑体" w:hAnsi="黑体" w:eastAsia="黑体"/>
          <w:sz w:val="30"/>
          <w:szCs w:val="30"/>
        </w:rPr>
        <w:t>附件1</w:t>
      </w:r>
    </w:p>
    <w:p>
      <w:pPr>
        <w:spacing w:line="560" w:lineRule="exact"/>
        <w:ind w:firstLine="640" w:firstLineChars="200"/>
        <w:rPr>
          <w:rFonts w:hint="eastAsia" w:ascii="仿宋" w:hAnsi="仿宋" w:eastAsia="仿宋"/>
          <w:sz w:val="32"/>
          <w:szCs w:val="32"/>
        </w:rPr>
      </w:pPr>
    </w:p>
    <w:p>
      <w:pPr>
        <w:spacing w:line="56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科技计划项目经费预算编制说明</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一、项目经费预算不得对直接费用中各科目预算简单按比例编制，应当结合项目研究开发任务的实际需要，根据项目申报的经费预算编制细化预算，并坚持政策相符性、目标相关性和经济合理性原则，科学、合理、真实地编制预算。</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二、项目经费预算应由项目负责人牵头，科研财务助理与项目承担单位财务人员配合参与编制，项目承担单位财务部门须对项目经费预算的执行进行全过程监管。</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有多个单位共同承担一个项目的，应当根据项目合作协议同时编列各单位承担的主要任务、经费预算等。项目下设课题的，每个课题均需按预算编制的要求单独填报各自的课题预算表及基本测算说明，项目承担单位负责将各课题预算审核后编制项目经费预算汇总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四、项目经费预算表是项目任务书的组成部分，应以项目任务书确定的任务为依据编制项目经费预算表并与项目任务书同时上报。项目经费预算表填报的内容与项目任务书中的相关信息必须一致。</w:t>
      </w:r>
    </w:p>
    <w:p>
      <w:pPr>
        <w:spacing w:line="560" w:lineRule="exact"/>
        <w:ind w:firstLine="630"/>
        <w:contextualSpacing/>
        <w:rPr>
          <w:rFonts w:ascii="仿宋" w:hAnsi="仿宋" w:eastAsia="仿宋"/>
          <w:sz w:val="32"/>
          <w:szCs w:val="32"/>
        </w:rPr>
      </w:pPr>
      <w:r>
        <w:rPr>
          <w:rFonts w:hint="eastAsia" w:ascii="仿宋" w:hAnsi="仿宋" w:eastAsia="仿宋"/>
          <w:sz w:val="32"/>
          <w:szCs w:val="32"/>
        </w:rPr>
        <w:t>五、项目经费预算表应逐项填列，不得漏项，未发生事项需划斜线（</w:t>
      </w:r>
      <w:r>
        <w:rPr>
          <w:rFonts w:ascii="仿宋" w:hAnsi="仿宋" w:eastAsia="仿宋"/>
          <w:sz w:val="32"/>
          <w:szCs w:val="32"/>
        </w:rPr>
        <w:t>/</w:t>
      </w:r>
      <w:r>
        <w:rPr>
          <w:rFonts w:hint="eastAsia" w:ascii="仿宋" w:hAnsi="仿宋" w:eastAsia="仿宋"/>
          <w:sz w:val="32"/>
          <w:szCs w:val="32"/>
        </w:rPr>
        <w:t>），表示此项在编制项目经费预算时不予考虑。</w:t>
      </w:r>
    </w:p>
    <w:p>
      <w:pPr>
        <w:spacing w:line="560" w:lineRule="exact"/>
        <w:ind w:firstLine="630"/>
        <w:contextualSpacing/>
        <w:rPr>
          <w:rFonts w:ascii="仿宋" w:hAnsi="仿宋" w:eastAsia="仿宋"/>
          <w:sz w:val="32"/>
          <w:szCs w:val="32"/>
        </w:rPr>
      </w:pPr>
      <w:r>
        <w:rPr>
          <w:rFonts w:hint="eastAsia" w:ascii="仿宋" w:hAnsi="仿宋" w:eastAsia="仿宋"/>
          <w:sz w:val="32"/>
          <w:szCs w:val="32"/>
        </w:rPr>
        <w:t>六、所有涉及项目名称或项目承担单位名称的，均应填写全称。</w:t>
      </w:r>
    </w:p>
    <w:p>
      <w:pPr>
        <w:spacing w:line="560" w:lineRule="exact"/>
        <w:ind w:firstLine="630"/>
        <w:contextualSpacing/>
        <w:rPr>
          <w:rFonts w:ascii="仿宋" w:hAnsi="仿宋" w:eastAsia="仿宋"/>
          <w:sz w:val="32"/>
          <w:szCs w:val="32"/>
        </w:rPr>
      </w:pPr>
      <w:r>
        <w:rPr>
          <w:rFonts w:hint="eastAsia" w:ascii="仿宋" w:hAnsi="仿宋" w:eastAsia="仿宋"/>
          <w:sz w:val="32"/>
          <w:szCs w:val="32"/>
        </w:rPr>
        <w:t>七、项目经费预决算应以人民币填报，项目经费预算表以“万元”单位，项目经费决算表以“元”为单位。如涉及外币需按填报日的汇率折合成人民币填报。</w:t>
      </w:r>
    </w:p>
    <w:p>
      <w:pPr>
        <w:spacing w:line="560" w:lineRule="exact"/>
        <w:ind w:firstLine="630"/>
        <w:contextualSpacing/>
        <w:rPr>
          <w:rFonts w:hint="eastAsia" w:ascii="仿宋" w:hAnsi="仿宋" w:eastAsia="仿宋"/>
          <w:sz w:val="32"/>
          <w:szCs w:val="32"/>
        </w:rPr>
      </w:pPr>
      <w:r>
        <w:rPr>
          <w:rFonts w:hint="eastAsia" w:ascii="仿宋" w:hAnsi="仿宋" w:eastAsia="仿宋"/>
          <w:sz w:val="32"/>
          <w:szCs w:val="32"/>
        </w:rPr>
        <w:t>八、项目经费预算按设备费、业务费、劳务费三大类编制直接费用预算。直接费用中除50万元以上的设备费外，其他费用只提供基本测算说明，不需要提供明细。计算类仪器设备和软件工具可在设备费科目列支。</w:t>
      </w:r>
    </w:p>
    <w:p>
      <w:pPr>
        <w:spacing w:line="560" w:lineRule="exact"/>
        <w:ind w:firstLine="630"/>
        <w:contextualSpacing/>
        <w:rPr>
          <w:rFonts w:hint="eastAsia" w:ascii="仿宋" w:hAnsi="仿宋" w:eastAsia="仿宋"/>
          <w:sz w:val="32"/>
          <w:szCs w:val="32"/>
        </w:rPr>
      </w:pPr>
      <w:r>
        <w:rPr>
          <w:rFonts w:hint="eastAsia" w:ascii="仿宋" w:hAnsi="仿宋" w:eastAsia="仿宋"/>
          <w:sz w:val="32"/>
          <w:szCs w:val="32"/>
        </w:rPr>
        <w:t>九、项目经费预算支出内容名称应填写规范、前后统一，同一种设备、材料等支出内容不得使用不同名称。</w:t>
      </w:r>
    </w:p>
    <w:p>
      <w:pPr>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十、与项目有关的前期研究（包括阶段性成果）支出的各项费用不得在本项目经费预算中列支。</w:t>
      </w:r>
    </w:p>
    <w:p>
      <w:pPr>
        <w:autoSpaceDE w:val="0"/>
        <w:autoSpaceDN w:val="0"/>
        <w:spacing w:line="560" w:lineRule="exact"/>
        <w:ind w:firstLine="640" w:firstLineChars="200"/>
        <w:contextualSpacing/>
        <w:rPr>
          <w:rFonts w:ascii="仿宋" w:hAnsi="仿宋" w:eastAsia="仿宋" w:cs="楷体_GB2312"/>
          <w:sz w:val="32"/>
          <w:szCs w:val="32"/>
          <w:lang w:val="zh-CN"/>
        </w:rPr>
      </w:pPr>
      <w:r>
        <w:rPr>
          <w:rFonts w:hint="eastAsia" w:ascii="仿宋" w:hAnsi="仿宋" w:eastAsia="仿宋"/>
          <w:sz w:val="32"/>
          <w:szCs w:val="32"/>
        </w:rPr>
        <w:t>十一、项目经费预算中除专家咨询费有具体限额标准、间接费用有提取比例要求外，其他各项支出均无具体限额和固定比例限制。</w:t>
      </w:r>
    </w:p>
    <w:p>
      <w:pPr>
        <w:autoSpaceDE w:val="0"/>
        <w:autoSpaceDN w:val="0"/>
        <w:spacing w:line="56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十二、项目经费预算中不得编制不可预见费用和支出。</w:t>
      </w:r>
    </w:p>
    <w:p>
      <w:pPr>
        <w:spacing w:line="560" w:lineRule="exact"/>
        <w:ind w:firstLine="645"/>
        <w:rPr>
          <w:rFonts w:hint="eastAsia" w:ascii="仿宋" w:hAnsi="仿宋" w:eastAsia="仿宋"/>
          <w:sz w:val="32"/>
          <w:szCs w:val="32"/>
        </w:rPr>
      </w:pPr>
      <w:r>
        <w:rPr>
          <w:rFonts w:hint="eastAsia" w:ascii="仿宋" w:hAnsi="仿宋" w:eastAsia="仿宋"/>
          <w:sz w:val="32"/>
          <w:szCs w:val="32"/>
        </w:rPr>
        <w:t>十三、项目经费预算科目编制要求和注意事项</w:t>
      </w:r>
    </w:p>
    <w:p>
      <w:pPr>
        <w:spacing w:line="560" w:lineRule="exact"/>
        <w:ind w:firstLine="645"/>
        <w:rPr>
          <w:rFonts w:hint="eastAsia" w:ascii="楷体" w:hAnsi="楷体" w:eastAsia="楷体" w:cs="CESI楷体-GB2312"/>
          <w:sz w:val="32"/>
          <w:szCs w:val="32"/>
        </w:rPr>
      </w:pPr>
      <w:r>
        <w:rPr>
          <w:rFonts w:hint="eastAsia" w:ascii="楷体" w:hAnsi="楷体" w:eastAsia="楷体" w:cs="CESI楷体-GB2312"/>
          <w:sz w:val="32"/>
          <w:szCs w:val="32"/>
        </w:rPr>
        <w:t>（一）直接费用</w:t>
      </w:r>
    </w:p>
    <w:p>
      <w:pPr>
        <w:spacing w:line="560" w:lineRule="exact"/>
        <w:ind w:firstLine="630"/>
        <w:contextualSpacing/>
        <w:rPr>
          <w:rFonts w:hint="eastAsia" w:ascii="仿宋" w:hAnsi="仿宋" w:eastAsia="仿宋"/>
          <w:sz w:val="32"/>
          <w:szCs w:val="32"/>
        </w:rPr>
      </w:pPr>
      <w:r>
        <w:rPr>
          <w:rFonts w:hint="eastAsia" w:ascii="仿宋" w:hAnsi="仿宋" w:eastAsia="仿宋"/>
          <w:b/>
          <w:bCs/>
          <w:sz w:val="32"/>
          <w:szCs w:val="32"/>
        </w:rPr>
        <w:t>1.设备费：</w:t>
      </w:r>
      <w:r>
        <w:rPr>
          <w:rFonts w:hint="eastAsia" w:ascii="仿宋" w:hAnsi="仿宋" w:eastAsia="仿宋"/>
          <w:sz w:val="32"/>
          <w:szCs w:val="32"/>
        </w:rPr>
        <w:t xml:space="preserve"> </w:t>
      </w:r>
    </w:p>
    <w:p>
      <w:pPr>
        <w:spacing w:line="560" w:lineRule="exact"/>
        <w:ind w:firstLine="645"/>
        <w:rPr>
          <w:rFonts w:hint="eastAsia" w:ascii="仿宋" w:hAnsi="仿宋" w:eastAsia="仿宋"/>
          <w:sz w:val="32"/>
          <w:szCs w:val="32"/>
        </w:rPr>
      </w:pPr>
      <w:r>
        <w:rPr>
          <w:rFonts w:hint="eastAsia" w:ascii="仿宋" w:hAnsi="仿宋" w:eastAsia="仿宋"/>
          <w:sz w:val="32"/>
          <w:szCs w:val="32"/>
        </w:rPr>
        <w:t>（1）预算编制中严格控制设备购置费支出，规模化生产专用设备购置费不得列入。</w:t>
      </w:r>
    </w:p>
    <w:p>
      <w:pPr>
        <w:spacing w:line="560" w:lineRule="exact"/>
        <w:ind w:firstLine="630"/>
        <w:contextualSpacing/>
        <w:rPr>
          <w:rFonts w:ascii="仿宋" w:hAnsi="仿宋" w:eastAsia="仿宋"/>
          <w:sz w:val="32"/>
          <w:szCs w:val="32"/>
        </w:rPr>
      </w:pPr>
      <w:r>
        <w:rPr>
          <w:rFonts w:hint="eastAsia" w:ascii="仿宋" w:hAnsi="仿宋" w:eastAsia="仿宋"/>
          <w:sz w:val="32"/>
          <w:szCs w:val="32"/>
        </w:rPr>
        <w:t>（2）购置、试制升级改造和租赁单台套仪器设备价值在50万元以下时，只需提供仪器设备的名称、数量及单价等基本测算说明。</w:t>
      </w:r>
    </w:p>
    <w:p>
      <w:pPr>
        <w:spacing w:line="560" w:lineRule="exact"/>
        <w:ind w:firstLine="645"/>
        <w:rPr>
          <w:rFonts w:hint="eastAsia" w:ascii="仿宋" w:hAnsi="仿宋" w:eastAsia="仿宋"/>
          <w:sz w:val="32"/>
          <w:szCs w:val="32"/>
        </w:rPr>
      </w:pPr>
      <w:r>
        <w:rPr>
          <w:rFonts w:hint="eastAsia" w:ascii="仿宋" w:hAnsi="仿宋" w:eastAsia="仿宋"/>
          <w:sz w:val="32"/>
          <w:szCs w:val="32"/>
        </w:rPr>
        <w:t>（3）购置、试制升级改造和租赁单台套仪器设备价值达到或超过50万元时，应在测算说明中单独列示仪器设备名称、型号、单价、数量和用途，并提供详细的预算说明：购置、试制升级改造和租赁该仪器设备的必要性，现有同样设备的利用情况、设备用途、设备与现有设备的配套情况、设备使用率。其中，购置或试制仪器设备的，还需在测算说明中说明设备拟安置单位、购置设备的开放共享方案、试制设备的方案中成本构成等；对原有设备升级改造的，还需在测算说明中说明改造前后仪器设备的主要技术指标及功能的区别；租赁仪器设备的还需在测算说明中说明租赁设备的次数、期限、支付标准等的测算依据。</w:t>
      </w:r>
    </w:p>
    <w:p>
      <w:pPr>
        <w:spacing w:line="560" w:lineRule="exact"/>
        <w:ind w:firstLine="645"/>
        <w:rPr>
          <w:rFonts w:hint="eastAsia" w:ascii="仿宋" w:hAnsi="仿宋" w:eastAsia="仿宋"/>
          <w:sz w:val="32"/>
          <w:szCs w:val="32"/>
        </w:rPr>
      </w:pPr>
      <w:r>
        <w:rPr>
          <w:rFonts w:hint="eastAsia" w:ascii="仿宋" w:hAnsi="仿宋" w:eastAsia="仿宋"/>
          <w:sz w:val="32"/>
          <w:szCs w:val="32"/>
        </w:rPr>
        <w:t>（4）以财政性资金新建设、新购置的单台套价值在30万元及以上的科学仪器设备，应纳入福建省大型科研设施仪器管理服务平台，向社会对外开放服务。</w:t>
      </w:r>
    </w:p>
    <w:p>
      <w:pPr>
        <w:spacing w:line="560" w:lineRule="exact"/>
        <w:ind w:firstLine="640" w:firstLineChars="200"/>
        <w:rPr>
          <w:rFonts w:hint="eastAsia" w:ascii="仿宋" w:hAnsi="仿宋" w:eastAsia="仿宋"/>
          <w:sz w:val="32"/>
          <w:szCs w:val="32"/>
        </w:rPr>
      </w:pPr>
      <w:r>
        <w:rPr>
          <w:rFonts w:hint="eastAsia" w:ascii="仿宋" w:hAnsi="仿宋" w:eastAsia="仿宋"/>
          <w:b/>
          <w:bCs/>
          <w:sz w:val="32"/>
          <w:szCs w:val="32"/>
        </w:rPr>
        <w:t>2.业务费：</w:t>
      </w:r>
      <w:r>
        <w:rPr>
          <w:rFonts w:hint="eastAsia" w:ascii="仿宋" w:hAnsi="仿宋" w:eastAsia="仿宋"/>
          <w:sz w:val="32"/>
          <w:szCs w:val="32"/>
        </w:rPr>
        <w:t xml:space="preserve"> </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（1）材料支出：需提供购置的各种材料的基本测算说明。</w:t>
      </w:r>
    </w:p>
    <w:p>
      <w:pPr>
        <w:spacing w:line="560" w:lineRule="exact"/>
        <w:ind w:firstLine="630"/>
        <w:contextualSpacing/>
        <w:rPr>
          <w:rFonts w:ascii="仿宋" w:hAnsi="仿宋" w:eastAsia="仿宋"/>
          <w:sz w:val="32"/>
          <w:szCs w:val="32"/>
        </w:rPr>
      </w:pPr>
      <w:r>
        <w:rPr>
          <w:rFonts w:hint="eastAsia" w:ascii="仿宋" w:hAnsi="仿宋" w:eastAsia="仿宋"/>
          <w:sz w:val="32"/>
          <w:szCs w:val="32"/>
        </w:rPr>
        <w:t>（2）测试化验加工支出：需提供测试化验加工项目的任务内容、次数、费用等基本测算说明。</w:t>
      </w:r>
    </w:p>
    <w:p>
      <w:pPr>
        <w:spacing w:line="560" w:lineRule="exact"/>
        <w:ind w:firstLine="630"/>
        <w:contextualSpacing/>
        <w:rPr>
          <w:rFonts w:hint="eastAsia" w:ascii="仿宋" w:hAnsi="仿宋" w:eastAsia="仿宋"/>
          <w:sz w:val="32"/>
          <w:szCs w:val="32"/>
        </w:rPr>
      </w:pPr>
      <w:r>
        <w:rPr>
          <w:rFonts w:hint="eastAsia" w:ascii="仿宋" w:hAnsi="仿宋" w:eastAsia="仿宋"/>
          <w:sz w:val="32"/>
          <w:szCs w:val="32"/>
        </w:rPr>
        <w:t>（3）燃料动力支出：需提供燃料所需数量、单价等基本测算说明。</w:t>
      </w:r>
    </w:p>
    <w:p>
      <w:pPr>
        <w:spacing w:line="560" w:lineRule="exact"/>
        <w:ind w:firstLine="630"/>
        <w:contextualSpacing/>
        <w:rPr>
          <w:rFonts w:ascii="仿宋" w:hAnsi="仿宋" w:eastAsia="仿宋"/>
          <w:sz w:val="32"/>
          <w:szCs w:val="32"/>
        </w:rPr>
      </w:pPr>
      <w:r>
        <w:rPr>
          <w:rFonts w:hint="eastAsia" w:ascii="仿宋" w:hAnsi="仿宋" w:eastAsia="仿宋"/>
          <w:sz w:val="32"/>
          <w:szCs w:val="32"/>
        </w:rPr>
        <w:t>（4）会议</w:t>
      </w:r>
      <w:r>
        <w:rPr>
          <w:rFonts w:ascii="仿宋" w:hAnsi="仿宋" w:eastAsia="仿宋"/>
          <w:sz w:val="32"/>
          <w:szCs w:val="32"/>
        </w:rPr>
        <w:t>/</w:t>
      </w:r>
      <w:r>
        <w:rPr>
          <w:rFonts w:hint="eastAsia" w:ascii="仿宋" w:hAnsi="仿宋" w:eastAsia="仿宋"/>
          <w:sz w:val="32"/>
          <w:szCs w:val="32"/>
        </w:rPr>
        <w:t>差旅</w:t>
      </w:r>
      <w:r>
        <w:rPr>
          <w:rFonts w:ascii="仿宋" w:hAnsi="仿宋" w:eastAsia="仿宋"/>
          <w:sz w:val="32"/>
          <w:szCs w:val="32"/>
        </w:rPr>
        <w:t>/</w:t>
      </w:r>
      <w:r>
        <w:rPr>
          <w:rFonts w:hint="eastAsia" w:ascii="仿宋" w:hAnsi="仿宋" w:eastAsia="仿宋"/>
          <w:sz w:val="32"/>
          <w:szCs w:val="32"/>
        </w:rPr>
        <w:t>国际合作交流支出：需提供会议、差旅和国际合作交流等费用预算基本测算说明。</w:t>
      </w:r>
    </w:p>
    <w:p>
      <w:pPr>
        <w:spacing w:line="560" w:lineRule="exact"/>
        <w:ind w:firstLine="645"/>
        <w:rPr>
          <w:rFonts w:ascii="仿宋" w:hAnsi="仿宋" w:eastAsia="仿宋"/>
          <w:sz w:val="32"/>
          <w:szCs w:val="32"/>
        </w:rPr>
      </w:pPr>
      <w:r>
        <w:rPr>
          <w:rFonts w:hint="eastAsia" w:ascii="仿宋" w:hAnsi="仿宋" w:eastAsia="仿宋"/>
          <w:sz w:val="32"/>
          <w:szCs w:val="32"/>
        </w:rPr>
        <w:t>（5）档案/出版/文献/信息传播/知识产权事务支出：需提供各项支出的基本测算说明。</w:t>
      </w:r>
    </w:p>
    <w:p>
      <w:pPr>
        <w:autoSpaceDE w:val="0"/>
        <w:autoSpaceDN w:val="0"/>
        <w:spacing w:line="560" w:lineRule="exact"/>
        <w:ind w:firstLine="640" w:firstLineChars="200"/>
        <w:contextualSpacing/>
        <w:rPr>
          <w:rFonts w:hint="eastAsia" w:ascii="仿宋" w:hAnsi="仿宋" w:eastAsia="仿宋" w:cs="楷体_GB2312"/>
          <w:sz w:val="32"/>
          <w:szCs w:val="32"/>
        </w:rPr>
      </w:pPr>
      <w:r>
        <w:rPr>
          <w:rFonts w:hint="eastAsia" w:ascii="仿宋" w:hAnsi="仿宋" w:eastAsia="仿宋"/>
          <w:sz w:val="32"/>
          <w:szCs w:val="32"/>
        </w:rPr>
        <w:t>（6）其他相关支出：</w:t>
      </w:r>
      <w:r>
        <w:rPr>
          <w:rFonts w:hint="eastAsia" w:ascii="仿宋" w:hAnsi="仿宋" w:eastAsia="仿宋" w:cs="楷体_GB2312"/>
          <w:sz w:val="32"/>
          <w:szCs w:val="32"/>
        </w:rPr>
        <w:t>编制预算时应当单独列示基本测算说明。承担技术成果应用推广任务的项目，可以在其他支出中编制培训费，但要在预算中提供基本测算说明。</w:t>
      </w:r>
    </w:p>
    <w:p>
      <w:pPr>
        <w:spacing w:line="560" w:lineRule="exact"/>
        <w:ind w:firstLine="645"/>
        <w:rPr>
          <w:rFonts w:hint="eastAsia" w:ascii="仿宋" w:hAnsi="仿宋" w:eastAsia="仿宋"/>
          <w:b/>
          <w:bCs/>
          <w:sz w:val="32"/>
          <w:szCs w:val="32"/>
        </w:rPr>
      </w:pPr>
      <w:r>
        <w:rPr>
          <w:rFonts w:hint="eastAsia" w:ascii="仿宋" w:hAnsi="仿宋" w:eastAsia="仿宋"/>
          <w:b/>
          <w:bCs/>
          <w:sz w:val="32"/>
          <w:szCs w:val="32"/>
        </w:rPr>
        <w:t>3.劳务费：</w:t>
      </w:r>
    </w:p>
    <w:p>
      <w:pPr>
        <w:spacing w:line="560" w:lineRule="exact"/>
        <w:ind w:firstLine="645"/>
        <w:rPr>
          <w:rFonts w:hint="eastAsia" w:ascii="仿宋" w:hAnsi="仿宋" w:eastAsia="仿宋"/>
          <w:sz w:val="32"/>
          <w:szCs w:val="32"/>
        </w:rPr>
      </w:pPr>
      <w:r>
        <w:rPr>
          <w:rFonts w:hint="eastAsia" w:ascii="仿宋" w:hAnsi="仿宋" w:eastAsia="仿宋" w:cs="楷体_GB2312"/>
          <w:sz w:val="32"/>
          <w:szCs w:val="32"/>
        </w:rPr>
        <w:t>（1）劳务费预算编制</w:t>
      </w:r>
      <w:r>
        <w:rPr>
          <w:rFonts w:hint="eastAsia" w:ascii="仿宋" w:hAnsi="仿宋" w:eastAsia="仿宋"/>
          <w:sz w:val="32"/>
          <w:szCs w:val="32"/>
        </w:rPr>
        <w:t>应当结合科研实际和相关人员参与项目的全时工作时间等因素合理编制。劳务费预算需说明各类人员在项目中的责任分工、投入时间、支付标准等基本测算说明，由项目负责人、科研人员据实编制。</w:t>
      </w:r>
    </w:p>
    <w:p>
      <w:pPr>
        <w:spacing w:line="560" w:lineRule="exact"/>
        <w:ind w:firstLine="645"/>
        <w:rPr>
          <w:rFonts w:hint="eastAsia" w:ascii="仿宋" w:hAnsi="仿宋" w:eastAsia="仿宋"/>
          <w:sz w:val="32"/>
          <w:szCs w:val="32"/>
        </w:rPr>
      </w:pPr>
      <w:r>
        <w:rPr>
          <w:rFonts w:hint="eastAsia" w:ascii="仿宋" w:hAnsi="仿宋" w:eastAsia="仿宋" w:cs="楷体_GB2312"/>
          <w:sz w:val="32"/>
          <w:szCs w:val="32"/>
        </w:rPr>
        <w:t>（2）</w:t>
      </w:r>
      <w:r>
        <w:rPr>
          <w:rFonts w:hint="eastAsia" w:ascii="仿宋" w:hAnsi="仿宋" w:eastAsia="仿宋"/>
          <w:sz w:val="32"/>
          <w:szCs w:val="32"/>
        </w:rPr>
        <w:t>一是在发放对象上，劳务费发放对象之一是项目聘用人员，即项目承担单位通过签订劳动合同、劳务派遣或聘用协议等方式组织参与项目研究的人员，包括参与项目研究的研究生、博士后、访问学者、研究人员、科研辅助人员、科研财务助理等；二是在发放标准上，劳务费开支标准，参照当地科学研究和技术服务业从业人员平均工资水平，根据项目聘用人员在项目研究中承担的工作任务确定；三是在开支范围上，项目聘用人员所需人力成本可通过劳务费科目列支，包括项目聘用人员社会保险补助、住房公积金等纳入劳务费列支。</w:t>
      </w:r>
    </w:p>
    <w:p>
      <w:pPr>
        <w:spacing w:line="560" w:lineRule="exact"/>
        <w:ind w:firstLine="645"/>
        <w:rPr>
          <w:rFonts w:ascii="仿宋" w:hAnsi="仿宋" w:eastAsia="仿宋"/>
          <w:sz w:val="32"/>
          <w:szCs w:val="32"/>
        </w:rPr>
      </w:pPr>
      <w:r>
        <w:rPr>
          <w:rFonts w:hint="eastAsia" w:ascii="仿宋" w:hAnsi="仿宋" w:eastAsia="仿宋"/>
          <w:sz w:val="32"/>
          <w:szCs w:val="32"/>
        </w:rPr>
        <w:t>（3）咨询专家的费用需提供咨询专家的级别、咨询方式、咨询内容、人次数、支付标准等基本测算说明。不得编制博士研究生、硕士研究生因学位论文答辩发生的相关支出。</w:t>
      </w:r>
    </w:p>
    <w:p>
      <w:pPr>
        <w:spacing w:line="560" w:lineRule="exact"/>
        <w:ind w:firstLine="645"/>
        <w:rPr>
          <w:rFonts w:hint="eastAsia" w:ascii="楷体" w:hAnsi="楷体" w:eastAsia="楷体" w:cs="CESI楷体-GB2312"/>
          <w:sz w:val="32"/>
          <w:szCs w:val="32"/>
        </w:rPr>
      </w:pPr>
      <w:r>
        <w:rPr>
          <w:rFonts w:hint="eastAsia" w:ascii="楷体" w:hAnsi="楷体" w:eastAsia="楷体" w:cs="CESI楷体-GB2312"/>
          <w:sz w:val="32"/>
          <w:szCs w:val="32"/>
        </w:rPr>
        <w:t>（二）间接费用</w:t>
      </w:r>
    </w:p>
    <w:p>
      <w:pPr>
        <w:spacing w:line="560" w:lineRule="exact"/>
        <w:ind w:firstLine="645"/>
        <w:rPr>
          <w:rFonts w:hint="eastAsia" w:ascii="仿宋" w:hAnsi="仿宋" w:eastAsia="仿宋"/>
          <w:sz w:val="32"/>
          <w:szCs w:val="32"/>
        </w:rPr>
      </w:pPr>
      <w:r>
        <w:rPr>
          <w:rFonts w:hint="eastAsia" w:ascii="仿宋" w:hAnsi="仿宋" w:eastAsia="仿宋"/>
          <w:sz w:val="32"/>
          <w:szCs w:val="32"/>
        </w:rPr>
        <w:t>间接费用由项目承担单位统筹安排使用，用于单位相关人员绩效及管理支出。</w:t>
      </w:r>
    </w:p>
    <w:p>
      <w:pPr>
        <w:autoSpaceDE w:val="0"/>
        <w:autoSpaceDN w:val="0"/>
        <w:spacing w:line="560" w:lineRule="exact"/>
        <w:ind w:firstLine="640" w:firstLineChars="200"/>
        <w:contextualSpacing/>
        <w:rPr>
          <w:rFonts w:ascii="仿宋" w:hAnsi="仿宋" w:eastAsia="仿宋" w:cs="楷体_GB2312"/>
          <w:b/>
          <w:sz w:val="32"/>
          <w:szCs w:val="32"/>
          <w:lang w:val="zh-CN"/>
        </w:rPr>
      </w:pPr>
      <w:r>
        <w:rPr>
          <w:rFonts w:hint="eastAsia" w:ascii="仿宋" w:hAnsi="仿宋" w:eastAsia="仿宋"/>
          <w:sz w:val="32"/>
          <w:szCs w:val="32"/>
        </w:rPr>
        <w:t>1.间接费用应按项目统一核定，由项目承担单位和项目合作单位根据各自承担的研究任务和经费额度，协商提出分配方案，在项目经费预算表中明确，并分别纳入各自单位财务统一管理，统筹安排使用。</w:t>
      </w:r>
    </w:p>
    <w:p>
      <w:pPr>
        <w:spacing w:line="560" w:lineRule="exact"/>
        <w:ind w:firstLine="645"/>
        <w:rPr>
          <w:rFonts w:hint="eastAsia" w:ascii="仿宋" w:hAnsi="仿宋" w:eastAsia="仿宋"/>
          <w:sz w:val="32"/>
          <w:szCs w:val="32"/>
        </w:rPr>
      </w:pPr>
      <w:r>
        <w:rPr>
          <w:rFonts w:hint="eastAsia" w:ascii="仿宋" w:hAnsi="仿宋" w:eastAsia="仿宋"/>
          <w:sz w:val="32"/>
          <w:szCs w:val="32"/>
        </w:rPr>
        <w:t>2.间接费用的使用应向项目组内部创新绩效突出的团队和个人倾斜，合理分摊间接成本和对科研人员激励的关系。</w:t>
      </w:r>
    </w:p>
    <w:p>
      <w:pPr>
        <w:autoSpaceDE w:val="0"/>
        <w:autoSpaceDN w:val="0"/>
        <w:spacing w:line="560" w:lineRule="exact"/>
        <w:contextualSpacing/>
        <w:rPr>
          <w:rFonts w:hint="eastAsia" w:ascii="黑体" w:hAnsi="黑体" w:eastAsia="黑体"/>
          <w:sz w:val="30"/>
          <w:szCs w:val="30"/>
        </w:rPr>
      </w:pPr>
    </w:p>
    <w:p>
      <w:pPr>
        <w:autoSpaceDE w:val="0"/>
        <w:autoSpaceDN w:val="0"/>
        <w:spacing w:line="560" w:lineRule="exact"/>
        <w:contextualSpacing/>
        <w:rPr>
          <w:rFonts w:hint="eastAsia" w:ascii="黑体" w:hAnsi="黑体" w:eastAsia="黑体"/>
          <w:sz w:val="30"/>
          <w:szCs w:val="30"/>
        </w:rPr>
      </w:pPr>
    </w:p>
    <w:p>
      <w:pPr>
        <w:autoSpaceDE w:val="0"/>
        <w:autoSpaceDN w:val="0"/>
        <w:spacing w:line="560" w:lineRule="exact"/>
        <w:contextualSpacing/>
        <w:rPr>
          <w:rFonts w:hint="eastAsia" w:ascii="黑体" w:hAnsi="黑体" w:eastAsia="黑体"/>
          <w:sz w:val="30"/>
          <w:szCs w:val="30"/>
        </w:rPr>
      </w:pPr>
    </w:p>
    <w:p>
      <w:pPr>
        <w:autoSpaceDE w:val="0"/>
        <w:autoSpaceDN w:val="0"/>
        <w:spacing w:line="560" w:lineRule="exact"/>
        <w:contextualSpacing/>
        <w:rPr>
          <w:rFonts w:hint="eastAsia" w:ascii="黑体" w:hAnsi="黑体" w:eastAsia="黑体"/>
          <w:sz w:val="30"/>
          <w:szCs w:val="30"/>
        </w:rPr>
      </w:pPr>
    </w:p>
    <w:p>
      <w:pPr>
        <w:autoSpaceDE w:val="0"/>
        <w:autoSpaceDN w:val="0"/>
        <w:spacing w:line="320" w:lineRule="exact"/>
        <w:contextualSpacing/>
        <w:rPr>
          <w:rFonts w:hint="eastAsia" w:ascii="仿宋" w:hAnsi="仿宋" w:eastAsia="仿宋"/>
          <w:sz w:val="30"/>
          <w:szCs w:val="30"/>
        </w:rPr>
      </w:pPr>
      <w:r>
        <w:rPr>
          <w:rFonts w:ascii="黑体" w:hAnsi="黑体" w:eastAsia="黑体"/>
          <w:sz w:val="30"/>
          <w:szCs w:val="30"/>
        </w:rPr>
        <w:br w:type="page"/>
      </w:r>
      <w:r>
        <w:rPr>
          <w:rFonts w:hint="eastAsia" w:ascii="黑体" w:hAnsi="黑体" w:eastAsia="黑体"/>
          <w:sz w:val="30"/>
          <w:szCs w:val="30"/>
        </w:rPr>
        <w:t>附件2</w:t>
      </w:r>
    </w:p>
    <w:tbl>
      <w:tblPr>
        <w:tblStyle w:val="4"/>
        <w:tblW w:w="9710" w:type="dxa"/>
        <w:tblInd w:w="-252" w:type="dxa"/>
        <w:tblLayout w:type="fixed"/>
        <w:tblCellMar>
          <w:top w:w="0" w:type="dxa"/>
          <w:left w:w="108" w:type="dxa"/>
          <w:bottom w:w="0" w:type="dxa"/>
          <w:right w:w="108" w:type="dxa"/>
        </w:tblCellMar>
      </w:tblPr>
      <w:tblGrid>
        <w:gridCol w:w="1660"/>
        <w:gridCol w:w="1564"/>
        <w:gridCol w:w="2220"/>
        <w:gridCol w:w="866"/>
        <w:gridCol w:w="1204"/>
        <w:gridCol w:w="745"/>
        <w:gridCol w:w="916"/>
        <w:gridCol w:w="236"/>
        <w:gridCol w:w="299"/>
      </w:tblGrid>
      <w:tr>
        <w:tblPrEx>
          <w:tblCellMar>
            <w:top w:w="0" w:type="dxa"/>
            <w:left w:w="108" w:type="dxa"/>
            <w:bottom w:w="0" w:type="dxa"/>
            <w:right w:w="108" w:type="dxa"/>
          </w:tblCellMar>
        </w:tblPrEx>
        <w:trPr>
          <w:gridAfter w:val="2"/>
          <w:wAfter w:w="535" w:type="dxa"/>
          <w:trHeight w:val="420" w:hRule="atLeast"/>
        </w:trPr>
        <w:tc>
          <w:tcPr>
            <w:tcW w:w="9175" w:type="dxa"/>
            <w:gridSpan w:val="7"/>
            <w:tcBorders>
              <w:top w:val="nil"/>
              <w:left w:val="nil"/>
              <w:bottom w:val="nil"/>
              <w:right w:val="nil"/>
            </w:tcBorders>
            <w:vAlign w:val="center"/>
          </w:tcPr>
          <w:p>
            <w:pPr>
              <w:widowControl/>
              <w:spacing w:line="320" w:lineRule="exact"/>
              <w:jc w:val="center"/>
              <w:rPr>
                <w:rFonts w:hint="eastAsia" w:ascii="方正小标宋简体" w:hAnsi="方正小标宋简体" w:eastAsia="方正小标宋简体" w:cs="宋体"/>
                <w:kern w:val="0"/>
                <w:sz w:val="32"/>
                <w:szCs w:val="32"/>
              </w:rPr>
            </w:pPr>
          </w:p>
          <w:p>
            <w:pPr>
              <w:widowControl/>
              <w:spacing w:line="320" w:lineRule="exact"/>
              <w:jc w:val="center"/>
              <w:rPr>
                <w:rFonts w:ascii="方正小标宋简体" w:hAnsi="方正小标宋简体" w:eastAsia="方正小标宋简体" w:cs="宋体"/>
                <w:kern w:val="0"/>
                <w:sz w:val="32"/>
                <w:szCs w:val="32"/>
              </w:rPr>
            </w:pPr>
            <w:r>
              <w:rPr>
                <w:rFonts w:hint="eastAsia" w:ascii="方正小标宋简体" w:hAnsi="方正小标宋简体" w:eastAsia="方正小标宋简体" w:cs="宋体"/>
                <w:kern w:val="0"/>
                <w:sz w:val="32"/>
                <w:szCs w:val="32"/>
              </w:rPr>
              <w:t>科技计划项目</w:t>
            </w:r>
            <w:r>
              <w:rPr>
                <w:rFonts w:hint="eastAsia" w:ascii="方正小标宋简体" w:hAnsi="方正小标宋简体" w:eastAsia="方正小标宋简体" w:cs="宋体"/>
                <w:kern w:val="0"/>
                <w:sz w:val="32"/>
                <w:szCs w:val="32"/>
                <w:lang w:eastAsia="zh-CN"/>
              </w:rPr>
              <w:t>财政资助</w:t>
            </w:r>
            <w:r>
              <w:rPr>
                <w:rFonts w:hint="eastAsia" w:ascii="方正小标宋简体" w:hAnsi="方正小标宋简体" w:eastAsia="方正小标宋简体" w:cs="宋体"/>
                <w:kern w:val="0"/>
                <w:sz w:val="32"/>
                <w:szCs w:val="32"/>
              </w:rPr>
              <w:t>经费预算表（承担单位填制）</w:t>
            </w:r>
          </w:p>
        </w:tc>
      </w:tr>
      <w:tr>
        <w:tblPrEx>
          <w:tblCellMar>
            <w:top w:w="0" w:type="dxa"/>
            <w:left w:w="108" w:type="dxa"/>
            <w:bottom w:w="0" w:type="dxa"/>
            <w:right w:w="108" w:type="dxa"/>
          </w:tblCellMar>
        </w:tblPrEx>
        <w:trPr>
          <w:trHeight w:val="420" w:hRule="atLeast"/>
        </w:trPr>
        <w:tc>
          <w:tcPr>
            <w:tcW w:w="1660" w:type="dxa"/>
            <w:tcBorders>
              <w:top w:val="nil"/>
              <w:left w:val="nil"/>
              <w:bottom w:val="nil"/>
              <w:right w:val="nil"/>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填报单位：</w:t>
            </w:r>
          </w:p>
        </w:tc>
        <w:tc>
          <w:tcPr>
            <w:tcW w:w="3784" w:type="dxa"/>
            <w:gridSpan w:val="2"/>
            <w:tcBorders>
              <w:top w:val="nil"/>
              <w:left w:val="nil"/>
              <w:bottom w:val="nil"/>
              <w:right w:val="nil"/>
            </w:tcBorders>
            <w:vAlign w:val="center"/>
          </w:tcPr>
          <w:p>
            <w:pPr>
              <w:widowControl/>
              <w:spacing w:line="280" w:lineRule="exact"/>
              <w:jc w:val="left"/>
              <w:rPr>
                <w:rFonts w:ascii="仿宋_GB2312" w:hAnsi="宋体" w:eastAsia="仿宋_GB2312" w:cs="宋体"/>
                <w:kern w:val="0"/>
                <w:sz w:val="20"/>
                <w:szCs w:val="20"/>
              </w:rPr>
            </w:pPr>
          </w:p>
        </w:tc>
        <w:tc>
          <w:tcPr>
            <w:tcW w:w="866" w:type="dxa"/>
            <w:tcBorders>
              <w:top w:val="nil"/>
              <w:left w:val="nil"/>
              <w:bottom w:val="nil"/>
              <w:right w:val="nil"/>
            </w:tcBorders>
            <w:vAlign w:val="center"/>
          </w:tcPr>
          <w:p>
            <w:pPr>
              <w:widowControl/>
              <w:spacing w:line="280" w:lineRule="exact"/>
              <w:jc w:val="left"/>
              <w:rPr>
                <w:rFonts w:ascii="仿宋_GB2312" w:hAnsi="宋体" w:eastAsia="仿宋_GB2312" w:cs="宋体"/>
                <w:kern w:val="0"/>
                <w:sz w:val="20"/>
                <w:szCs w:val="20"/>
              </w:rPr>
            </w:pPr>
          </w:p>
        </w:tc>
        <w:tc>
          <w:tcPr>
            <w:tcW w:w="1949" w:type="dxa"/>
            <w:gridSpan w:val="2"/>
            <w:tcBorders>
              <w:top w:val="nil"/>
              <w:left w:val="nil"/>
              <w:bottom w:val="nil"/>
              <w:right w:val="nil"/>
            </w:tcBorders>
            <w:vAlign w:val="center"/>
          </w:tcPr>
          <w:p>
            <w:pPr>
              <w:widowControl/>
              <w:spacing w:line="280" w:lineRule="exact"/>
              <w:jc w:val="left"/>
              <w:rPr>
                <w:rFonts w:ascii="仿宋_GB2312" w:hAnsi="宋体" w:eastAsia="仿宋_GB2312" w:cs="宋体"/>
                <w:kern w:val="0"/>
                <w:sz w:val="20"/>
                <w:szCs w:val="20"/>
              </w:rPr>
            </w:pPr>
          </w:p>
        </w:tc>
        <w:tc>
          <w:tcPr>
            <w:tcW w:w="1451" w:type="dxa"/>
            <w:gridSpan w:val="3"/>
            <w:tcBorders>
              <w:top w:val="nil"/>
              <w:left w:val="nil"/>
              <w:bottom w:val="nil"/>
              <w:right w:val="nil"/>
            </w:tcBorders>
            <w:vAlign w:val="center"/>
          </w:tcPr>
          <w:p>
            <w:pPr>
              <w:widowControl/>
              <w:spacing w:line="280" w:lineRule="exact"/>
              <w:jc w:val="both"/>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gridAfter w:val="1"/>
          <w:wAfter w:w="299" w:type="dxa"/>
          <w:trHeight w:val="697" w:hRule="atLeast"/>
        </w:trPr>
        <w:tc>
          <w:tcPr>
            <w:tcW w:w="5444" w:type="dxa"/>
            <w:gridSpan w:val="3"/>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黑体" w:hAnsi="黑体" w:eastAsia="黑体" w:cs="宋体"/>
                <w:kern w:val="0"/>
                <w:sz w:val="22"/>
                <w:szCs w:val="22"/>
              </w:rPr>
            </w:pPr>
            <w:r>
              <w:rPr>
                <w:rFonts w:hint="eastAsia" w:ascii="黑体" w:hAnsi="黑体" w:eastAsia="黑体" w:cs="宋体"/>
                <w:kern w:val="0"/>
                <w:sz w:val="22"/>
                <w:szCs w:val="22"/>
              </w:rPr>
              <w:t>项目经费支出</w:t>
            </w:r>
          </w:p>
        </w:tc>
        <w:tc>
          <w:tcPr>
            <w:tcW w:w="2070" w:type="dxa"/>
            <w:gridSpan w:val="2"/>
            <w:vMerge w:val="restart"/>
            <w:tcBorders>
              <w:top w:val="single" w:color="auto" w:sz="4" w:space="0"/>
              <w:left w:val="nil"/>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rPr>
            </w:pPr>
            <w:r>
              <w:rPr>
                <w:rFonts w:hint="eastAsia" w:ascii="黑体" w:hAnsi="黑体" w:eastAsia="黑体" w:cs="宋体"/>
                <w:kern w:val="0"/>
                <w:sz w:val="22"/>
                <w:szCs w:val="22"/>
              </w:rPr>
              <w:t>测算说明</w:t>
            </w:r>
          </w:p>
        </w:tc>
        <w:tc>
          <w:tcPr>
            <w:tcW w:w="1897"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rPr>
            </w:pPr>
            <w:r>
              <w:rPr>
                <w:rFonts w:hint="eastAsia" w:ascii="黑体" w:hAnsi="黑体" w:eastAsia="黑体" w:cs="宋体"/>
                <w:kern w:val="0"/>
                <w:sz w:val="22"/>
                <w:szCs w:val="22"/>
                <w:lang w:val="en-US" w:eastAsia="zh-CN"/>
              </w:rPr>
              <w:t>备注</w:t>
            </w:r>
          </w:p>
        </w:tc>
      </w:tr>
      <w:tr>
        <w:tblPrEx>
          <w:tblCellMar>
            <w:top w:w="0" w:type="dxa"/>
            <w:left w:w="108" w:type="dxa"/>
            <w:bottom w:w="0" w:type="dxa"/>
            <w:right w:w="108" w:type="dxa"/>
          </w:tblCellMar>
        </w:tblPrEx>
        <w:trPr>
          <w:gridAfter w:val="1"/>
          <w:wAfter w:w="299" w:type="dxa"/>
          <w:trHeight w:val="777"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rPr>
            </w:pPr>
            <w:r>
              <w:rPr>
                <w:rFonts w:hint="eastAsia" w:ascii="黑体" w:hAnsi="黑体" w:eastAsia="黑体" w:cs="宋体"/>
                <w:kern w:val="0"/>
                <w:sz w:val="22"/>
                <w:szCs w:val="22"/>
              </w:rPr>
              <w:t>科目</w:t>
            </w:r>
          </w:p>
        </w:tc>
        <w:tc>
          <w:tcPr>
            <w:tcW w:w="2220" w:type="dxa"/>
            <w:tcBorders>
              <w:top w:val="nil"/>
              <w:left w:val="nil"/>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rPr>
            </w:pPr>
            <w:r>
              <w:rPr>
                <w:rFonts w:hint="eastAsia" w:ascii="黑体" w:hAnsi="黑体" w:eastAsia="黑体" w:cs="宋体"/>
                <w:kern w:val="0"/>
                <w:sz w:val="22"/>
                <w:szCs w:val="22"/>
              </w:rPr>
              <w:t>预算数</w:t>
            </w:r>
          </w:p>
        </w:tc>
        <w:tc>
          <w:tcPr>
            <w:tcW w:w="2070" w:type="dxa"/>
            <w:gridSpan w:val="2"/>
            <w:vMerge w:val="continue"/>
            <w:tcBorders>
              <w:top w:val="nil"/>
              <w:left w:val="nil"/>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rPr>
            </w:pPr>
          </w:p>
        </w:tc>
        <w:tc>
          <w:tcPr>
            <w:tcW w:w="189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黑体" w:hAnsi="黑体" w:eastAsia="黑体" w:cs="宋体"/>
                <w:kern w:val="0"/>
                <w:sz w:val="22"/>
                <w:szCs w:val="22"/>
              </w:rPr>
            </w:pPr>
          </w:p>
        </w:tc>
      </w:tr>
      <w:tr>
        <w:tblPrEx>
          <w:tblCellMar>
            <w:top w:w="0" w:type="dxa"/>
            <w:left w:w="108" w:type="dxa"/>
            <w:bottom w:w="0" w:type="dxa"/>
            <w:right w:w="108" w:type="dxa"/>
          </w:tblCellMar>
        </w:tblPrEx>
        <w:trPr>
          <w:gridAfter w:val="1"/>
          <w:wAfter w:w="299" w:type="dxa"/>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（一）直接费用</w:t>
            </w:r>
          </w:p>
        </w:tc>
        <w:tc>
          <w:tcPr>
            <w:tcW w:w="22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　</w:t>
            </w:r>
          </w:p>
        </w:tc>
        <w:tc>
          <w:tcPr>
            <w:tcW w:w="2070" w:type="dxa"/>
            <w:gridSpan w:val="2"/>
            <w:tcBorders>
              <w:top w:val="nil"/>
              <w:left w:val="nil"/>
              <w:bottom w:val="single" w:color="auto" w:sz="4" w:space="0"/>
              <w:right w:val="single" w:color="auto" w:sz="4" w:space="0"/>
            </w:tcBorders>
            <w:vAlign w:val="top"/>
          </w:tcPr>
          <w:p>
            <w:pPr>
              <w:widowControl/>
              <w:spacing w:line="280" w:lineRule="exact"/>
              <w:jc w:val="both"/>
              <w:rPr>
                <w:rFonts w:ascii="宋体" w:hAnsi="宋体" w:cs="宋体"/>
                <w:kern w:val="0"/>
                <w:sz w:val="20"/>
                <w:szCs w:val="20"/>
              </w:rPr>
            </w:pPr>
            <w:r>
              <w:rPr>
                <w:rFonts w:hint="eastAsia" w:ascii="宋体" w:hAnsi="宋体" w:eastAsia="宋体" w:cs="宋体"/>
                <w:kern w:val="0"/>
                <w:sz w:val="20"/>
                <w:szCs w:val="20"/>
                <w:lang w:val="en-US" w:eastAsia="zh-CN"/>
              </w:rPr>
              <w:t xml:space="preserve"> </w:t>
            </w:r>
          </w:p>
        </w:tc>
        <w:tc>
          <w:tcPr>
            <w:tcW w:w="1897" w:type="dxa"/>
            <w:gridSpan w:val="3"/>
            <w:tcBorders>
              <w:top w:val="nil"/>
              <w:left w:val="nil"/>
              <w:bottom w:val="single" w:color="auto" w:sz="4" w:space="0"/>
              <w:right w:val="single" w:color="auto" w:sz="4" w:space="0"/>
            </w:tcBorders>
            <w:vAlign w:val="top"/>
          </w:tcPr>
          <w:p>
            <w:pPr>
              <w:widowControl/>
              <w:spacing w:line="280" w:lineRule="exact"/>
              <w:jc w:val="both"/>
              <w:rPr>
                <w:rFonts w:ascii="宋体" w:hAnsi="宋体" w:cs="宋体"/>
                <w:kern w:val="0"/>
                <w:sz w:val="20"/>
                <w:szCs w:val="20"/>
              </w:rPr>
            </w:pPr>
            <w:r>
              <w:rPr>
                <w:rFonts w:hint="eastAsia" w:ascii="宋体" w:hAnsi="宋体" w:eastAsia="宋体" w:cs="宋体"/>
                <w:kern w:val="0"/>
                <w:sz w:val="20"/>
                <w:szCs w:val="20"/>
                <w:lang w:val="en-US" w:eastAsia="zh-CN"/>
              </w:rPr>
              <w:t xml:space="preserve"> </w:t>
            </w:r>
          </w:p>
        </w:tc>
      </w:tr>
      <w:tr>
        <w:tblPrEx>
          <w:tblCellMar>
            <w:top w:w="0" w:type="dxa"/>
            <w:left w:w="108" w:type="dxa"/>
            <w:bottom w:w="0" w:type="dxa"/>
            <w:right w:w="108" w:type="dxa"/>
          </w:tblCellMar>
        </w:tblPrEx>
        <w:trPr>
          <w:gridAfter w:val="1"/>
          <w:wAfter w:w="299" w:type="dxa"/>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1.设备费</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070" w:type="dxa"/>
            <w:gridSpan w:val="2"/>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97"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299" w:type="dxa"/>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其中：购置</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070" w:type="dxa"/>
            <w:gridSpan w:val="2"/>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97"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299" w:type="dxa"/>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试制升级改造</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070" w:type="dxa"/>
            <w:gridSpan w:val="2"/>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97"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299" w:type="dxa"/>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租赁</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070" w:type="dxa"/>
            <w:gridSpan w:val="2"/>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97"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299" w:type="dxa"/>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2.业务费</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070" w:type="dxa"/>
            <w:gridSpan w:val="2"/>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97"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299" w:type="dxa"/>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3.劳务费</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070" w:type="dxa"/>
            <w:gridSpan w:val="2"/>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97"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299" w:type="dxa"/>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（二）间接费用</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070" w:type="dxa"/>
            <w:gridSpan w:val="2"/>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97"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299" w:type="dxa"/>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 xml:space="preserve"> 其中：绩效支出</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070" w:type="dxa"/>
            <w:gridSpan w:val="2"/>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97"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299" w:type="dxa"/>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合</w:t>
            </w: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计</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070"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0"/>
                <w:szCs w:val="20"/>
              </w:rPr>
            </w:pPr>
          </w:p>
        </w:tc>
        <w:tc>
          <w:tcPr>
            <w:tcW w:w="1897"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299" w:type="dxa"/>
          <w:trHeight w:val="2745" w:hRule="atLeast"/>
        </w:trPr>
        <w:tc>
          <w:tcPr>
            <w:tcW w:w="9411" w:type="dxa"/>
            <w:gridSpan w:val="8"/>
            <w:tcBorders>
              <w:top w:val="single" w:color="auto" w:sz="4" w:space="0"/>
              <w:left w:val="nil"/>
              <w:bottom w:val="nil"/>
              <w:right w:val="nil"/>
            </w:tcBorders>
            <w:vAlign w:val="top"/>
          </w:tcPr>
          <w:p>
            <w:pPr>
              <w:widowControl/>
              <w:spacing w:line="28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备注：</w:t>
            </w:r>
          </w:p>
          <w:p>
            <w:pPr>
              <w:widowControl/>
              <w:spacing w:line="28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 xml:space="preserve">1.设备须注明名称、型号、单价、数量、用途。                                                                                                                                                                                                                  </w:t>
            </w:r>
            <w:r>
              <w:rPr>
                <w:rFonts w:hint="eastAsia" w:ascii="宋体" w:hAnsi="宋体" w:eastAsia="宋体" w:cs="宋体"/>
                <w:kern w:val="0"/>
                <w:sz w:val="20"/>
                <w:szCs w:val="20"/>
                <w:lang w:val="en-US" w:eastAsia="zh-CN"/>
              </w:rPr>
              <w:t>2</w:t>
            </w:r>
            <w:r>
              <w:rPr>
                <w:rFonts w:hint="eastAsia" w:ascii="宋体" w:hAnsi="宋体" w:cs="宋体"/>
                <w:kern w:val="0"/>
                <w:sz w:val="20"/>
                <w:szCs w:val="20"/>
              </w:rPr>
              <w:t>.间接费用实行总额控制，按照项目经费扣除设备费后的一定比例核定：扣除后500万元及以下的部分为不超过30%；500万元至1000万元的部分为不超过25%；1000万元以上的部分为不超过20%；各分段计算出的金额加总合计为间接费用总额。数学、物理等纯理论基础研究项目和省创新战略研究项目，间接费用比例不超过</w:t>
            </w:r>
            <w:r>
              <w:rPr>
                <w:rFonts w:hint="eastAsia" w:ascii="宋体" w:hAnsi="宋体" w:eastAsia="宋体" w:cs="宋体"/>
                <w:kern w:val="0"/>
                <w:sz w:val="20"/>
                <w:szCs w:val="20"/>
                <w:lang w:val="en-US" w:eastAsia="zh-CN"/>
              </w:rPr>
              <w:t>8</w:t>
            </w:r>
            <w:r>
              <w:rPr>
                <w:rFonts w:hint="eastAsia" w:ascii="宋体" w:hAnsi="宋体" w:cs="宋体"/>
                <w:kern w:val="0"/>
                <w:sz w:val="20"/>
                <w:szCs w:val="20"/>
              </w:rPr>
              <w:t>0%。</w:t>
            </w:r>
          </w:p>
          <w:p>
            <w:pPr>
              <w:widowControl/>
              <w:spacing w:line="280" w:lineRule="exact"/>
              <w:jc w:val="left"/>
              <w:rPr>
                <w:rFonts w:ascii="宋体" w:hAnsi="宋体" w:cs="宋体"/>
                <w:kern w:val="0"/>
                <w:sz w:val="20"/>
                <w:szCs w:val="20"/>
              </w:rPr>
            </w:pPr>
            <w:r>
              <w:rPr>
                <w:rFonts w:hint="eastAsia" w:ascii="宋体" w:hAnsi="宋体" w:cs="宋体"/>
                <w:kern w:val="0"/>
                <w:sz w:val="20"/>
                <w:szCs w:val="20"/>
              </w:rPr>
              <w:t xml:space="preserve">举例：假设某项目经费为1500万元，其中设备购置费200万元，项目经费-设备购置费=1500-200=1300万元，则间接费用上限=500*30%+（1000-500）*25%+（1300-1000）*20%=150+125+60=335万元。                                                                                                               </w:t>
            </w:r>
          </w:p>
        </w:tc>
      </w:tr>
    </w:tbl>
    <w:p>
      <w:pPr>
        <w:spacing w:line="320" w:lineRule="exact"/>
        <w:rPr>
          <w:rFonts w:hint="eastAsia" w:ascii="黑体" w:hAnsi="黑体" w:eastAsia="黑体"/>
          <w:sz w:val="30"/>
          <w:szCs w:val="30"/>
        </w:rPr>
      </w:pPr>
      <w:r>
        <w:br w:type="page"/>
      </w:r>
      <w:r>
        <w:rPr>
          <w:rFonts w:hint="eastAsia" w:ascii="黑体" w:hAnsi="黑体" w:eastAsia="黑体"/>
          <w:sz w:val="30"/>
          <w:szCs w:val="30"/>
        </w:rPr>
        <w:t>附件3</w:t>
      </w:r>
    </w:p>
    <w:tbl>
      <w:tblPr>
        <w:tblStyle w:val="4"/>
        <w:tblW w:w="9404" w:type="dxa"/>
        <w:tblInd w:w="-252" w:type="dxa"/>
        <w:tblLayout w:type="fixed"/>
        <w:tblCellMar>
          <w:top w:w="0" w:type="dxa"/>
          <w:left w:w="108" w:type="dxa"/>
          <w:bottom w:w="0" w:type="dxa"/>
          <w:right w:w="108" w:type="dxa"/>
        </w:tblCellMar>
      </w:tblPr>
      <w:tblGrid>
        <w:gridCol w:w="1660"/>
        <w:gridCol w:w="1564"/>
        <w:gridCol w:w="2220"/>
        <w:gridCol w:w="446"/>
        <w:gridCol w:w="1420"/>
        <w:gridCol w:w="219"/>
        <w:gridCol w:w="1646"/>
        <w:gridCol w:w="115"/>
        <w:gridCol w:w="114"/>
      </w:tblGrid>
      <w:tr>
        <w:tblPrEx>
          <w:tblCellMar>
            <w:top w:w="0" w:type="dxa"/>
            <w:left w:w="108" w:type="dxa"/>
            <w:bottom w:w="0" w:type="dxa"/>
            <w:right w:w="108" w:type="dxa"/>
          </w:tblCellMar>
        </w:tblPrEx>
        <w:trPr>
          <w:gridAfter w:val="2"/>
          <w:wAfter w:w="229" w:type="dxa"/>
          <w:trHeight w:val="420" w:hRule="atLeast"/>
        </w:trPr>
        <w:tc>
          <w:tcPr>
            <w:tcW w:w="9175" w:type="dxa"/>
            <w:gridSpan w:val="7"/>
            <w:tcBorders>
              <w:top w:val="nil"/>
              <w:left w:val="nil"/>
              <w:bottom w:val="nil"/>
              <w:right w:val="nil"/>
            </w:tcBorders>
            <w:vAlign w:val="center"/>
          </w:tcPr>
          <w:p>
            <w:pPr>
              <w:widowControl/>
              <w:spacing w:line="320" w:lineRule="exact"/>
              <w:jc w:val="center"/>
              <w:rPr>
                <w:rFonts w:hint="eastAsia" w:ascii="方正小标宋简体" w:hAnsi="方正小标宋简体" w:eastAsia="方正小标宋简体" w:cs="宋体"/>
                <w:kern w:val="0"/>
                <w:sz w:val="32"/>
                <w:szCs w:val="32"/>
              </w:rPr>
            </w:pPr>
          </w:p>
          <w:p>
            <w:pPr>
              <w:widowControl/>
              <w:spacing w:line="320" w:lineRule="exact"/>
              <w:jc w:val="center"/>
              <w:rPr>
                <w:rFonts w:ascii="方正小标宋简体" w:hAnsi="方正小标宋简体" w:eastAsia="方正小标宋简体" w:cs="宋体"/>
                <w:kern w:val="0"/>
                <w:sz w:val="32"/>
                <w:szCs w:val="32"/>
              </w:rPr>
            </w:pPr>
            <w:r>
              <w:rPr>
                <w:rFonts w:hint="eastAsia" w:ascii="方正小标宋简体" w:hAnsi="方正小标宋简体" w:eastAsia="方正小标宋简体" w:cs="宋体"/>
                <w:kern w:val="0"/>
                <w:sz w:val="32"/>
                <w:szCs w:val="32"/>
              </w:rPr>
              <w:t>科技计划项目</w:t>
            </w:r>
            <w:r>
              <w:rPr>
                <w:rFonts w:hint="eastAsia" w:ascii="方正小标宋简体" w:hAnsi="方正小标宋简体" w:eastAsia="方正小标宋简体" w:cs="宋体"/>
                <w:kern w:val="0"/>
                <w:sz w:val="32"/>
                <w:szCs w:val="32"/>
                <w:lang w:eastAsia="zh-CN"/>
              </w:rPr>
              <w:t>财政资助</w:t>
            </w:r>
            <w:r>
              <w:rPr>
                <w:rFonts w:hint="eastAsia" w:ascii="方正小标宋简体" w:hAnsi="方正小标宋简体" w:eastAsia="方正小标宋简体" w:cs="宋体"/>
                <w:kern w:val="0"/>
                <w:sz w:val="32"/>
                <w:szCs w:val="32"/>
              </w:rPr>
              <w:t>经费预算表（合作单位填制）</w:t>
            </w:r>
          </w:p>
        </w:tc>
      </w:tr>
      <w:tr>
        <w:tblPrEx>
          <w:tblCellMar>
            <w:top w:w="0" w:type="dxa"/>
            <w:left w:w="108" w:type="dxa"/>
            <w:bottom w:w="0" w:type="dxa"/>
            <w:right w:w="108" w:type="dxa"/>
          </w:tblCellMar>
        </w:tblPrEx>
        <w:trPr>
          <w:gridAfter w:val="1"/>
          <w:wAfter w:w="114" w:type="dxa"/>
          <w:trHeight w:val="420" w:hRule="atLeast"/>
        </w:trPr>
        <w:tc>
          <w:tcPr>
            <w:tcW w:w="1660" w:type="dxa"/>
            <w:tcBorders>
              <w:top w:val="nil"/>
              <w:left w:val="nil"/>
              <w:bottom w:val="nil"/>
              <w:right w:val="nil"/>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填报单位：</w:t>
            </w:r>
          </w:p>
        </w:tc>
        <w:tc>
          <w:tcPr>
            <w:tcW w:w="3784" w:type="dxa"/>
            <w:gridSpan w:val="2"/>
            <w:tcBorders>
              <w:top w:val="nil"/>
              <w:left w:val="nil"/>
              <w:bottom w:val="nil"/>
              <w:right w:val="nil"/>
            </w:tcBorders>
            <w:vAlign w:val="center"/>
          </w:tcPr>
          <w:p>
            <w:pPr>
              <w:widowControl/>
              <w:spacing w:line="280" w:lineRule="exact"/>
              <w:jc w:val="left"/>
              <w:rPr>
                <w:rFonts w:ascii="仿宋_GB2312" w:hAnsi="宋体" w:eastAsia="仿宋_GB2312" w:cs="宋体"/>
                <w:kern w:val="0"/>
                <w:sz w:val="20"/>
                <w:szCs w:val="20"/>
              </w:rPr>
            </w:pPr>
          </w:p>
        </w:tc>
        <w:tc>
          <w:tcPr>
            <w:tcW w:w="446" w:type="dxa"/>
            <w:tcBorders>
              <w:top w:val="nil"/>
              <w:left w:val="nil"/>
              <w:bottom w:val="nil"/>
              <w:right w:val="nil"/>
            </w:tcBorders>
            <w:vAlign w:val="center"/>
          </w:tcPr>
          <w:p>
            <w:pPr>
              <w:widowControl/>
              <w:spacing w:line="280" w:lineRule="exact"/>
              <w:jc w:val="left"/>
              <w:rPr>
                <w:rFonts w:ascii="仿宋_GB2312" w:hAnsi="宋体" w:eastAsia="仿宋_GB2312" w:cs="宋体"/>
                <w:kern w:val="0"/>
                <w:sz w:val="20"/>
                <w:szCs w:val="20"/>
              </w:rPr>
            </w:pPr>
          </w:p>
        </w:tc>
        <w:tc>
          <w:tcPr>
            <w:tcW w:w="1420" w:type="dxa"/>
            <w:tcBorders>
              <w:top w:val="nil"/>
              <w:left w:val="nil"/>
              <w:bottom w:val="nil"/>
              <w:right w:val="nil"/>
            </w:tcBorders>
            <w:vAlign w:val="center"/>
          </w:tcPr>
          <w:p>
            <w:pPr>
              <w:widowControl/>
              <w:spacing w:line="280" w:lineRule="exact"/>
              <w:jc w:val="left"/>
              <w:rPr>
                <w:rFonts w:ascii="仿宋_GB2312" w:hAnsi="宋体" w:eastAsia="仿宋_GB2312" w:cs="宋体"/>
                <w:kern w:val="0"/>
                <w:sz w:val="20"/>
                <w:szCs w:val="20"/>
              </w:rPr>
            </w:pPr>
          </w:p>
        </w:tc>
        <w:tc>
          <w:tcPr>
            <w:tcW w:w="1980" w:type="dxa"/>
            <w:gridSpan w:val="3"/>
            <w:tcBorders>
              <w:top w:val="nil"/>
              <w:left w:val="nil"/>
              <w:bottom w:val="nil"/>
              <w:right w:val="nil"/>
            </w:tcBorders>
            <w:vAlign w:val="center"/>
          </w:tcPr>
          <w:p>
            <w:pPr>
              <w:widowControl/>
              <w:spacing w:line="280" w:lineRule="exact"/>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680" w:hRule="atLeast"/>
        </w:trPr>
        <w:tc>
          <w:tcPr>
            <w:tcW w:w="5444" w:type="dxa"/>
            <w:gridSpan w:val="3"/>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黑体" w:hAnsi="黑体" w:eastAsia="黑体" w:cs="宋体"/>
                <w:kern w:val="0"/>
                <w:sz w:val="22"/>
                <w:szCs w:val="22"/>
              </w:rPr>
            </w:pPr>
            <w:r>
              <w:rPr>
                <w:rFonts w:hint="eastAsia" w:ascii="黑体" w:hAnsi="黑体" w:eastAsia="黑体" w:cs="宋体"/>
                <w:kern w:val="0"/>
                <w:sz w:val="22"/>
                <w:szCs w:val="22"/>
              </w:rPr>
              <w:t>项目经费支出</w:t>
            </w:r>
          </w:p>
        </w:tc>
        <w:tc>
          <w:tcPr>
            <w:tcW w:w="2085" w:type="dxa"/>
            <w:gridSpan w:val="3"/>
            <w:vMerge w:val="restart"/>
            <w:tcBorders>
              <w:top w:val="single" w:color="auto" w:sz="4" w:space="0"/>
              <w:left w:val="nil"/>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rPr>
            </w:pPr>
            <w:r>
              <w:rPr>
                <w:rFonts w:hint="eastAsia" w:ascii="黑体" w:hAnsi="黑体" w:eastAsia="黑体" w:cs="宋体"/>
                <w:kern w:val="0"/>
                <w:sz w:val="22"/>
                <w:szCs w:val="22"/>
              </w:rPr>
              <w:t>测算说明</w:t>
            </w:r>
          </w:p>
        </w:tc>
        <w:tc>
          <w:tcPr>
            <w:tcW w:w="187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rPr>
            </w:pPr>
            <w:r>
              <w:rPr>
                <w:rFonts w:hint="eastAsia" w:ascii="黑体" w:hAnsi="黑体" w:eastAsia="黑体" w:cs="宋体"/>
                <w:kern w:val="0"/>
                <w:sz w:val="22"/>
                <w:szCs w:val="22"/>
                <w:lang w:val="en-US" w:eastAsia="zh-CN"/>
              </w:rPr>
              <w:t>备注</w:t>
            </w: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rPr>
            </w:pPr>
            <w:r>
              <w:rPr>
                <w:rFonts w:hint="eastAsia" w:ascii="黑体" w:hAnsi="黑体" w:eastAsia="黑体" w:cs="宋体"/>
                <w:kern w:val="0"/>
                <w:sz w:val="22"/>
                <w:szCs w:val="22"/>
              </w:rPr>
              <w:t>科目</w:t>
            </w:r>
          </w:p>
        </w:tc>
        <w:tc>
          <w:tcPr>
            <w:tcW w:w="2220" w:type="dxa"/>
            <w:tcBorders>
              <w:top w:val="nil"/>
              <w:left w:val="nil"/>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rPr>
            </w:pPr>
            <w:r>
              <w:rPr>
                <w:rFonts w:hint="eastAsia" w:ascii="黑体" w:hAnsi="黑体" w:eastAsia="黑体" w:cs="宋体"/>
                <w:kern w:val="0"/>
                <w:sz w:val="22"/>
                <w:szCs w:val="22"/>
              </w:rPr>
              <w:t>预算数</w:t>
            </w:r>
          </w:p>
        </w:tc>
        <w:tc>
          <w:tcPr>
            <w:tcW w:w="2085" w:type="dxa"/>
            <w:gridSpan w:val="3"/>
            <w:vMerge w:val="continue"/>
            <w:tcBorders>
              <w:top w:val="nil"/>
              <w:left w:val="nil"/>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rPr>
            </w:pPr>
          </w:p>
        </w:tc>
        <w:tc>
          <w:tcPr>
            <w:tcW w:w="187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黑体" w:hAnsi="黑体" w:eastAsia="黑体" w:cs="宋体"/>
                <w:kern w:val="0"/>
                <w:sz w:val="22"/>
                <w:szCs w:val="22"/>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（一）直接费用</w:t>
            </w:r>
          </w:p>
        </w:tc>
        <w:tc>
          <w:tcPr>
            <w:tcW w:w="22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　</w:t>
            </w:r>
          </w:p>
        </w:tc>
        <w:tc>
          <w:tcPr>
            <w:tcW w:w="2085" w:type="dxa"/>
            <w:gridSpan w:val="3"/>
            <w:tcBorders>
              <w:top w:val="nil"/>
              <w:left w:val="nil"/>
              <w:bottom w:val="single" w:color="auto" w:sz="4" w:space="0"/>
              <w:right w:val="single" w:color="auto" w:sz="4" w:space="0"/>
            </w:tcBorders>
            <w:vAlign w:val="top"/>
          </w:tcPr>
          <w:p>
            <w:pPr>
              <w:widowControl/>
              <w:spacing w:line="280" w:lineRule="exact"/>
              <w:jc w:val="both"/>
              <w:rPr>
                <w:rFonts w:ascii="宋体" w:hAnsi="宋体" w:cs="宋体"/>
                <w:kern w:val="0"/>
                <w:sz w:val="20"/>
                <w:szCs w:val="20"/>
              </w:rPr>
            </w:pPr>
            <w:r>
              <w:rPr>
                <w:rFonts w:hint="eastAsia" w:ascii="宋体" w:hAnsi="宋体" w:eastAsia="宋体" w:cs="宋体"/>
                <w:kern w:val="0"/>
                <w:sz w:val="20"/>
                <w:szCs w:val="20"/>
                <w:lang w:val="en-US" w:eastAsia="zh-CN"/>
              </w:rPr>
              <w:t xml:space="preserve"> </w:t>
            </w:r>
          </w:p>
        </w:tc>
        <w:tc>
          <w:tcPr>
            <w:tcW w:w="1875" w:type="dxa"/>
            <w:gridSpan w:val="3"/>
            <w:tcBorders>
              <w:top w:val="nil"/>
              <w:left w:val="nil"/>
              <w:bottom w:val="single" w:color="auto" w:sz="4" w:space="0"/>
              <w:right w:val="single" w:color="auto" w:sz="4" w:space="0"/>
            </w:tcBorders>
            <w:vAlign w:val="top"/>
          </w:tcPr>
          <w:p>
            <w:pPr>
              <w:widowControl/>
              <w:spacing w:line="280" w:lineRule="exact"/>
              <w:jc w:val="both"/>
              <w:rPr>
                <w:rFonts w:ascii="宋体" w:hAnsi="宋体" w:cs="宋体"/>
                <w:kern w:val="0"/>
                <w:sz w:val="20"/>
                <w:szCs w:val="20"/>
              </w:rPr>
            </w:pPr>
            <w:r>
              <w:rPr>
                <w:rFonts w:hint="eastAsia" w:ascii="宋体" w:hAnsi="宋体" w:eastAsia="宋体" w:cs="宋体"/>
                <w:kern w:val="0"/>
                <w:sz w:val="20"/>
                <w:szCs w:val="20"/>
                <w:lang w:val="en-US" w:eastAsia="zh-CN"/>
              </w:rPr>
              <w:t xml:space="preserve">  </w:t>
            </w: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1.设备费</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08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7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其中：购置</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08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7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试制升级改造</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08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7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租赁</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08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7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2.业务费</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08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7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3.劳务费</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08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7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（二）间接费用</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08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7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 xml:space="preserve"> 其中：绩效支出</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08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7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合</w:t>
            </w: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计</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085" w:type="dxa"/>
            <w:gridSpan w:val="3"/>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0"/>
                <w:szCs w:val="20"/>
              </w:rPr>
            </w:pPr>
          </w:p>
        </w:tc>
        <w:tc>
          <w:tcPr>
            <w:tcW w:w="1875" w:type="dxa"/>
            <w:gridSpan w:val="3"/>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2745" w:hRule="atLeast"/>
        </w:trPr>
        <w:tc>
          <w:tcPr>
            <w:tcW w:w="9404" w:type="dxa"/>
            <w:gridSpan w:val="9"/>
            <w:tcBorders>
              <w:top w:val="single" w:color="auto" w:sz="4" w:space="0"/>
              <w:left w:val="nil"/>
              <w:bottom w:val="nil"/>
              <w:right w:val="nil"/>
            </w:tcBorders>
            <w:vAlign w:val="top"/>
          </w:tcPr>
          <w:p>
            <w:pPr>
              <w:widowControl/>
              <w:spacing w:line="28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备注：</w:t>
            </w:r>
          </w:p>
          <w:p>
            <w:pPr>
              <w:widowControl/>
              <w:spacing w:line="28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 xml:space="preserve">1.设备须注明名称、型号、单价、数量、用途。                                                                                                                                                                                                                  </w:t>
            </w:r>
            <w:r>
              <w:rPr>
                <w:rFonts w:hint="eastAsia" w:ascii="宋体" w:hAnsi="宋体" w:eastAsia="宋体" w:cs="宋体"/>
                <w:kern w:val="0"/>
                <w:sz w:val="20"/>
                <w:szCs w:val="20"/>
                <w:lang w:val="en-US" w:eastAsia="zh-CN"/>
              </w:rPr>
              <w:t>2</w:t>
            </w:r>
            <w:r>
              <w:rPr>
                <w:rFonts w:hint="eastAsia" w:ascii="宋体" w:hAnsi="宋体" w:cs="宋体"/>
                <w:kern w:val="0"/>
                <w:sz w:val="20"/>
                <w:szCs w:val="20"/>
              </w:rPr>
              <w:t>.间接费用实行总额控制，按照项目经费扣除设备费后的一定比例核定：扣除后500万元及以下的部分为不超过30%；500万元至1000万元的部分为不超过25%；1000万元以上的部分为不超过20%；各分段计算出的金额加总合计为间接费用总额。数学、物理等纯理论基础研究项目和省创新战略研究项目，间接费用比例不超过</w:t>
            </w:r>
            <w:r>
              <w:rPr>
                <w:rFonts w:hint="eastAsia" w:ascii="宋体" w:hAnsi="宋体" w:eastAsia="宋体" w:cs="宋体"/>
                <w:kern w:val="0"/>
                <w:sz w:val="20"/>
                <w:szCs w:val="20"/>
                <w:lang w:val="en-US" w:eastAsia="zh-CN"/>
              </w:rPr>
              <w:t>8</w:t>
            </w:r>
            <w:r>
              <w:rPr>
                <w:rFonts w:hint="eastAsia" w:ascii="宋体" w:hAnsi="宋体" w:cs="宋体"/>
                <w:kern w:val="0"/>
                <w:sz w:val="20"/>
                <w:szCs w:val="20"/>
              </w:rPr>
              <w:t>0%。</w:t>
            </w:r>
          </w:p>
          <w:p>
            <w:pPr>
              <w:widowControl/>
              <w:spacing w:line="280" w:lineRule="exact"/>
              <w:jc w:val="left"/>
              <w:rPr>
                <w:rFonts w:ascii="宋体" w:hAnsi="宋体" w:cs="宋体"/>
                <w:kern w:val="0"/>
                <w:sz w:val="20"/>
                <w:szCs w:val="20"/>
              </w:rPr>
            </w:pPr>
            <w:r>
              <w:rPr>
                <w:rFonts w:hint="eastAsia" w:ascii="宋体" w:hAnsi="宋体" w:cs="宋体"/>
                <w:kern w:val="0"/>
                <w:sz w:val="20"/>
                <w:szCs w:val="20"/>
              </w:rPr>
              <w:t xml:space="preserve">举例：假设某项目经费为1500万元，其中设备购置费200万元，项目经费-设备购置费=1500-200=1300万元，则间接费用上限=500*30%+（1000-500）*25%+（1300-1000）*20%=150+125+60=335万元。                                                                                                               </w:t>
            </w:r>
          </w:p>
        </w:tc>
      </w:tr>
    </w:tbl>
    <w:p>
      <w:r>
        <w:br w:type="page"/>
      </w:r>
      <w:r>
        <w:rPr>
          <w:rFonts w:hint="eastAsia" w:ascii="黑体" w:hAnsi="黑体" w:eastAsia="黑体"/>
          <w:sz w:val="30"/>
          <w:szCs w:val="30"/>
        </w:rPr>
        <w:t>附件4</w:t>
      </w:r>
    </w:p>
    <w:tbl>
      <w:tblPr>
        <w:tblStyle w:val="4"/>
        <w:tblW w:w="9404" w:type="dxa"/>
        <w:tblInd w:w="-252" w:type="dxa"/>
        <w:tblLayout w:type="fixed"/>
        <w:tblCellMar>
          <w:top w:w="0" w:type="dxa"/>
          <w:left w:w="108" w:type="dxa"/>
          <w:bottom w:w="0" w:type="dxa"/>
          <w:right w:w="108" w:type="dxa"/>
        </w:tblCellMar>
      </w:tblPr>
      <w:tblGrid>
        <w:gridCol w:w="1660"/>
        <w:gridCol w:w="1564"/>
        <w:gridCol w:w="2220"/>
        <w:gridCol w:w="446"/>
        <w:gridCol w:w="1654"/>
        <w:gridCol w:w="1802"/>
        <w:gridCol w:w="58"/>
      </w:tblGrid>
      <w:tr>
        <w:tblPrEx>
          <w:tblCellMar>
            <w:top w:w="0" w:type="dxa"/>
            <w:left w:w="108" w:type="dxa"/>
            <w:bottom w:w="0" w:type="dxa"/>
            <w:right w:w="108" w:type="dxa"/>
          </w:tblCellMar>
        </w:tblPrEx>
        <w:trPr>
          <w:gridAfter w:val="1"/>
          <w:wAfter w:w="58" w:type="dxa"/>
          <w:trHeight w:val="420" w:hRule="atLeast"/>
        </w:trPr>
        <w:tc>
          <w:tcPr>
            <w:tcW w:w="9346" w:type="dxa"/>
            <w:gridSpan w:val="6"/>
            <w:tcBorders>
              <w:top w:val="nil"/>
              <w:left w:val="nil"/>
              <w:bottom w:val="nil"/>
              <w:right w:val="nil"/>
            </w:tcBorders>
            <w:vAlign w:val="center"/>
          </w:tcPr>
          <w:p>
            <w:pPr>
              <w:widowControl/>
              <w:spacing w:line="320" w:lineRule="exact"/>
              <w:jc w:val="center"/>
              <w:rPr>
                <w:rFonts w:ascii="方正小标宋简体" w:hAnsi="方正小标宋简体" w:eastAsia="方正小标宋简体" w:cs="宋体"/>
                <w:kern w:val="0"/>
                <w:sz w:val="32"/>
                <w:szCs w:val="32"/>
              </w:rPr>
            </w:pPr>
            <w:r>
              <w:rPr>
                <w:rFonts w:hint="eastAsia" w:ascii="方正小标宋简体" w:hAnsi="方正小标宋简体" w:eastAsia="方正小标宋简体" w:cs="宋体"/>
                <w:kern w:val="0"/>
                <w:sz w:val="32"/>
                <w:szCs w:val="32"/>
              </w:rPr>
              <w:t>科技计划项目</w:t>
            </w:r>
            <w:r>
              <w:rPr>
                <w:rFonts w:hint="eastAsia" w:ascii="方正小标宋简体" w:hAnsi="方正小标宋简体" w:eastAsia="方正小标宋简体" w:cs="宋体"/>
                <w:kern w:val="0"/>
                <w:sz w:val="32"/>
                <w:szCs w:val="32"/>
                <w:lang w:eastAsia="zh-CN"/>
              </w:rPr>
              <w:t>财政资助</w:t>
            </w:r>
            <w:r>
              <w:rPr>
                <w:rFonts w:hint="eastAsia" w:ascii="方正小标宋简体" w:hAnsi="方正小标宋简体" w:eastAsia="方正小标宋简体" w:cs="宋体"/>
                <w:kern w:val="0"/>
                <w:sz w:val="32"/>
                <w:szCs w:val="32"/>
              </w:rPr>
              <w:t>经费汇总表</w:t>
            </w:r>
          </w:p>
        </w:tc>
      </w:tr>
      <w:tr>
        <w:tblPrEx>
          <w:tblCellMar>
            <w:top w:w="0" w:type="dxa"/>
            <w:left w:w="108" w:type="dxa"/>
            <w:bottom w:w="0" w:type="dxa"/>
            <w:right w:w="108" w:type="dxa"/>
          </w:tblCellMar>
        </w:tblPrEx>
        <w:trPr>
          <w:trHeight w:val="420" w:hRule="atLeast"/>
        </w:trPr>
        <w:tc>
          <w:tcPr>
            <w:tcW w:w="1660" w:type="dxa"/>
            <w:tcBorders>
              <w:top w:val="nil"/>
              <w:left w:val="nil"/>
              <w:bottom w:val="nil"/>
              <w:right w:val="nil"/>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填报单位：</w:t>
            </w:r>
          </w:p>
        </w:tc>
        <w:tc>
          <w:tcPr>
            <w:tcW w:w="3784" w:type="dxa"/>
            <w:gridSpan w:val="2"/>
            <w:tcBorders>
              <w:top w:val="nil"/>
              <w:left w:val="nil"/>
              <w:bottom w:val="nil"/>
              <w:right w:val="nil"/>
            </w:tcBorders>
            <w:vAlign w:val="center"/>
          </w:tcPr>
          <w:p>
            <w:pPr>
              <w:widowControl/>
              <w:spacing w:line="280" w:lineRule="exact"/>
              <w:jc w:val="left"/>
              <w:rPr>
                <w:rFonts w:ascii="仿宋_GB2312" w:hAnsi="宋体" w:eastAsia="仿宋_GB2312" w:cs="宋体"/>
                <w:kern w:val="0"/>
                <w:sz w:val="20"/>
                <w:szCs w:val="20"/>
              </w:rPr>
            </w:pPr>
          </w:p>
        </w:tc>
        <w:tc>
          <w:tcPr>
            <w:tcW w:w="446" w:type="dxa"/>
            <w:tcBorders>
              <w:top w:val="nil"/>
              <w:left w:val="nil"/>
              <w:bottom w:val="nil"/>
              <w:right w:val="nil"/>
            </w:tcBorders>
            <w:vAlign w:val="center"/>
          </w:tcPr>
          <w:p>
            <w:pPr>
              <w:widowControl/>
              <w:spacing w:line="280" w:lineRule="exact"/>
              <w:jc w:val="left"/>
              <w:rPr>
                <w:rFonts w:ascii="仿宋_GB2312" w:hAnsi="宋体" w:eastAsia="仿宋_GB2312" w:cs="宋体"/>
                <w:kern w:val="0"/>
                <w:sz w:val="20"/>
                <w:szCs w:val="20"/>
              </w:rPr>
            </w:pPr>
          </w:p>
        </w:tc>
        <w:tc>
          <w:tcPr>
            <w:tcW w:w="1654" w:type="dxa"/>
            <w:tcBorders>
              <w:top w:val="nil"/>
              <w:left w:val="nil"/>
              <w:bottom w:val="nil"/>
              <w:right w:val="nil"/>
            </w:tcBorders>
            <w:vAlign w:val="center"/>
          </w:tcPr>
          <w:p>
            <w:pPr>
              <w:widowControl/>
              <w:spacing w:line="280" w:lineRule="exact"/>
              <w:jc w:val="left"/>
              <w:rPr>
                <w:rFonts w:ascii="仿宋_GB2312" w:hAnsi="宋体" w:eastAsia="仿宋_GB2312" w:cs="宋体"/>
                <w:kern w:val="0"/>
                <w:sz w:val="20"/>
                <w:szCs w:val="20"/>
              </w:rPr>
            </w:pPr>
          </w:p>
        </w:tc>
        <w:tc>
          <w:tcPr>
            <w:tcW w:w="1860" w:type="dxa"/>
            <w:gridSpan w:val="2"/>
            <w:tcBorders>
              <w:top w:val="nil"/>
              <w:left w:val="nil"/>
              <w:bottom w:val="nil"/>
              <w:right w:val="nil"/>
            </w:tcBorders>
            <w:vAlign w:val="center"/>
          </w:tcPr>
          <w:p>
            <w:pPr>
              <w:widowControl/>
              <w:spacing w:line="280" w:lineRule="exact"/>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680" w:hRule="atLeast"/>
        </w:trPr>
        <w:tc>
          <w:tcPr>
            <w:tcW w:w="5444" w:type="dxa"/>
            <w:gridSpan w:val="3"/>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黑体" w:hAnsi="黑体" w:eastAsia="黑体" w:cs="宋体"/>
                <w:kern w:val="0"/>
                <w:sz w:val="22"/>
                <w:szCs w:val="22"/>
              </w:rPr>
            </w:pPr>
            <w:r>
              <w:rPr>
                <w:rFonts w:hint="eastAsia" w:ascii="黑体" w:hAnsi="黑体" w:eastAsia="黑体" w:cs="宋体"/>
                <w:kern w:val="0"/>
                <w:sz w:val="22"/>
                <w:szCs w:val="22"/>
              </w:rPr>
              <w:t>项目经费支出</w:t>
            </w:r>
          </w:p>
        </w:tc>
        <w:tc>
          <w:tcPr>
            <w:tcW w:w="2100" w:type="dxa"/>
            <w:gridSpan w:val="2"/>
            <w:vMerge w:val="restart"/>
            <w:tcBorders>
              <w:top w:val="single" w:color="auto" w:sz="4" w:space="0"/>
              <w:left w:val="nil"/>
              <w:right w:val="single" w:color="auto" w:sz="4" w:space="0"/>
            </w:tcBorders>
            <w:vAlign w:val="center"/>
          </w:tcPr>
          <w:p>
            <w:pPr>
              <w:widowControl/>
              <w:spacing w:line="280" w:lineRule="exact"/>
              <w:jc w:val="center"/>
              <w:rPr>
                <w:rFonts w:ascii="黑体" w:hAnsi="黑体" w:eastAsia="黑体" w:cs="宋体"/>
                <w:kern w:val="0"/>
                <w:sz w:val="22"/>
                <w:szCs w:val="22"/>
              </w:rPr>
            </w:pPr>
            <w:r>
              <w:rPr>
                <w:rFonts w:hint="eastAsia" w:ascii="黑体" w:hAnsi="黑体" w:eastAsia="黑体" w:cs="宋体"/>
                <w:kern w:val="0"/>
                <w:sz w:val="22"/>
                <w:szCs w:val="22"/>
              </w:rPr>
              <w:t>测算说明</w:t>
            </w:r>
          </w:p>
        </w:tc>
        <w:tc>
          <w:tcPr>
            <w:tcW w:w="1860" w:type="dxa"/>
            <w:gridSpan w:val="2"/>
            <w:vMerge w:val="restart"/>
            <w:tcBorders>
              <w:top w:val="single" w:color="auto" w:sz="4" w:space="0"/>
              <w:left w:val="nil"/>
              <w:right w:val="single" w:color="auto" w:sz="4" w:space="0"/>
            </w:tcBorders>
            <w:vAlign w:val="center"/>
          </w:tcPr>
          <w:p>
            <w:pPr>
              <w:widowControl/>
              <w:spacing w:line="280" w:lineRule="exact"/>
              <w:jc w:val="center"/>
              <w:rPr>
                <w:rFonts w:ascii="黑体" w:hAnsi="黑体" w:eastAsia="黑体" w:cs="宋体"/>
                <w:kern w:val="0"/>
                <w:sz w:val="22"/>
                <w:szCs w:val="22"/>
              </w:rPr>
            </w:pPr>
            <w:r>
              <w:rPr>
                <w:rFonts w:hint="eastAsia" w:ascii="黑体" w:hAnsi="黑体" w:eastAsia="黑体" w:cs="宋体"/>
                <w:kern w:val="0"/>
                <w:sz w:val="22"/>
                <w:szCs w:val="22"/>
                <w:lang w:val="en-US" w:eastAsia="zh-CN"/>
              </w:rPr>
              <w:t>备注</w:t>
            </w: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rPr>
            </w:pPr>
            <w:r>
              <w:rPr>
                <w:rFonts w:hint="eastAsia" w:ascii="黑体" w:hAnsi="黑体" w:eastAsia="黑体" w:cs="宋体"/>
                <w:kern w:val="0"/>
                <w:sz w:val="22"/>
                <w:szCs w:val="22"/>
              </w:rPr>
              <w:t>科目</w:t>
            </w:r>
          </w:p>
        </w:tc>
        <w:tc>
          <w:tcPr>
            <w:tcW w:w="2220" w:type="dxa"/>
            <w:tcBorders>
              <w:top w:val="nil"/>
              <w:left w:val="nil"/>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rPr>
            </w:pPr>
            <w:r>
              <w:rPr>
                <w:rFonts w:hint="eastAsia" w:ascii="黑体" w:hAnsi="黑体" w:eastAsia="黑体" w:cs="宋体"/>
                <w:kern w:val="0"/>
                <w:sz w:val="22"/>
                <w:szCs w:val="22"/>
              </w:rPr>
              <w:t>预算数</w:t>
            </w:r>
          </w:p>
        </w:tc>
        <w:tc>
          <w:tcPr>
            <w:tcW w:w="2100" w:type="dxa"/>
            <w:gridSpan w:val="2"/>
            <w:vMerge w:val="continue"/>
            <w:tcBorders>
              <w:left w:val="nil"/>
              <w:bottom w:val="single" w:color="auto" w:sz="4" w:space="0"/>
              <w:right w:val="single" w:color="auto" w:sz="4" w:space="0"/>
            </w:tcBorders>
            <w:vAlign w:val="center"/>
          </w:tcPr>
          <w:p>
            <w:pPr>
              <w:widowControl/>
              <w:spacing w:line="280" w:lineRule="exact"/>
              <w:jc w:val="center"/>
              <w:rPr>
                <w:rFonts w:ascii="黑体" w:hAnsi="黑体" w:eastAsia="黑体" w:cs="宋体"/>
                <w:kern w:val="0"/>
                <w:sz w:val="22"/>
                <w:szCs w:val="22"/>
              </w:rPr>
            </w:pPr>
          </w:p>
        </w:tc>
        <w:tc>
          <w:tcPr>
            <w:tcW w:w="1860" w:type="dxa"/>
            <w:gridSpan w:val="2"/>
            <w:vMerge w:val="continue"/>
            <w:tcBorders>
              <w:left w:val="nil"/>
              <w:bottom w:val="single" w:color="auto" w:sz="4" w:space="0"/>
              <w:right w:val="single" w:color="auto" w:sz="4" w:space="0"/>
            </w:tcBorders>
            <w:vAlign w:val="center"/>
          </w:tcPr>
          <w:p>
            <w:pPr>
              <w:widowControl/>
              <w:spacing w:line="280" w:lineRule="exact"/>
              <w:jc w:val="left"/>
              <w:rPr>
                <w:rFonts w:ascii="黑体" w:hAnsi="黑体" w:eastAsia="黑体" w:cs="宋体"/>
                <w:kern w:val="0"/>
                <w:sz w:val="22"/>
                <w:szCs w:val="22"/>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（一）直接费用</w:t>
            </w:r>
          </w:p>
        </w:tc>
        <w:tc>
          <w:tcPr>
            <w:tcW w:w="22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　</w:t>
            </w:r>
          </w:p>
        </w:tc>
        <w:tc>
          <w:tcPr>
            <w:tcW w:w="2100" w:type="dxa"/>
            <w:gridSpan w:val="2"/>
            <w:tcBorders>
              <w:top w:val="single" w:color="auto" w:sz="4" w:space="0"/>
              <w:left w:val="nil"/>
              <w:bottom w:val="single" w:color="auto" w:sz="4" w:space="0"/>
              <w:right w:val="single" w:color="auto" w:sz="4" w:space="0"/>
            </w:tcBorders>
            <w:vAlign w:val="top"/>
          </w:tcPr>
          <w:p>
            <w:pPr>
              <w:widowControl/>
              <w:spacing w:line="280" w:lineRule="exact"/>
              <w:jc w:val="both"/>
              <w:rPr>
                <w:rFonts w:ascii="宋体" w:hAnsi="宋体" w:cs="宋体"/>
                <w:kern w:val="0"/>
                <w:sz w:val="20"/>
                <w:szCs w:val="20"/>
              </w:rPr>
            </w:pPr>
            <w:r>
              <w:rPr>
                <w:rFonts w:hint="eastAsia" w:ascii="宋体" w:hAnsi="宋体" w:eastAsia="宋体" w:cs="宋体"/>
                <w:kern w:val="0"/>
                <w:sz w:val="20"/>
                <w:szCs w:val="20"/>
                <w:lang w:val="en-US" w:eastAsia="zh-CN"/>
              </w:rPr>
              <w:t xml:space="preserve"> </w:t>
            </w:r>
          </w:p>
        </w:tc>
        <w:tc>
          <w:tcPr>
            <w:tcW w:w="1860" w:type="dxa"/>
            <w:gridSpan w:val="2"/>
            <w:vMerge w:val="restart"/>
            <w:tcBorders>
              <w:top w:val="nil"/>
              <w:left w:val="nil"/>
              <w:right w:val="single" w:color="auto" w:sz="4" w:space="0"/>
            </w:tcBorders>
            <w:vAlign w:val="top"/>
          </w:tcPr>
          <w:p>
            <w:pPr>
              <w:widowControl/>
              <w:spacing w:line="280" w:lineRule="exact"/>
              <w:jc w:val="both"/>
              <w:rPr>
                <w:rFonts w:ascii="宋体" w:hAnsi="宋体" w:cs="宋体"/>
                <w:kern w:val="0"/>
                <w:sz w:val="20"/>
                <w:szCs w:val="20"/>
              </w:rPr>
            </w:pP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本表由项目承担单位负责将本单位的科技项目经费预算和合作单位的科技项目经费预算汇总后填制。　</w:t>
            </w: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1.设备费</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100" w:type="dxa"/>
            <w:gridSpan w:val="2"/>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60" w:type="dxa"/>
            <w:gridSpan w:val="2"/>
            <w:vMerge w:val="continue"/>
            <w:tcBorders>
              <w:left w:val="nil"/>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其中：购置</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100" w:type="dxa"/>
            <w:gridSpan w:val="2"/>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60" w:type="dxa"/>
            <w:gridSpan w:val="2"/>
            <w:vMerge w:val="continue"/>
            <w:tcBorders>
              <w:left w:val="nil"/>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试制升级改造</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100" w:type="dxa"/>
            <w:gridSpan w:val="2"/>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60" w:type="dxa"/>
            <w:gridSpan w:val="2"/>
            <w:vMerge w:val="continue"/>
            <w:tcBorders>
              <w:left w:val="nil"/>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租赁</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100" w:type="dxa"/>
            <w:gridSpan w:val="2"/>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60" w:type="dxa"/>
            <w:gridSpan w:val="2"/>
            <w:vMerge w:val="continue"/>
            <w:tcBorders>
              <w:left w:val="nil"/>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2.业务费</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100" w:type="dxa"/>
            <w:gridSpan w:val="2"/>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60" w:type="dxa"/>
            <w:gridSpan w:val="2"/>
            <w:vMerge w:val="continue"/>
            <w:tcBorders>
              <w:left w:val="nil"/>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3.劳务费</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100" w:type="dxa"/>
            <w:gridSpan w:val="2"/>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60" w:type="dxa"/>
            <w:gridSpan w:val="2"/>
            <w:vMerge w:val="continue"/>
            <w:tcBorders>
              <w:left w:val="nil"/>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（二）间接费用</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100" w:type="dxa"/>
            <w:gridSpan w:val="2"/>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60" w:type="dxa"/>
            <w:gridSpan w:val="2"/>
            <w:vMerge w:val="continue"/>
            <w:tcBorders>
              <w:left w:val="nil"/>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 xml:space="preserve"> 其中：绩效支出</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100" w:type="dxa"/>
            <w:gridSpan w:val="2"/>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860" w:type="dxa"/>
            <w:gridSpan w:val="2"/>
            <w:vMerge w:val="continue"/>
            <w:tcBorders>
              <w:left w:val="nil"/>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680" w:hRule="atLeast"/>
        </w:trPr>
        <w:tc>
          <w:tcPr>
            <w:tcW w:w="3224"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合</w:t>
            </w:r>
            <w:r>
              <w:rPr>
                <w:rFonts w:hint="eastAsia" w:ascii="宋体" w:hAnsi="宋体" w:eastAsia="宋体" w:cs="宋体"/>
                <w:kern w:val="0"/>
                <w:sz w:val="20"/>
                <w:szCs w:val="20"/>
                <w:lang w:val="en-US" w:eastAsia="zh-CN"/>
              </w:rPr>
              <w:t xml:space="preserve">  </w:t>
            </w:r>
            <w:r>
              <w:rPr>
                <w:rFonts w:hint="eastAsia" w:ascii="宋体" w:hAnsi="宋体" w:cs="宋体"/>
                <w:kern w:val="0"/>
                <w:sz w:val="20"/>
                <w:szCs w:val="20"/>
              </w:rPr>
              <w:t>计</w:t>
            </w:r>
          </w:p>
        </w:tc>
        <w:tc>
          <w:tcPr>
            <w:tcW w:w="22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w:t>
            </w:r>
          </w:p>
        </w:tc>
        <w:tc>
          <w:tcPr>
            <w:tcW w:w="2100"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20"/>
                <w:szCs w:val="20"/>
              </w:rPr>
            </w:pPr>
          </w:p>
        </w:tc>
        <w:tc>
          <w:tcPr>
            <w:tcW w:w="1860" w:type="dxa"/>
            <w:gridSpan w:val="2"/>
            <w:vMerge w:val="continue"/>
            <w:tcBorders>
              <w:left w:val="nil"/>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2730" w:hRule="atLeast"/>
        </w:trPr>
        <w:tc>
          <w:tcPr>
            <w:tcW w:w="9404" w:type="dxa"/>
            <w:gridSpan w:val="7"/>
            <w:tcBorders>
              <w:top w:val="single" w:color="auto" w:sz="4" w:space="0"/>
              <w:left w:val="nil"/>
              <w:bottom w:val="nil"/>
              <w:right w:val="nil"/>
            </w:tcBorders>
            <w:vAlign w:val="top"/>
          </w:tcPr>
          <w:p>
            <w:pPr>
              <w:widowControl/>
              <w:spacing w:line="28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备注：</w:t>
            </w:r>
          </w:p>
          <w:p>
            <w:pPr>
              <w:widowControl/>
              <w:spacing w:line="28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 xml:space="preserve">1.设备须注明名称、型号、单价、数量、用途。                                                                                                                                                                                                                  </w:t>
            </w:r>
            <w:r>
              <w:rPr>
                <w:rFonts w:hint="eastAsia" w:ascii="宋体" w:hAnsi="宋体" w:eastAsia="宋体" w:cs="宋体"/>
                <w:kern w:val="0"/>
                <w:sz w:val="20"/>
                <w:szCs w:val="20"/>
                <w:lang w:val="en-US" w:eastAsia="zh-CN"/>
              </w:rPr>
              <w:t>2</w:t>
            </w:r>
            <w:r>
              <w:rPr>
                <w:rFonts w:hint="eastAsia" w:ascii="宋体" w:hAnsi="宋体" w:cs="宋体"/>
                <w:kern w:val="0"/>
                <w:sz w:val="20"/>
                <w:szCs w:val="20"/>
              </w:rPr>
              <w:t>.间接费用实行总额控制，按照项目经费扣除设备费后的一定比例核定：扣除后500万元及以下的部分为不超过30%；500万元至1000万元的部分为不超过25%；1000万元以上的部分为不超过20%；各分段计算出的金额加总合计为间接费用总额。数学、物理等纯理论基础研究项目和省创新战略研究项目，间接费用比例不超过</w:t>
            </w:r>
            <w:r>
              <w:rPr>
                <w:rFonts w:hint="eastAsia" w:ascii="宋体" w:hAnsi="宋体" w:eastAsia="宋体" w:cs="宋体"/>
                <w:kern w:val="0"/>
                <w:sz w:val="20"/>
                <w:szCs w:val="20"/>
                <w:lang w:val="en-US" w:eastAsia="zh-CN"/>
              </w:rPr>
              <w:t>8</w:t>
            </w:r>
            <w:r>
              <w:rPr>
                <w:rFonts w:hint="eastAsia" w:ascii="宋体" w:hAnsi="宋体" w:cs="宋体"/>
                <w:kern w:val="0"/>
                <w:sz w:val="20"/>
                <w:szCs w:val="20"/>
              </w:rPr>
              <w:t>0%。</w:t>
            </w:r>
          </w:p>
          <w:p>
            <w:pPr>
              <w:widowControl/>
              <w:spacing w:line="280" w:lineRule="exact"/>
              <w:jc w:val="left"/>
              <w:rPr>
                <w:rFonts w:ascii="宋体" w:hAnsi="宋体" w:cs="宋体"/>
                <w:kern w:val="0"/>
                <w:sz w:val="20"/>
                <w:szCs w:val="20"/>
              </w:rPr>
            </w:pPr>
            <w:r>
              <w:rPr>
                <w:rFonts w:hint="eastAsia" w:ascii="宋体" w:hAnsi="宋体" w:cs="宋体"/>
                <w:kern w:val="0"/>
                <w:sz w:val="20"/>
                <w:szCs w:val="20"/>
              </w:rPr>
              <w:t xml:space="preserve">举例：假设某项目经费为1500万元，其中设备购置费200万元，项目经费-设备购置费=1500-200=1300万元，则间接费用上限=500*30%+（1000-500）*25%+（1300-1000）*20%=150+125+60=335万元。                                                                                                               </w:t>
            </w:r>
          </w:p>
        </w:tc>
      </w:tr>
    </w:tbl>
    <w:p>
      <w:pPr>
        <w:autoSpaceDE w:val="0"/>
        <w:autoSpaceDN w:val="0"/>
        <w:contextualSpacing/>
        <w:rPr>
          <w:rFonts w:hint="eastAsia"/>
        </w:rPr>
        <w:sectPr>
          <w:footerReference r:id="rId4" w:type="first"/>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tbl>
      <w:tblPr>
        <w:tblStyle w:val="4"/>
        <w:tblW w:w="14932" w:type="dxa"/>
        <w:tblInd w:w="-431" w:type="dxa"/>
        <w:tblLayout w:type="fixed"/>
        <w:tblCellMar>
          <w:top w:w="0" w:type="dxa"/>
          <w:left w:w="108" w:type="dxa"/>
          <w:bottom w:w="0" w:type="dxa"/>
          <w:right w:w="108" w:type="dxa"/>
        </w:tblCellMar>
      </w:tblPr>
      <w:tblGrid>
        <w:gridCol w:w="548"/>
        <w:gridCol w:w="892"/>
        <w:gridCol w:w="900"/>
        <w:gridCol w:w="548"/>
        <w:gridCol w:w="548"/>
        <w:gridCol w:w="1292"/>
        <w:gridCol w:w="908"/>
        <w:gridCol w:w="1032"/>
        <w:gridCol w:w="1080"/>
        <w:gridCol w:w="1080"/>
        <w:gridCol w:w="1080"/>
        <w:gridCol w:w="900"/>
        <w:gridCol w:w="980"/>
        <w:gridCol w:w="992"/>
        <w:gridCol w:w="1180"/>
        <w:gridCol w:w="972"/>
      </w:tblGrid>
      <w:tr>
        <w:trPr>
          <w:trHeight w:val="442" w:hRule="atLeast"/>
        </w:trPr>
        <w:tc>
          <w:tcPr>
            <w:tcW w:w="1440" w:type="dxa"/>
            <w:gridSpan w:val="2"/>
            <w:tcBorders>
              <w:top w:val="nil"/>
              <w:left w:val="nil"/>
              <w:bottom w:val="nil"/>
              <w:right w:val="nil"/>
            </w:tcBorders>
            <w:vAlign w:val="center"/>
          </w:tcPr>
          <w:p>
            <w:pPr>
              <w:widowControl/>
              <w:jc w:val="left"/>
              <w:rPr>
                <w:rFonts w:ascii="黑体" w:hAnsi="黑体" w:eastAsia="黑体" w:cs="宋体"/>
                <w:kern w:val="0"/>
                <w:sz w:val="22"/>
                <w:szCs w:val="22"/>
              </w:rPr>
            </w:pPr>
            <w:r>
              <w:rPr>
                <w:rFonts w:hint="eastAsia" w:ascii="黑体" w:hAnsi="黑体" w:eastAsia="黑体" w:cs="宋体"/>
                <w:kern w:val="0"/>
                <w:sz w:val="22"/>
                <w:szCs w:val="22"/>
              </w:rPr>
              <w:t>附件5</w:t>
            </w:r>
          </w:p>
        </w:tc>
        <w:tc>
          <w:tcPr>
            <w:tcW w:w="13492" w:type="dxa"/>
            <w:gridSpan w:val="14"/>
            <w:tcBorders>
              <w:top w:val="nil"/>
              <w:left w:val="nil"/>
              <w:bottom w:val="nil"/>
              <w:right w:val="nil"/>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737" w:hRule="exact"/>
        </w:trPr>
        <w:tc>
          <w:tcPr>
            <w:tcW w:w="14932" w:type="dxa"/>
            <w:gridSpan w:val="16"/>
            <w:tcBorders>
              <w:top w:val="nil"/>
              <w:left w:val="nil"/>
              <w:bottom w:val="nil"/>
              <w:right w:val="nil"/>
            </w:tcBorders>
            <w:vAlign w:val="top"/>
          </w:tcPr>
          <w:p>
            <w:pPr>
              <w:widowControl/>
              <w:jc w:val="center"/>
              <w:rPr>
                <w:rFonts w:ascii="宋体" w:hAnsi="宋体" w:cs="宋体"/>
                <w:b/>
                <w:bCs/>
                <w:kern w:val="0"/>
                <w:sz w:val="44"/>
                <w:szCs w:val="44"/>
              </w:rPr>
            </w:pPr>
            <w:r>
              <w:rPr>
                <w:rFonts w:hint="eastAsia" w:ascii="方正小标宋简体" w:hAnsi="方正小标宋简体" w:eastAsia="方正小标宋简体" w:cs="方正小标宋简体"/>
                <w:kern w:val="0"/>
                <w:sz w:val="36"/>
                <w:szCs w:val="36"/>
              </w:rPr>
              <w:t>科 技 计 划 项 目</w:t>
            </w:r>
            <w:r>
              <w:rPr>
                <w:rFonts w:hint="eastAsia" w:ascii="方正小标宋简体" w:hAnsi="方正小标宋简体" w:eastAsia="方正小标宋简体" w:cs="方正小标宋简体"/>
                <w:kern w:val="0"/>
                <w:sz w:val="36"/>
                <w:szCs w:val="36"/>
                <w:lang w:val="en-US" w:eastAsia="zh-CN"/>
              </w:rPr>
              <w:t xml:space="preserve"> </w:t>
            </w:r>
            <w:r>
              <w:rPr>
                <w:rFonts w:hint="eastAsia" w:ascii="方正小标宋简体" w:hAnsi="方正小标宋简体" w:eastAsia="方正小标宋简体" w:cs="方正小标宋简体"/>
                <w:kern w:val="0"/>
                <w:sz w:val="36"/>
                <w:szCs w:val="36"/>
                <w:lang w:eastAsia="zh-CN"/>
              </w:rPr>
              <w:t>财</w:t>
            </w:r>
            <w:r>
              <w:rPr>
                <w:rFonts w:hint="eastAsia" w:ascii="方正小标宋简体" w:hAnsi="方正小标宋简体" w:eastAsia="方正小标宋简体" w:cs="方正小标宋简体"/>
                <w:kern w:val="0"/>
                <w:sz w:val="36"/>
                <w:szCs w:val="36"/>
                <w:lang w:val="en-US" w:eastAsia="zh-CN"/>
              </w:rPr>
              <w:t xml:space="preserve"> </w:t>
            </w:r>
            <w:r>
              <w:rPr>
                <w:rFonts w:hint="eastAsia" w:ascii="方正小标宋简体" w:hAnsi="方正小标宋简体" w:eastAsia="方正小标宋简体" w:cs="方正小标宋简体"/>
                <w:kern w:val="0"/>
                <w:sz w:val="36"/>
                <w:szCs w:val="36"/>
                <w:lang w:eastAsia="zh-CN"/>
              </w:rPr>
              <w:t>政</w:t>
            </w:r>
            <w:r>
              <w:rPr>
                <w:rFonts w:hint="eastAsia" w:ascii="方正小标宋简体" w:hAnsi="方正小标宋简体" w:eastAsia="方正小标宋简体" w:cs="方正小标宋简体"/>
                <w:kern w:val="0"/>
                <w:sz w:val="36"/>
                <w:szCs w:val="36"/>
                <w:lang w:val="en-US" w:eastAsia="zh-CN"/>
              </w:rPr>
              <w:t xml:space="preserve"> </w:t>
            </w:r>
            <w:r>
              <w:rPr>
                <w:rFonts w:hint="eastAsia" w:ascii="方正小标宋简体" w:hAnsi="方正小标宋简体" w:eastAsia="方正小标宋简体" w:cs="方正小标宋简体"/>
                <w:kern w:val="0"/>
                <w:sz w:val="36"/>
                <w:szCs w:val="36"/>
                <w:lang w:eastAsia="zh-CN"/>
              </w:rPr>
              <w:t>资</w:t>
            </w:r>
            <w:r>
              <w:rPr>
                <w:rFonts w:hint="eastAsia" w:ascii="方正小标宋简体" w:hAnsi="方正小标宋简体" w:eastAsia="方正小标宋简体" w:cs="方正小标宋简体"/>
                <w:kern w:val="0"/>
                <w:sz w:val="36"/>
                <w:szCs w:val="36"/>
                <w:lang w:val="en-US" w:eastAsia="zh-CN"/>
              </w:rPr>
              <w:t xml:space="preserve"> </w:t>
            </w:r>
            <w:r>
              <w:rPr>
                <w:rFonts w:hint="eastAsia" w:ascii="方正小标宋简体" w:hAnsi="方正小标宋简体" w:eastAsia="方正小标宋简体" w:cs="方正小标宋简体"/>
                <w:kern w:val="0"/>
                <w:sz w:val="36"/>
                <w:szCs w:val="36"/>
                <w:lang w:eastAsia="zh-CN"/>
              </w:rPr>
              <w:t>助</w:t>
            </w:r>
            <w:r>
              <w:rPr>
                <w:rFonts w:hint="eastAsia" w:ascii="方正小标宋简体" w:hAnsi="方正小标宋简体" w:eastAsia="方正小标宋简体" w:cs="方正小标宋简体"/>
                <w:kern w:val="0"/>
                <w:sz w:val="36"/>
                <w:szCs w:val="36"/>
              </w:rPr>
              <w:t xml:space="preserve"> 经 费 总 决 算 表</w:t>
            </w:r>
          </w:p>
        </w:tc>
      </w:tr>
      <w:tr>
        <w:tblPrEx>
          <w:tblCellMar>
            <w:top w:w="0" w:type="dxa"/>
            <w:left w:w="108" w:type="dxa"/>
            <w:bottom w:w="0" w:type="dxa"/>
            <w:right w:w="108" w:type="dxa"/>
          </w:tblCellMar>
        </w:tblPrEx>
        <w:trPr>
          <w:trHeight w:val="390" w:hRule="atLeast"/>
        </w:trPr>
        <w:tc>
          <w:tcPr>
            <w:tcW w:w="1440" w:type="dxa"/>
            <w:gridSpan w:val="2"/>
            <w:tcBorders>
              <w:top w:val="nil"/>
              <w:left w:val="nil"/>
              <w:bottom w:val="single" w:color="auto" w:sz="4" w:space="0"/>
              <w:right w:val="nil"/>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编报单位：</w:t>
            </w:r>
          </w:p>
        </w:tc>
        <w:tc>
          <w:tcPr>
            <w:tcW w:w="5228" w:type="dxa"/>
            <w:gridSpan w:val="6"/>
            <w:tcBorders>
              <w:top w:val="nil"/>
              <w:left w:val="nil"/>
              <w:bottom w:val="nil"/>
              <w:right w:val="nil"/>
            </w:tcBorders>
            <w:vAlign w:val="center"/>
          </w:tcPr>
          <w:p>
            <w:pPr>
              <w:widowControl/>
              <w:spacing w:line="280" w:lineRule="exact"/>
              <w:jc w:val="left"/>
              <w:rPr>
                <w:rFonts w:ascii="宋体" w:hAnsi="宋体" w:cs="宋体"/>
                <w:kern w:val="0"/>
                <w:sz w:val="22"/>
                <w:szCs w:val="22"/>
              </w:rPr>
            </w:pPr>
          </w:p>
        </w:tc>
        <w:tc>
          <w:tcPr>
            <w:tcW w:w="2160" w:type="dxa"/>
            <w:gridSpan w:val="2"/>
            <w:tcBorders>
              <w:top w:val="nil"/>
              <w:left w:val="nil"/>
              <w:bottom w:val="nil"/>
              <w:right w:val="nil"/>
            </w:tcBorders>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年    月    日</w:t>
            </w:r>
          </w:p>
        </w:tc>
        <w:tc>
          <w:tcPr>
            <w:tcW w:w="3952" w:type="dxa"/>
            <w:gridSpan w:val="4"/>
            <w:tcBorders>
              <w:top w:val="nil"/>
              <w:left w:val="nil"/>
              <w:bottom w:val="nil"/>
              <w:right w:val="nil"/>
            </w:tcBorders>
            <w:vAlign w:val="center"/>
          </w:tcPr>
          <w:p>
            <w:pPr>
              <w:widowControl/>
              <w:spacing w:line="280" w:lineRule="exact"/>
              <w:jc w:val="left"/>
              <w:rPr>
                <w:rFonts w:ascii="宋体" w:hAnsi="宋体" w:cs="宋体"/>
                <w:kern w:val="0"/>
                <w:sz w:val="22"/>
                <w:szCs w:val="22"/>
              </w:rPr>
            </w:pPr>
          </w:p>
        </w:tc>
        <w:tc>
          <w:tcPr>
            <w:tcW w:w="2152" w:type="dxa"/>
            <w:gridSpan w:val="2"/>
            <w:tcBorders>
              <w:top w:val="nil"/>
              <w:left w:val="nil"/>
              <w:bottom w:val="single" w:color="auto" w:sz="4" w:space="0"/>
              <w:right w:val="nil"/>
            </w:tcBorders>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金额单位：元</w:t>
            </w:r>
          </w:p>
        </w:tc>
      </w:tr>
      <w:tr>
        <w:tblPrEx>
          <w:tblCellMar>
            <w:top w:w="0" w:type="dxa"/>
            <w:left w:w="108" w:type="dxa"/>
            <w:bottom w:w="0" w:type="dxa"/>
            <w:right w:w="108" w:type="dxa"/>
          </w:tblCellMar>
        </w:tblPrEx>
        <w:trPr>
          <w:trHeight w:val="515" w:hRule="atLeast"/>
        </w:trPr>
        <w:tc>
          <w:tcPr>
            <w:tcW w:w="144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项目名称</w:t>
            </w:r>
          </w:p>
        </w:tc>
        <w:tc>
          <w:tcPr>
            <w:tcW w:w="1996" w:type="dxa"/>
            <w:gridSpan w:val="3"/>
            <w:tcBorders>
              <w:top w:val="single" w:color="auto" w:sz="4" w:space="0"/>
              <w:left w:val="nil"/>
              <w:bottom w:val="single" w:color="auto" w:sz="4" w:space="0"/>
              <w:right w:val="nil"/>
            </w:tcBorders>
            <w:vAlign w:val="center"/>
          </w:tcPr>
          <w:p>
            <w:pPr>
              <w:widowControl/>
              <w:spacing w:line="280" w:lineRule="exact"/>
              <w:jc w:val="center"/>
              <w:rPr>
                <w:rFonts w:ascii="宋体" w:hAnsi="宋体" w:cs="宋体"/>
                <w:kern w:val="0"/>
                <w:sz w:val="18"/>
                <w:szCs w:val="18"/>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项目编号</w:t>
            </w:r>
          </w:p>
        </w:tc>
        <w:tc>
          <w:tcPr>
            <w:tcW w:w="90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032"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项目承担       单位</w:t>
            </w:r>
          </w:p>
        </w:tc>
        <w:tc>
          <w:tcPr>
            <w:tcW w:w="2160"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08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项目负责人</w:t>
            </w:r>
          </w:p>
        </w:tc>
        <w:tc>
          <w:tcPr>
            <w:tcW w:w="90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98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项目起止      时间</w:t>
            </w:r>
          </w:p>
        </w:tc>
        <w:tc>
          <w:tcPr>
            <w:tcW w:w="992"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统一社会信用代码</w:t>
            </w:r>
          </w:p>
        </w:tc>
        <w:tc>
          <w:tcPr>
            <w:tcW w:w="97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390" w:hRule="atLeast"/>
        </w:trPr>
        <w:tc>
          <w:tcPr>
            <w:tcW w:w="548" w:type="dxa"/>
            <w:vMerge w:val="restart"/>
            <w:tcBorders>
              <w:top w:val="nil"/>
              <w:left w:val="single" w:color="auto" w:sz="4" w:space="0"/>
              <w:bottom w:val="single" w:color="000000" w:sz="4" w:space="0"/>
              <w:right w:val="single" w:color="auto" w:sz="4" w:space="0"/>
            </w:tcBorders>
            <w:textDirection w:val="tbRlV"/>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项目</w:t>
            </w:r>
            <w:r>
              <w:rPr>
                <w:rFonts w:hint="eastAsia" w:ascii="宋体" w:hAnsi="宋体" w:eastAsia="宋体" w:cs="宋体"/>
                <w:kern w:val="0"/>
                <w:sz w:val="16"/>
                <w:szCs w:val="16"/>
                <w:lang w:eastAsia="zh-CN"/>
              </w:rPr>
              <w:t>财政资助</w:t>
            </w:r>
            <w:r>
              <w:rPr>
                <w:rFonts w:hint="eastAsia" w:ascii="宋体" w:hAnsi="宋体" w:cs="宋体"/>
                <w:kern w:val="0"/>
                <w:sz w:val="16"/>
                <w:szCs w:val="16"/>
              </w:rPr>
              <w:t>经费预算到位情况</w:t>
            </w:r>
          </w:p>
        </w:tc>
        <w:tc>
          <w:tcPr>
            <w:tcW w:w="892"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预算</w:t>
            </w:r>
          </w:p>
        </w:tc>
        <w:tc>
          <w:tcPr>
            <w:tcW w:w="900"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实际到位</w:t>
            </w:r>
          </w:p>
        </w:tc>
        <w:tc>
          <w:tcPr>
            <w:tcW w:w="548" w:type="dxa"/>
            <w:vMerge w:val="restart"/>
            <w:tcBorders>
              <w:top w:val="nil"/>
              <w:left w:val="single" w:color="auto" w:sz="4" w:space="0"/>
              <w:bottom w:val="single" w:color="auto" w:sz="4" w:space="0"/>
              <w:right w:val="single" w:color="auto" w:sz="4" w:space="0"/>
            </w:tcBorders>
            <w:textDirection w:val="tbRlV"/>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项目经费使用情况</w:t>
            </w:r>
          </w:p>
        </w:tc>
        <w:tc>
          <w:tcPr>
            <w:tcW w:w="18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项目单位类别</w:t>
            </w:r>
          </w:p>
        </w:tc>
        <w:tc>
          <w:tcPr>
            <w:tcW w:w="7060" w:type="dxa"/>
            <w:gridSpan w:val="7"/>
            <w:tcBorders>
              <w:top w:val="nil"/>
              <w:left w:val="single" w:color="auto" w:sz="4" w:space="0"/>
              <w:bottom w:val="single" w:color="auto" w:sz="4" w:space="0"/>
              <w:right w:val="single" w:color="000000"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经费支出</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上缴省科技厅</w:t>
            </w:r>
          </w:p>
        </w:tc>
        <w:tc>
          <w:tcPr>
            <w:tcW w:w="972"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结余</w:t>
            </w:r>
          </w:p>
        </w:tc>
      </w:tr>
      <w:tr>
        <w:tblPrEx>
          <w:tblCellMar>
            <w:top w:w="0" w:type="dxa"/>
            <w:left w:w="108" w:type="dxa"/>
            <w:bottom w:w="0" w:type="dxa"/>
            <w:right w:w="108" w:type="dxa"/>
          </w:tblCellMar>
        </w:tblPrEx>
        <w:trPr>
          <w:trHeight w:val="390" w:hRule="atLeast"/>
        </w:trPr>
        <w:tc>
          <w:tcPr>
            <w:tcW w:w="54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rPr>
            </w:pPr>
          </w:p>
        </w:tc>
        <w:tc>
          <w:tcPr>
            <w:tcW w:w="89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90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54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908" w:type="dxa"/>
            <w:vMerge w:val="restart"/>
            <w:tcBorders>
              <w:top w:val="nil"/>
              <w:left w:val="single" w:color="auto" w:sz="4" w:space="0"/>
              <w:right w:val="single" w:color="auto" w:sz="4" w:space="0"/>
            </w:tcBorders>
            <w:vAlign w:val="center"/>
          </w:tcPr>
          <w:p>
            <w:pPr>
              <w:spacing w:line="280" w:lineRule="exact"/>
              <w:jc w:val="center"/>
              <w:rPr>
                <w:rFonts w:hint="eastAsia"/>
              </w:rPr>
            </w:pPr>
            <w:r>
              <w:rPr>
                <w:rFonts w:hint="eastAsia" w:ascii="宋体" w:hAnsi="宋体" w:cs="宋体"/>
                <w:kern w:val="0"/>
                <w:sz w:val="16"/>
                <w:szCs w:val="16"/>
              </w:rPr>
              <w:t>合计</w:t>
            </w:r>
          </w:p>
        </w:tc>
        <w:tc>
          <w:tcPr>
            <w:tcW w:w="4272" w:type="dxa"/>
            <w:gridSpan w:val="4"/>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直接费用</w:t>
            </w:r>
          </w:p>
        </w:tc>
        <w:tc>
          <w:tcPr>
            <w:tcW w:w="1880"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间接费用</w:t>
            </w:r>
          </w:p>
        </w:tc>
        <w:tc>
          <w:tcPr>
            <w:tcW w:w="992"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小计</w:t>
            </w:r>
          </w:p>
        </w:tc>
        <w:tc>
          <w:tcPr>
            <w:tcW w:w="1180"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其中：项目撤销或中止</w:t>
            </w:r>
          </w:p>
        </w:tc>
        <w:tc>
          <w:tcPr>
            <w:tcW w:w="97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r>
      <w:tr>
        <w:tblPrEx>
          <w:tblCellMar>
            <w:top w:w="0" w:type="dxa"/>
            <w:left w:w="108" w:type="dxa"/>
            <w:bottom w:w="0" w:type="dxa"/>
            <w:right w:w="108" w:type="dxa"/>
          </w:tblCellMar>
        </w:tblPrEx>
        <w:trPr>
          <w:trHeight w:val="255" w:hRule="atLeast"/>
        </w:trPr>
        <w:tc>
          <w:tcPr>
            <w:tcW w:w="54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rPr>
            </w:pPr>
          </w:p>
        </w:tc>
        <w:tc>
          <w:tcPr>
            <w:tcW w:w="89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90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54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908" w:type="dxa"/>
            <w:vMerge w:val="continue"/>
            <w:tcBorders>
              <w:left w:val="single" w:color="auto" w:sz="4" w:space="0"/>
              <w:right w:val="single" w:color="auto" w:sz="4" w:space="0"/>
            </w:tcBorders>
            <w:vAlign w:val="top"/>
          </w:tcPr>
          <w:p>
            <w:pPr>
              <w:spacing w:line="280" w:lineRule="exact"/>
            </w:pPr>
          </w:p>
        </w:tc>
        <w:tc>
          <w:tcPr>
            <w:tcW w:w="103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小计</w:t>
            </w:r>
          </w:p>
        </w:tc>
        <w:tc>
          <w:tcPr>
            <w:tcW w:w="108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设备费</w:t>
            </w:r>
          </w:p>
        </w:tc>
        <w:tc>
          <w:tcPr>
            <w:tcW w:w="108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业务费</w:t>
            </w:r>
          </w:p>
        </w:tc>
        <w:tc>
          <w:tcPr>
            <w:tcW w:w="108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劳务费</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小计</w:t>
            </w:r>
          </w:p>
        </w:tc>
        <w:tc>
          <w:tcPr>
            <w:tcW w:w="980" w:type="dxa"/>
            <w:tcBorders>
              <w:top w:val="nil"/>
              <w:left w:val="nil"/>
              <w:bottom w:val="nil"/>
              <w:right w:val="single" w:color="auto" w:sz="4" w:space="0"/>
            </w:tcBorders>
            <w:vAlign w:val="center"/>
          </w:tcPr>
          <w:p>
            <w:pPr>
              <w:widowControl/>
              <w:spacing w:line="280" w:lineRule="exact"/>
              <w:jc w:val="left"/>
              <w:rPr>
                <w:rFonts w:ascii="宋体" w:hAnsi="宋体" w:cs="宋体"/>
                <w:kern w:val="0"/>
                <w:sz w:val="16"/>
                <w:szCs w:val="16"/>
              </w:rPr>
            </w:pPr>
            <w:r>
              <w:rPr>
                <w:rFonts w:hint="eastAsia" w:ascii="宋体" w:hAnsi="宋体" w:cs="宋体"/>
                <w:kern w:val="0"/>
                <w:sz w:val="16"/>
                <w:szCs w:val="16"/>
              </w:rPr>
              <w:t xml:space="preserve">其中：       </w:t>
            </w: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11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97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r>
      <w:tr>
        <w:trPr>
          <w:trHeight w:val="190" w:hRule="atLeast"/>
        </w:trPr>
        <w:tc>
          <w:tcPr>
            <w:tcW w:w="54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rPr>
            </w:pPr>
          </w:p>
        </w:tc>
        <w:tc>
          <w:tcPr>
            <w:tcW w:w="89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90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54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908"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103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rPr>
            </w:pPr>
          </w:p>
        </w:tc>
        <w:tc>
          <w:tcPr>
            <w:tcW w:w="9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 xml:space="preserve">绩效支出 </w:t>
            </w: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11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97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r>
      <w:tr>
        <w:trPr>
          <w:trHeight w:val="315" w:hRule="atLeast"/>
        </w:trPr>
        <w:tc>
          <w:tcPr>
            <w:tcW w:w="54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rPr>
            </w:pPr>
          </w:p>
        </w:tc>
        <w:tc>
          <w:tcPr>
            <w:tcW w:w="8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1栏</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2栏</w:t>
            </w:r>
          </w:p>
        </w:tc>
        <w:tc>
          <w:tcPr>
            <w:tcW w:w="54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1840"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3栏</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4栏</w:t>
            </w:r>
          </w:p>
        </w:tc>
        <w:tc>
          <w:tcPr>
            <w:tcW w:w="103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5栏</w:t>
            </w: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6栏</w:t>
            </w: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7栏</w:t>
            </w: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8栏</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9栏</w:t>
            </w:r>
          </w:p>
        </w:tc>
        <w:tc>
          <w:tcPr>
            <w:tcW w:w="9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10栏</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11栏</w:t>
            </w:r>
          </w:p>
        </w:tc>
        <w:tc>
          <w:tcPr>
            <w:tcW w:w="11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12栏</w:t>
            </w:r>
          </w:p>
        </w:tc>
        <w:tc>
          <w:tcPr>
            <w:tcW w:w="97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13栏</w:t>
            </w:r>
          </w:p>
        </w:tc>
      </w:tr>
      <w:tr>
        <w:trPr>
          <w:trHeight w:val="381" w:hRule="atLeast"/>
        </w:trPr>
        <w:tc>
          <w:tcPr>
            <w:tcW w:w="54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rPr>
            </w:pPr>
          </w:p>
        </w:tc>
        <w:tc>
          <w:tcPr>
            <w:tcW w:w="89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　</w:t>
            </w:r>
          </w:p>
        </w:tc>
        <w:tc>
          <w:tcPr>
            <w:tcW w:w="54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548" w:type="dxa"/>
            <w:tcBorders>
              <w:top w:val="nil"/>
              <w:left w:val="nil"/>
              <w:bottom w:val="single" w:color="auto" w:sz="4" w:space="0"/>
              <w:right w:val="single" w:color="auto" w:sz="4" w:space="0"/>
            </w:tcBorders>
            <w:textDirection w:val="tbRlV"/>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1行</w:t>
            </w:r>
          </w:p>
        </w:tc>
        <w:tc>
          <w:tcPr>
            <w:tcW w:w="12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项目承担单位</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103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9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11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97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r>
      <w:tr>
        <w:trPr>
          <w:trHeight w:val="418" w:hRule="atLeast"/>
        </w:trPr>
        <w:tc>
          <w:tcPr>
            <w:tcW w:w="54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rPr>
            </w:pPr>
          </w:p>
        </w:tc>
        <w:tc>
          <w:tcPr>
            <w:tcW w:w="89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2"/>
                <w:szCs w:val="22"/>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2"/>
                <w:szCs w:val="22"/>
              </w:rPr>
            </w:pPr>
          </w:p>
        </w:tc>
        <w:tc>
          <w:tcPr>
            <w:tcW w:w="54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548" w:type="dxa"/>
            <w:tcBorders>
              <w:top w:val="nil"/>
              <w:left w:val="nil"/>
              <w:bottom w:val="single" w:color="auto" w:sz="4" w:space="0"/>
              <w:right w:val="single" w:color="auto" w:sz="4" w:space="0"/>
            </w:tcBorders>
            <w:textDirection w:val="tbRlV"/>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2行</w:t>
            </w:r>
          </w:p>
        </w:tc>
        <w:tc>
          <w:tcPr>
            <w:tcW w:w="12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项目合作单位</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103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9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11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97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r>
      <w:tr>
        <w:trPr>
          <w:trHeight w:val="377" w:hRule="atLeast"/>
        </w:trPr>
        <w:tc>
          <w:tcPr>
            <w:tcW w:w="54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rPr>
            </w:pPr>
          </w:p>
        </w:tc>
        <w:tc>
          <w:tcPr>
            <w:tcW w:w="89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2"/>
                <w:szCs w:val="22"/>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2"/>
                <w:szCs w:val="22"/>
              </w:rPr>
            </w:pPr>
          </w:p>
        </w:tc>
        <w:tc>
          <w:tcPr>
            <w:tcW w:w="54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548" w:type="dxa"/>
            <w:tcBorders>
              <w:top w:val="nil"/>
              <w:left w:val="nil"/>
              <w:bottom w:val="single" w:color="auto" w:sz="4" w:space="0"/>
              <w:right w:val="single" w:color="auto" w:sz="4" w:space="0"/>
            </w:tcBorders>
            <w:textDirection w:val="tbRlV"/>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3行</w:t>
            </w:r>
          </w:p>
        </w:tc>
        <w:tc>
          <w:tcPr>
            <w:tcW w:w="12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项目合作单位</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103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9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11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97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r>
      <w:tr>
        <w:trPr>
          <w:trHeight w:val="378" w:hRule="atLeast"/>
        </w:trPr>
        <w:tc>
          <w:tcPr>
            <w:tcW w:w="54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rPr>
            </w:pPr>
          </w:p>
        </w:tc>
        <w:tc>
          <w:tcPr>
            <w:tcW w:w="89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2"/>
                <w:szCs w:val="22"/>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2"/>
                <w:szCs w:val="22"/>
              </w:rPr>
            </w:pPr>
          </w:p>
        </w:tc>
        <w:tc>
          <w:tcPr>
            <w:tcW w:w="54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548" w:type="dxa"/>
            <w:tcBorders>
              <w:top w:val="nil"/>
              <w:left w:val="nil"/>
              <w:bottom w:val="single" w:color="auto" w:sz="4" w:space="0"/>
              <w:right w:val="single" w:color="auto" w:sz="4" w:space="0"/>
            </w:tcBorders>
            <w:textDirection w:val="tbRlV"/>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4行</w:t>
            </w:r>
          </w:p>
        </w:tc>
        <w:tc>
          <w:tcPr>
            <w:tcW w:w="12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项目合作单位</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103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9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11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97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r>
      <w:tr>
        <w:trPr>
          <w:trHeight w:val="419" w:hRule="atLeast"/>
        </w:trPr>
        <w:tc>
          <w:tcPr>
            <w:tcW w:w="54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16"/>
                <w:szCs w:val="16"/>
              </w:rPr>
            </w:pPr>
          </w:p>
        </w:tc>
        <w:tc>
          <w:tcPr>
            <w:tcW w:w="89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2"/>
                <w:szCs w:val="22"/>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2"/>
                <w:szCs w:val="22"/>
              </w:rPr>
            </w:pPr>
          </w:p>
        </w:tc>
        <w:tc>
          <w:tcPr>
            <w:tcW w:w="54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16"/>
                <w:szCs w:val="16"/>
              </w:rPr>
            </w:pPr>
          </w:p>
        </w:tc>
        <w:tc>
          <w:tcPr>
            <w:tcW w:w="548" w:type="dxa"/>
            <w:tcBorders>
              <w:top w:val="nil"/>
              <w:left w:val="nil"/>
              <w:bottom w:val="single" w:color="auto" w:sz="4" w:space="0"/>
              <w:right w:val="single" w:color="auto" w:sz="4" w:space="0"/>
            </w:tcBorders>
            <w:textDirection w:val="tbRlV"/>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5行</w:t>
            </w:r>
          </w:p>
        </w:tc>
        <w:tc>
          <w:tcPr>
            <w:tcW w:w="12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合计</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103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9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9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11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c>
          <w:tcPr>
            <w:tcW w:w="97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0.00</w:t>
            </w:r>
          </w:p>
        </w:tc>
      </w:tr>
      <w:tr>
        <w:trPr>
          <w:trHeight w:val="332" w:hRule="atLeast"/>
        </w:trPr>
        <w:tc>
          <w:tcPr>
            <w:tcW w:w="5636" w:type="dxa"/>
            <w:gridSpan w:val="7"/>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结余经费使用方案</w:t>
            </w:r>
          </w:p>
        </w:tc>
        <w:tc>
          <w:tcPr>
            <w:tcW w:w="5172" w:type="dxa"/>
            <w:gridSpan w:val="5"/>
            <w:tcBorders>
              <w:top w:val="single" w:color="auto" w:sz="4" w:space="0"/>
              <w:left w:val="nil"/>
              <w:bottom w:val="single" w:color="auto" w:sz="4" w:space="0"/>
              <w:right w:val="nil"/>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购置设备情况</w:t>
            </w:r>
          </w:p>
        </w:tc>
        <w:tc>
          <w:tcPr>
            <w:tcW w:w="4124"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项目承担单位审核意见及签章</w:t>
            </w:r>
          </w:p>
        </w:tc>
      </w:tr>
      <w:tr>
        <w:trPr>
          <w:trHeight w:val="345" w:hRule="atLeast"/>
        </w:trPr>
        <w:tc>
          <w:tcPr>
            <w:tcW w:w="5636" w:type="dxa"/>
            <w:gridSpan w:val="7"/>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cs="宋体"/>
                <w:kern w:val="0"/>
                <w:sz w:val="16"/>
                <w:szCs w:val="16"/>
              </w:rPr>
            </w:pPr>
            <w:r>
              <w:rPr>
                <w:rFonts w:hint="eastAsia" w:ascii="宋体" w:hAnsi="宋体" w:cs="宋体"/>
                <w:kern w:val="0"/>
                <w:sz w:val="16"/>
                <w:szCs w:val="16"/>
              </w:rPr>
              <w:t>　</w:t>
            </w:r>
          </w:p>
        </w:tc>
        <w:tc>
          <w:tcPr>
            <w:tcW w:w="1032" w:type="dxa"/>
            <w:tcBorders>
              <w:top w:val="nil"/>
              <w:left w:val="single" w:color="auto" w:sz="4" w:space="0"/>
              <w:bottom w:val="single" w:color="auto" w:sz="4" w:space="0"/>
              <w:right w:val="nil"/>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设备名称</w:t>
            </w:r>
          </w:p>
        </w:tc>
        <w:tc>
          <w:tcPr>
            <w:tcW w:w="1080" w:type="dxa"/>
            <w:tcBorders>
              <w:top w:val="nil"/>
              <w:left w:val="single" w:color="auto" w:sz="4" w:space="0"/>
              <w:bottom w:val="single" w:color="auto" w:sz="4" w:space="0"/>
              <w:right w:val="nil"/>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型号</w:t>
            </w:r>
          </w:p>
        </w:tc>
        <w:tc>
          <w:tcPr>
            <w:tcW w:w="10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单价</w:t>
            </w: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数量</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r>
              <w:rPr>
                <w:rFonts w:hint="eastAsia" w:ascii="宋体" w:hAnsi="宋体" w:cs="宋体"/>
                <w:kern w:val="0"/>
                <w:sz w:val="16"/>
                <w:szCs w:val="16"/>
              </w:rPr>
              <w:t>金额</w:t>
            </w:r>
          </w:p>
        </w:tc>
        <w:tc>
          <w:tcPr>
            <w:tcW w:w="4124" w:type="dxa"/>
            <w:gridSpan w:val="4"/>
            <w:vMerge w:val="restart"/>
            <w:tcBorders>
              <w:top w:val="single" w:color="auto" w:sz="4" w:space="0"/>
              <w:left w:val="nil"/>
              <w:right w:val="single" w:color="auto" w:sz="4" w:space="0"/>
            </w:tcBorders>
            <w:vAlign w:val="center"/>
          </w:tcPr>
          <w:p>
            <w:pPr>
              <w:spacing w:line="280" w:lineRule="exact"/>
              <w:jc w:val="center"/>
              <w:rPr>
                <w:rFonts w:ascii="宋体" w:hAnsi="宋体" w:cs="宋体"/>
                <w:kern w:val="0"/>
                <w:sz w:val="16"/>
                <w:szCs w:val="16"/>
              </w:rPr>
            </w:pPr>
          </w:p>
        </w:tc>
      </w:tr>
      <w:tr>
        <w:trPr>
          <w:trHeight w:val="246" w:hRule="atLeast"/>
        </w:trPr>
        <w:tc>
          <w:tcPr>
            <w:tcW w:w="5636" w:type="dxa"/>
            <w:gridSpan w:val="7"/>
            <w:vMerge w:val="continue"/>
            <w:tcBorders>
              <w:left w:val="single" w:color="auto" w:sz="4" w:space="0"/>
              <w:right w:val="single" w:color="auto" w:sz="4" w:space="0"/>
            </w:tcBorders>
            <w:vAlign w:val="center"/>
          </w:tcPr>
          <w:p>
            <w:pPr>
              <w:spacing w:line="280" w:lineRule="exact"/>
              <w:jc w:val="center"/>
              <w:rPr>
                <w:rFonts w:ascii="宋体" w:hAnsi="宋体" w:cs="宋体"/>
                <w:kern w:val="0"/>
                <w:sz w:val="16"/>
                <w:szCs w:val="16"/>
              </w:rPr>
            </w:pPr>
          </w:p>
        </w:tc>
        <w:tc>
          <w:tcPr>
            <w:tcW w:w="10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4124" w:type="dxa"/>
            <w:gridSpan w:val="4"/>
            <w:vMerge w:val="continue"/>
            <w:tcBorders>
              <w:left w:val="nil"/>
              <w:right w:val="single" w:color="auto" w:sz="4" w:space="0"/>
            </w:tcBorders>
            <w:vAlign w:val="center"/>
          </w:tcPr>
          <w:p>
            <w:pPr>
              <w:spacing w:line="280" w:lineRule="exact"/>
              <w:jc w:val="center"/>
              <w:rPr>
                <w:rFonts w:ascii="宋体" w:hAnsi="宋体" w:cs="宋体"/>
                <w:kern w:val="0"/>
                <w:sz w:val="16"/>
                <w:szCs w:val="16"/>
              </w:rPr>
            </w:pPr>
          </w:p>
        </w:tc>
      </w:tr>
      <w:tr>
        <w:trPr>
          <w:trHeight w:val="345" w:hRule="atLeast"/>
        </w:trPr>
        <w:tc>
          <w:tcPr>
            <w:tcW w:w="5636" w:type="dxa"/>
            <w:gridSpan w:val="7"/>
            <w:vMerge w:val="continue"/>
            <w:tcBorders>
              <w:left w:val="single" w:color="auto" w:sz="4" w:space="0"/>
              <w:right w:val="single" w:color="auto" w:sz="4" w:space="0"/>
            </w:tcBorders>
            <w:vAlign w:val="center"/>
          </w:tcPr>
          <w:p>
            <w:pPr>
              <w:spacing w:line="280" w:lineRule="exact"/>
              <w:jc w:val="center"/>
              <w:rPr>
                <w:rFonts w:hint="eastAsia" w:ascii="宋体" w:hAnsi="宋体" w:cs="宋体"/>
                <w:kern w:val="0"/>
                <w:sz w:val="16"/>
                <w:szCs w:val="16"/>
              </w:rPr>
            </w:pPr>
          </w:p>
        </w:tc>
        <w:tc>
          <w:tcPr>
            <w:tcW w:w="10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16"/>
                <w:szCs w:val="16"/>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16"/>
                <w:szCs w:val="16"/>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16"/>
                <w:szCs w:val="16"/>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16"/>
                <w:szCs w:val="16"/>
              </w:rPr>
            </w:pP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16"/>
                <w:szCs w:val="16"/>
              </w:rPr>
            </w:pPr>
          </w:p>
        </w:tc>
        <w:tc>
          <w:tcPr>
            <w:tcW w:w="4124" w:type="dxa"/>
            <w:gridSpan w:val="4"/>
            <w:vMerge w:val="continue"/>
            <w:tcBorders>
              <w:left w:val="nil"/>
              <w:right w:val="single" w:color="auto" w:sz="4" w:space="0"/>
            </w:tcBorders>
            <w:vAlign w:val="center"/>
          </w:tcPr>
          <w:p>
            <w:pPr>
              <w:spacing w:line="280" w:lineRule="exact"/>
              <w:jc w:val="center"/>
              <w:rPr>
                <w:rFonts w:hint="eastAsia" w:ascii="宋体" w:hAnsi="宋体" w:cs="宋体"/>
                <w:kern w:val="0"/>
                <w:sz w:val="16"/>
                <w:szCs w:val="16"/>
              </w:rPr>
            </w:pPr>
          </w:p>
        </w:tc>
      </w:tr>
      <w:tr>
        <w:trPr>
          <w:trHeight w:val="345" w:hRule="atLeast"/>
        </w:trPr>
        <w:tc>
          <w:tcPr>
            <w:tcW w:w="5636" w:type="dxa"/>
            <w:gridSpan w:val="7"/>
            <w:vMerge w:val="continue"/>
            <w:tcBorders>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10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10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c>
          <w:tcPr>
            <w:tcW w:w="4124" w:type="dxa"/>
            <w:gridSpan w:val="4"/>
            <w:vMerge w:val="continue"/>
            <w:tcBorders>
              <w:left w:val="nil"/>
              <w:bottom w:val="single" w:color="auto" w:sz="4" w:space="0"/>
              <w:right w:val="single" w:color="auto" w:sz="4" w:space="0"/>
            </w:tcBorders>
            <w:vAlign w:val="center"/>
          </w:tcPr>
          <w:p>
            <w:pPr>
              <w:widowControl/>
              <w:spacing w:line="280" w:lineRule="exact"/>
              <w:jc w:val="center"/>
              <w:rPr>
                <w:rFonts w:ascii="宋体" w:hAnsi="宋体" w:cs="宋体"/>
                <w:kern w:val="0"/>
                <w:sz w:val="16"/>
                <w:szCs w:val="16"/>
              </w:rPr>
            </w:pPr>
          </w:p>
        </w:tc>
      </w:tr>
      <w:tr>
        <w:trPr>
          <w:trHeight w:val="605" w:hRule="atLeast"/>
        </w:trPr>
        <w:tc>
          <w:tcPr>
            <w:tcW w:w="14932" w:type="dxa"/>
            <w:gridSpan w:val="16"/>
            <w:tcBorders>
              <w:top w:val="nil"/>
              <w:left w:val="nil"/>
              <w:bottom w:val="nil"/>
              <w:right w:val="nil"/>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xml:space="preserve">说明：1.本表系项目验收或撤销、中止时填报。2.表中所指“预算”应与项目任务书中的预算一致。3.表中所指“实际到位”是指省科技厅资助经费到位数。4.表中：13栏=2栏-4栏-11栏；4栏=5栏+9栏；5栏=6栏+7栏+8栏；5行=1行+2行+3行+4行。                                                                                                                                               </w:t>
            </w:r>
          </w:p>
        </w:tc>
      </w:tr>
    </w:tbl>
    <w:p>
      <w:pPr>
        <w:rPr>
          <w:rFonts w:hint="eastAsia" w:ascii="仿宋" w:hAnsi="仿宋" w:eastAsia="仿宋" w:cs="仿宋"/>
          <w:sz w:val="32"/>
          <w:szCs w:val="32"/>
        </w:rPr>
      </w:pPr>
      <w:bookmarkStart w:id="13" w:name="PO_ffj"/>
      <w:bookmarkEnd w:id="13"/>
      <w:bookmarkStart w:id="14" w:name="PO_fyz"/>
      <w:bookmarkEnd w:id="14"/>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587" w:right="1417" w:bottom="1474" w:left="1417" w:header="851" w:footer="992" w:gutter="0"/>
      <w:pgBorders>
        <w:top w:val="none" w:sz="0" w:space="0"/>
        <w:left w:val="none" w:sz="0" w:space="0"/>
        <w:bottom w:val="none" w:sz="0" w:space="0"/>
        <w:right w:val="none" w:sz="0" w:space="0"/>
      </w:pgBorders>
      <w:pgNumType w:fmt="numberInDash"/>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835" cy="230505"/>
              <wp:effectExtent l="0" t="0" r="0" b="0"/>
              <wp:wrapNone/>
              <wp:docPr id="9" name="文本框 9"/>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60288;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5US8y0QAAAAQBAAAPAAAAAAAAAAEAIAAAACIAAABkcnMvZG93&#10;bnJldi54bWxQSwECFAAUAAAACACHTuJA9P6z1c4BAACXAwAADgAAAAAAAAABACAAAAAgAQAAZHJz&#10;L2Uyb0RvYy54bWxQSwUGAAAAAAYABgBZAQAAYAU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0</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0</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6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640" w:rightChars="20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ind w:right="640" w:rightChars="20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0" w:firstLine="0" w:firstLineChars="0"/>
      <w:rPr>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320" w:leftChars="100"/>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ind w:left="320" w:leftChars="100"/>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320" w:leftChars="100" w:right="0" w:firstLine="0" w:firstLineChars="0"/>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ind w:left="320" w:leftChars="100" w:right="0" w:firstLine="0" w:firstLineChars="0"/>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page">
                <wp:posOffset>742950</wp:posOffset>
              </wp:positionH>
              <wp:positionV relativeFrom="paragraph">
                <wp:posOffset>-177165</wp:posOffset>
              </wp:positionV>
              <wp:extent cx="6120130" cy="0"/>
              <wp:effectExtent l="0" t="31750" r="6350" b="4445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63500" cap="flat" cmpd="thinThick">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5pt;margin-top:-13.95pt;height:0pt;width:481.9pt;mso-position-horizontal-relative:page;z-index:251663360;mso-width-relative:page;mso-height-relative:page;" filled="f" stroked="t" coordsize="21600,21600" o:gfxdata="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ksWATYAAAADAEAAA8AAAAAAAAAAQAgAAAAIgAAAGRycy9kb3ducmV2Lnht&#10;bFBLAQIUABQAAAAIAIdO4kCSnmWW+QEAAOsDAAAOAAAAAAAAAAEAIAAAACcBAABkcnMvZTJvRG9j&#10;LnhtbFBLBQYAAAAABgAGAFkBAACSBQAAAAA=&#10;">
              <v:fill on="f" focussize="0,0"/>
              <v:stroke weight="5pt" color="#FFFFFF" linestyle="thinThick" joinstyle="round"/>
              <v:imagedata o:title=""/>
              <o:lock v:ext="edit" aspectratio="f"/>
            </v:lin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320" w:rightChars="100"/>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ind w:right="320" w:rightChars="100"/>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yMGI0ZTMyZjA5NjY4Zjg2NDIxMjMxN2M4ZDMyMTgifQ=="/>
  </w:docVars>
  <w:rsids>
    <w:rsidRoot w:val="005E7243"/>
    <w:rsid w:val="000253FA"/>
    <w:rsid w:val="00072E52"/>
    <w:rsid w:val="000B3399"/>
    <w:rsid w:val="000E291E"/>
    <w:rsid w:val="000E6968"/>
    <w:rsid w:val="00116C7A"/>
    <w:rsid w:val="00145C75"/>
    <w:rsid w:val="001538F6"/>
    <w:rsid w:val="001745DC"/>
    <w:rsid w:val="001851DD"/>
    <w:rsid w:val="001865AB"/>
    <w:rsid w:val="00195B6A"/>
    <w:rsid w:val="001B667D"/>
    <w:rsid w:val="002269D4"/>
    <w:rsid w:val="00231764"/>
    <w:rsid w:val="00245BD9"/>
    <w:rsid w:val="00253BD6"/>
    <w:rsid w:val="00283713"/>
    <w:rsid w:val="002C0472"/>
    <w:rsid w:val="002D060D"/>
    <w:rsid w:val="00317448"/>
    <w:rsid w:val="003407EA"/>
    <w:rsid w:val="00354EA9"/>
    <w:rsid w:val="003828FA"/>
    <w:rsid w:val="00396E4C"/>
    <w:rsid w:val="003A09E7"/>
    <w:rsid w:val="00410875"/>
    <w:rsid w:val="00430145"/>
    <w:rsid w:val="00461224"/>
    <w:rsid w:val="00472F9E"/>
    <w:rsid w:val="00475982"/>
    <w:rsid w:val="0048765D"/>
    <w:rsid w:val="004B2FE4"/>
    <w:rsid w:val="004D3B32"/>
    <w:rsid w:val="004E4405"/>
    <w:rsid w:val="005911D6"/>
    <w:rsid w:val="005978EB"/>
    <w:rsid w:val="005D42F2"/>
    <w:rsid w:val="005D5EA3"/>
    <w:rsid w:val="005E7243"/>
    <w:rsid w:val="005E7BDD"/>
    <w:rsid w:val="006614BA"/>
    <w:rsid w:val="0066178F"/>
    <w:rsid w:val="00691574"/>
    <w:rsid w:val="00692022"/>
    <w:rsid w:val="006A3DF8"/>
    <w:rsid w:val="006C73D7"/>
    <w:rsid w:val="00712027"/>
    <w:rsid w:val="00726EF9"/>
    <w:rsid w:val="00750D7C"/>
    <w:rsid w:val="0079728D"/>
    <w:rsid w:val="007C193A"/>
    <w:rsid w:val="007C569E"/>
    <w:rsid w:val="007E5E0D"/>
    <w:rsid w:val="007F3A72"/>
    <w:rsid w:val="00804A05"/>
    <w:rsid w:val="0087156E"/>
    <w:rsid w:val="0088476D"/>
    <w:rsid w:val="008A0FF1"/>
    <w:rsid w:val="008B6098"/>
    <w:rsid w:val="008E2231"/>
    <w:rsid w:val="00982794"/>
    <w:rsid w:val="009C7120"/>
    <w:rsid w:val="009E611E"/>
    <w:rsid w:val="009E7ED0"/>
    <w:rsid w:val="009F6E0B"/>
    <w:rsid w:val="00A239A5"/>
    <w:rsid w:val="00A26E0B"/>
    <w:rsid w:val="00A32370"/>
    <w:rsid w:val="00A75DE6"/>
    <w:rsid w:val="00A8598A"/>
    <w:rsid w:val="00A9035B"/>
    <w:rsid w:val="00AB00BB"/>
    <w:rsid w:val="00B31BED"/>
    <w:rsid w:val="00B34692"/>
    <w:rsid w:val="00B47EE3"/>
    <w:rsid w:val="00BC54D6"/>
    <w:rsid w:val="00BD6C8F"/>
    <w:rsid w:val="00BE0177"/>
    <w:rsid w:val="00BF17B9"/>
    <w:rsid w:val="00C37F2A"/>
    <w:rsid w:val="00C52395"/>
    <w:rsid w:val="00C60497"/>
    <w:rsid w:val="00C7277C"/>
    <w:rsid w:val="00C8215B"/>
    <w:rsid w:val="00C909AD"/>
    <w:rsid w:val="00C95624"/>
    <w:rsid w:val="00CB6A69"/>
    <w:rsid w:val="00CC1487"/>
    <w:rsid w:val="00D841E3"/>
    <w:rsid w:val="00DA3F99"/>
    <w:rsid w:val="00DC0D99"/>
    <w:rsid w:val="00DE1F26"/>
    <w:rsid w:val="00DE3ED6"/>
    <w:rsid w:val="00DF3572"/>
    <w:rsid w:val="00E06983"/>
    <w:rsid w:val="00E32094"/>
    <w:rsid w:val="00E503FB"/>
    <w:rsid w:val="00F4723B"/>
    <w:rsid w:val="00F954E9"/>
    <w:rsid w:val="00FC58D3"/>
    <w:rsid w:val="028528E4"/>
    <w:rsid w:val="03352888"/>
    <w:rsid w:val="04AC5B5A"/>
    <w:rsid w:val="076A246D"/>
    <w:rsid w:val="10C73522"/>
    <w:rsid w:val="15932576"/>
    <w:rsid w:val="15B34725"/>
    <w:rsid w:val="186A512B"/>
    <w:rsid w:val="216915F0"/>
    <w:rsid w:val="22EB18B9"/>
    <w:rsid w:val="34CD3DF1"/>
    <w:rsid w:val="35CA4F4E"/>
    <w:rsid w:val="35CF58D8"/>
    <w:rsid w:val="3C732D21"/>
    <w:rsid w:val="3C7671BF"/>
    <w:rsid w:val="3FBE2CE8"/>
    <w:rsid w:val="4103650A"/>
    <w:rsid w:val="440801DF"/>
    <w:rsid w:val="4AB32DE6"/>
    <w:rsid w:val="4B3C5314"/>
    <w:rsid w:val="4BD227FC"/>
    <w:rsid w:val="4C160E12"/>
    <w:rsid w:val="4E49524B"/>
    <w:rsid w:val="4E776090"/>
    <w:rsid w:val="570E6174"/>
    <w:rsid w:val="5A815D32"/>
    <w:rsid w:val="5CBF22F9"/>
    <w:rsid w:val="5DF5346E"/>
    <w:rsid w:val="60F07BE1"/>
    <w:rsid w:val="64C66138"/>
    <w:rsid w:val="6B1201FA"/>
    <w:rsid w:val="6B314FC3"/>
    <w:rsid w:val="70D16491"/>
    <w:rsid w:val="737FDB27"/>
    <w:rsid w:val="75940CB9"/>
    <w:rsid w:val="76FFAB4D"/>
    <w:rsid w:val="77BBBD23"/>
    <w:rsid w:val="7EFE4E2F"/>
    <w:rsid w:val="7EFF6425"/>
    <w:rsid w:val="7FF54B1D"/>
    <w:rsid w:val="BA5F8295"/>
    <w:rsid w:val="DCF5CD72"/>
    <w:rsid w:val="EF4BED2C"/>
    <w:rsid w:val="FDFE8642"/>
    <w:rsid w:val="FE9D3E09"/>
    <w:rsid w:val="FE9F8ABC"/>
    <w:rsid w:val="FF7406BB"/>
    <w:rsid w:val="FFC93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仿宋" w:cs="Times New Roman"/>
      <w:color w:val="00000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仿宋" w:cs="Times New Roman"/>
      <w:color w:val="00000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rPr>
      <w:rFonts w:ascii="Times New Roman" w:hAnsi="Times New Roman" w:eastAsia="宋体" w:cs="Times New Roman"/>
    </w:rPr>
  </w:style>
  <w:style w:type="paragraph" w:customStyle="1" w:styleId="8">
    <w:name w:val="正文 + 仿宋_GB2312"/>
    <w:basedOn w:val="1"/>
    <w:qFormat/>
    <w:uiPriority w:val="0"/>
    <w:pPr>
      <w:framePr w:hSpace="180" w:wrap="around" w:vAnchor="text" w:hAnchor="text" w:y="1"/>
      <w:spacing w:before="120" w:line="318" w:lineRule="atLeast"/>
      <w:jc w:val="center"/>
      <w:textAlignment w:val="bottom"/>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省科技厅</Company>
  <Pages>30</Pages>
  <Words>12617</Words>
  <Characters>13088</Characters>
  <Lines>1</Lines>
  <Paragraphs>1</Paragraphs>
  <TotalTime>6</TotalTime>
  <ScaleCrop>false</ScaleCrop>
  <LinksUpToDate>false</LinksUpToDate>
  <CharactersWithSpaces>14597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2019-12-25T20:26:00Z</dcterms:created>
  <dc:creator>王虹</dc:creator>
  <cp:lastModifiedBy>练发杨</cp:lastModifiedBy>
  <cp:lastPrinted>2022-07-28T01:14:00Z</cp:lastPrinted>
  <dcterms:modified xsi:type="dcterms:W3CDTF">2022-07-28T07:37:10Z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40998E615DE5407995898E0501065610</vt:lpwstr>
  </property>
</Properties>
</file>