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spacing w:before="75" w:beforeAutospacing="0" w:after="75" w:afterAutospacing="0"/>
        <w:jc w:val="center"/>
        <w:rPr>
          <w:rStyle w:val="27"/>
          <w:rFonts w:hint="eastAsia" w:ascii="宋体" w:hAnsi="宋体" w:eastAsia="宋体" w:cs="宋体"/>
          <w:color w:val="auto"/>
          <w:sz w:val="72"/>
          <w:szCs w:val="72"/>
          <w:highlight w:val="none"/>
          <w:lang w:eastAsia="zh-CN"/>
        </w:rPr>
      </w:pPr>
      <w:r>
        <w:rPr>
          <w:rStyle w:val="27"/>
          <w:rFonts w:hint="eastAsia" w:ascii="宋体" w:hAnsi="宋体" w:cs="宋体"/>
          <w:color w:val="auto"/>
          <w:sz w:val="72"/>
          <w:szCs w:val="72"/>
          <w:highlight w:val="none"/>
          <w:lang w:eastAsia="zh-CN"/>
        </w:rPr>
        <w:t>福建省立医院工会委员会</w:t>
      </w:r>
    </w:p>
    <w:p>
      <w:pPr>
        <w:pStyle w:val="19"/>
        <w:widowControl/>
        <w:spacing w:before="75" w:beforeAutospacing="0" w:after="75" w:afterAutospacing="0"/>
        <w:jc w:val="center"/>
        <w:rPr>
          <w:rFonts w:ascii="宋体" w:hAnsi="宋体" w:cs="宋体"/>
          <w:color w:val="auto"/>
          <w:sz w:val="27"/>
          <w:szCs w:val="27"/>
          <w:highlight w:val="none"/>
        </w:rPr>
      </w:pPr>
      <w:r>
        <w:rPr>
          <w:rStyle w:val="27"/>
          <w:rFonts w:hint="eastAsia" w:ascii="宋体" w:hAnsi="宋体" w:cs="宋体"/>
          <w:color w:val="auto"/>
          <w:sz w:val="72"/>
          <w:szCs w:val="72"/>
          <w:highlight w:val="none"/>
        </w:rPr>
        <w:t>货物和服务项目</w:t>
      </w:r>
    </w:p>
    <w:p>
      <w:pPr>
        <w:pStyle w:val="19"/>
        <w:widowControl/>
        <w:spacing w:before="75" w:beforeAutospacing="0" w:after="75" w:afterAutospacing="0"/>
        <w:jc w:val="center"/>
        <w:rPr>
          <w:rFonts w:ascii="宋体" w:hAnsi="宋体" w:cs="宋体"/>
          <w:color w:val="auto"/>
          <w:sz w:val="27"/>
          <w:szCs w:val="27"/>
          <w:highlight w:val="none"/>
        </w:rPr>
      </w:pPr>
      <w:r>
        <w:rPr>
          <w:rStyle w:val="27"/>
          <w:rFonts w:hint="eastAsia" w:ascii="宋体" w:hAnsi="宋体" w:cs="宋体"/>
          <w:color w:val="auto"/>
          <w:sz w:val="72"/>
          <w:szCs w:val="72"/>
          <w:highlight w:val="none"/>
        </w:rPr>
        <w:t>公开招标文件</w:t>
      </w:r>
    </w:p>
    <w:p>
      <w:pPr>
        <w:pStyle w:val="19"/>
        <w:widowControl/>
        <w:spacing w:before="75" w:beforeAutospacing="0" w:after="75" w:afterAutospacing="0"/>
        <w:jc w:val="center"/>
        <w:rPr>
          <w:rStyle w:val="27"/>
          <w:rFonts w:ascii="宋体" w:hAnsi="宋体" w:cs="宋体"/>
          <w:color w:val="auto"/>
          <w:sz w:val="44"/>
          <w:szCs w:val="44"/>
          <w:highlight w:val="none"/>
        </w:rPr>
      </w:pPr>
      <w:r>
        <w:rPr>
          <w:rStyle w:val="27"/>
          <w:rFonts w:hint="eastAsia" w:ascii="宋体" w:hAnsi="宋体" w:cs="宋体"/>
          <w:color w:val="auto"/>
          <w:sz w:val="72"/>
          <w:szCs w:val="72"/>
          <w:highlight w:val="none"/>
          <w:lang w:val="en-US" w:eastAsia="zh-CN"/>
        </w:rPr>
        <w:t>预公告稿</w:t>
      </w:r>
      <w:bookmarkStart w:id="66" w:name="_GoBack"/>
      <w:bookmarkEnd w:id="66"/>
    </w:p>
    <w:p>
      <w:pPr>
        <w:pStyle w:val="20"/>
        <w:rPr>
          <w:rStyle w:val="27"/>
          <w:rFonts w:hint="default" w:ascii="宋体" w:hAnsi="宋体"/>
          <w:b/>
          <w:color w:val="auto"/>
          <w:sz w:val="72"/>
          <w:szCs w:val="72"/>
          <w:highlight w:val="none"/>
        </w:rPr>
      </w:pPr>
    </w:p>
    <w:p>
      <w:pPr>
        <w:pStyle w:val="20"/>
        <w:rPr>
          <w:rStyle w:val="27"/>
          <w:rFonts w:hint="default" w:ascii="宋体" w:hAnsi="宋体"/>
          <w:b/>
          <w:color w:val="auto"/>
          <w:sz w:val="72"/>
          <w:szCs w:val="72"/>
          <w:highlight w:val="none"/>
        </w:rPr>
      </w:pPr>
    </w:p>
    <w:p>
      <w:pPr>
        <w:pStyle w:val="20"/>
        <w:rPr>
          <w:rStyle w:val="27"/>
          <w:rFonts w:hint="default" w:ascii="宋体" w:hAnsi="宋体"/>
          <w:b/>
          <w:color w:val="auto"/>
          <w:sz w:val="72"/>
          <w:szCs w:val="72"/>
          <w:highlight w:val="none"/>
        </w:rPr>
      </w:pPr>
    </w:p>
    <w:p>
      <w:pPr>
        <w:pStyle w:val="19"/>
        <w:widowControl/>
        <w:spacing w:before="75" w:beforeAutospacing="0" w:after="75" w:afterAutospacing="0"/>
        <w:jc w:val="center"/>
        <w:rPr>
          <w:rStyle w:val="27"/>
          <w:rFonts w:hint="eastAsia" w:ascii="宋体" w:hAnsi="宋体" w:eastAsia="宋体" w:cs="宋体"/>
          <w:color w:val="auto"/>
          <w:sz w:val="30"/>
          <w:szCs w:val="30"/>
          <w:highlight w:val="none"/>
          <w:lang w:eastAsia="zh-CN"/>
        </w:rPr>
      </w:pPr>
      <w:r>
        <w:rPr>
          <w:rStyle w:val="27"/>
          <w:rFonts w:hint="eastAsia" w:ascii="宋体" w:hAnsi="宋体" w:cs="宋体"/>
          <w:color w:val="auto"/>
          <w:sz w:val="30"/>
          <w:szCs w:val="30"/>
          <w:highlight w:val="none"/>
        </w:rPr>
        <w:t>项目名称：</w:t>
      </w:r>
      <w:r>
        <w:rPr>
          <w:rStyle w:val="27"/>
          <w:rFonts w:hint="eastAsia" w:ascii="宋体" w:hAnsi="宋体" w:cs="宋体"/>
          <w:color w:val="auto"/>
          <w:sz w:val="30"/>
          <w:szCs w:val="30"/>
          <w:highlight w:val="none"/>
          <w:lang w:eastAsia="zh-CN"/>
        </w:rPr>
        <w:t>福建省立医院工会委员会2024年工会会员法定节假日慰问品采购项目</w:t>
      </w:r>
    </w:p>
    <w:p>
      <w:pPr>
        <w:pStyle w:val="19"/>
        <w:widowControl/>
        <w:spacing w:before="75" w:beforeAutospacing="0" w:after="75" w:afterAutospacing="0"/>
        <w:jc w:val="center"/>
        <w:rPr>
          <w:rFonts w:hint="eastAsia" w:ascii="微软雅黑" w:hAnsi="微软雅黑" w:eastAsia="宋体" w:cs="微软雅黑"/>
          <w:color w:val="auto"/>
          <w:sz w:val="30"/>
          <w:szCs w:val="30"/>
          <w:highlight w:val="none"/>
          <w:lang w:eastAsia="zh-CN"/>
        </w:rPr>
      </w:pPr>
      <w:r>
        <w:rPr>
          <w:rStyle w:val="27"/>
          <w:rFonts w:hint="eastAsia" w:ascii="宋体" w:hAnsi="宋体" w:cs="宋体"/>
          <w:color w:val="auto"/>
          <w:sz w:val="30"/>
          <w:szCs w:val="30"/>
          <w:highlight w:val="none"/>
        </w:rPr>
        <w:t>项目编号：</w:t>
      </w:r>
      <w:r>
        <w:rPr>
          <w:rStyle w:val="27"/>
          <w:rFonts w:hint="eastAsia" w:ascii="宋体" w:hAnsi="宋体" w:cs="宋体"/>
          <w:color w:val="auto"/>
          <w:sz w:val="30"/>
          <w:szCs w:val="30"/>
          <w:highlight w:val="none"/>
          <w:lang w:eastAsia="zh-CN"/>
        </w:rPr>
        <w:t>RWZB-2023-309</w:t>
      </w:r>
    </w:p>
    <w:p>
      <w:pPr>
        <w:pStyle w:val="19"/>
        <w:widowControl/>
        <w:spacing w:before="75" w:beforeAutospacing="0" w:after="75" w:afterAutospacing="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w:t>
      </w:r>
    </w:p>
    <w:p>
      <w:pPr>
        <w:pStyle w:val="20"/>
        <w:rPr>
          <w:rFonts w:hint="default" w:ascii="微软雅黑" w:hAnsi="微软雅黑" w:eastAsia="微软雅黑" w:cs="微软雅黑"/>
          <w:color w:val="auto"/>
          <w:sz w:val="30"/>
          <w:szCs w:val="30"/>
          <w:highlight w:val="none"/>
        </w:rPr>
      </w:pPr>
    </w:p>
    <w:p>
      <w:pPr>
        <w:pStyle w:val="19"/>
        <w:widowControl/>
        <w:spacing w:before="75" w:beforeAutospacing="0" w:after="75" w:afterAutospacing="0"/>
        <w:jc w:val="center"/>
        <w:rPr>
          <w:rFonts w:hint="eastAsia" w:ascii="宋体" w:hAnsi="宋体" w:eastAsia="宋体"/>
          <w:b/>
          <w:bCs/>
          <w:color w:val="auto"/>
          <w:kern w:val="2"/>
          <w:sz w:val="32"/>
          <w:szCs w:val="21"/>
          <w:highlight w:val="none"/>
          <w:lang w:eastAsia="zh-CN"/>
        </w:rPr>
      </w:pPr>
      <w:r>
        <w:rPr>
          <w:rFonts w:hint="eastAsia" w:ascii="宋体" w:hAnsi="宋体"/>
          <w:b/>
          <w:bCs/>
          <w:color w:val="auto"/>
          <w:kern w:val="2"/>
          <w:sz w:val="32"/>
          <w:szCs w:val="21"/>
          <w:highlight w:val="none"/>
        </w:rPr>
        <w:t>采购人：</w:t>
      </w:r>
      <w:r>
        <w:rPr>
          <w:rFonts w:hint="eastAsia" w:ascii="宋体" w:hAnsi="宋体"/>
          <w:b/>
          <w:bCs/>
          <w:color w:val="auto"/>
          <w:kern w:val="2"/>
          <w:sz w:val="32"/>
          <w:szCs w:val="21"/>
          <w:highlight w:val="none"/>
          <w:lang w:eastAsia="zh-CN"/>
        </w:rPr>
        <w:t>福建省立医院工会委员会</w:t>
      </w:r>
    </w:p>
    <w:p>
      <w:pPr>
        <w:pStyle w:val="11"/>
        <w:spacing w:line="360" w:lineRule="auto"/>
        <w:jc w:val="center"/>
        <w:rPr>
          <w:rFonts w:ascii="微软雅黑" w:hAnsi="微软雅黑" w:cs="微软雅黑"/>
          <w:color w:val="auto"/>
          <w:sz w:val="30"/>
          <w:szCs w:val="30"/>
          <w:highlight w:val="none"/>
        </w:rPr>
      </w:pPr>
      <w:r>
        <w:rPr>
          <w:rStyle w:val="27"/>
          <w:rFonts w:hint="eastAsia" w:hAnsi="宋体" w:cs="宋体"/>
          <w:color w:val="auto"/>
          <w:sz w:val="30"/>
          <w:szCs w:val="30"/>
          <w:highlight w:val="none"/>
        </w:rPr>
        <w:t>代理机构：</w:t>
      </w:r>
      <w:r>
        <w:rPr>
          <w:rFonts w:hint="eastAsia" w:hAnsi="宋体"/>
          <w:b/>
          <w:bCs/>
          <w:color w:val="auto"/>
          <w:sz w:val="32"/>
          <w:highlight w:val="none"/>
        </w:rPr>
        <w:t>福建榕卫招标有限公司</w:t>
      </w:r>
    </w:p>
    <w:p>
      <w:pPr>
        <w:pStyle w:val="19"/>
        <w:widowControl/>
        <w:spacing w:before="75" w:beforeAutospacing="0" w:after="75" w:afterAutospacing="0" w:line="360" w:lineRule="atLeast"/>
        <w:ind w:right="720"/>
        <w:jc w:val="center"/>
        <w:rPr>
          <w:rStyle w:val="27"/>
          <w:rFonts w:ascii="宋体" w:hAnsi="宋体" w:cs="宋体"/>
          <w:color w:val="auto"/>
          <w:sz w:val="30"/>
          <w:szCs w:val="30"/>
          <w:highlight w:val="none"/>
        </w:rPr>
      </w:pPr>
      <w:r>
        <w:rPr>
          <w:rStyle w:val="27"/>
          <w:rFonts w:hint="eastAsia" w:ascii="宋体" w:hAnsi="宋体" w:cs="宋体"/>
          <w:color w:val="auto"/>
          <w:sz w:val="30"/>
          <w:szCs w:val="30"/>
          <w:highlight w:val="none"/>
        </w:rPr>
        <w:t>2023年</w:t>
      </w:r>
      <w:r>
        <w:rPr>
          <w:rStyle w:val="27"/>
          <w:rFonts w:hint="eastAsia" w:ascii="宋体" w:hAnsi="宋体" w:cs="宋体"/>
          <w:color w:val="auto"/>
          <w:sz w:val="30"/>
          <w:szCs w:val="30"/>
          <w:highlight w:val="none"/>
          <w:lang w:val="en-US" w:eastAsia="zh-CN"/>
        </w:rPr>
        <w:t>11</w:t>
      </w:r>
      <w:r>
        <w:rPr>
          <w:rStyle w:val="27"/>
          <w:rFonts w:hint="eastAsia" w:ascii="宋体" w:hAnsi="宋体" w:cs="宋体"/>
          <w:color w:val="auto"/>
          <w:sz w:val="30"/>
          <w:szCs w:val="30"/>
          <w:highlight w:val="none"/>
        </w:rPr>
        <w:t>月</w:t>
      </w:r>
    </w:p>
    <w:p>
      <w:pPr>
        <w:pBdr>
          <w:top w:val="single" w:color="auto" w:sz="4" w:space="1"/>
          <w:left w:val="none" w:color="auto" w:sz="0" w:space="4"/>
          <w:bottom w:val="none" w:color="auto" w:sz="0" w:space="1"/>
          <w:right w:val="none" w:color="auto" w:sz="0" w:space="4"/>
        </w:pBdr>
        <w:snapToGrid w:val="0"/>
        <w:spacing w:line="520" w:lineRule="exact"/>
        <w:jc w:val="left"/>
        <w:rPr>
          <w:bCs/>
          <w:color w:val="auto"/>
          <w:sz w:val="22"/>
          <w:szCs w:val="22"/>
          <w:highlight w:val="none"/>
        </w:rPr>
      </w:pPr>
      <w:r>
        <w:rPr>
          <w:rFonts w:hint="eastAsia"/>
          <w:color w:val="auto"/>
          <w:sz w:val="22"/>
          <w:szCs w:val="22"/>
          <w:highlight w:val="none"/>
        </w:rPr>
        <w:t>地址：</w:t>
      </w:r>
      <w:r>
        <w:rPr>
          <w:rFonts w:hint="eastAsia"/>
          <w:bCs/>
          <w:color w:val="auto"/>
          <w:sz w:val="22"/>
          <w:szCs w:val="22"/>
          <w:highlight w:val="none"/>
        </w:rPr>
        <w:t xml:space="preserve">福州市鼓楼区洪山园路52号华润万象城（三期）S11#楼6层              </w:t>
      </w:r>
      <w:r>
        <w:rPr>
          <w:rFonts w:hint="eastAsia"/>
          <w:color w:val="auto"/>
          <w:sz w:val="22"/>
          <w:szCs w:val="22"/>
          <w:highlight w:val="none"/>
        </w:rPr>
        <w:t>邮编：350025</w:t>
      </w:r>
    </w:p>
    <w:p>
      <w:pPr>
        <w:spacing w:line="520" w:lineRule="exact"/>
        <w:rPr>
          <w:color w:val="auto"/>
          <w:sz w:val="22"/>
          <w:szCs w:val="22"/>
          <w:highlight w:val="none"/>
        </w:rPr>
      </w:pPr>
      <w:r>
        <w:rPr>
          <w:rFonts w:hint="eastAsia"/>
          <w:color w:val="auto"/>
          <w:sz w:val="22"/>
          <w:szCs w:val="22"/>
          <w:highlight w:val="none"/>
        </w:rPr>
        <w:t>电话：</w:t>
      </w:r>
      <w:r>
        <w:rPr>
          <w:color w:val="auto"/>
          <w:sz w:val="22"/>
          <w:szCs w:val="22"/>
          <w:highlight w:val="none"/>
        </w:rPr>
        <w:t>0591-</w:t>
      </w:r>
      <w:r>
        <w:rPr>
          <w:rFonts w:hint="eastAsia"/>
          <w:color w:val="auto"/>
          <w:sz w:val="22"/>
          <w:szCs w:val="22"/>
          <w:highlight w:val="none"/>
          <w:lang w:eastAsia="zh-CN"/>
        </w:rPr>
        <w:t>87542269</w:t>
      </w:r>
      <w:r>
        <w:rPr>
          <w:rFonts w:hint="eastAsia"/>
          <w:color w:val="auto"/>
          <w:sz w:val="22"/>
          <w:szCs w:val="22"/>
          <w:highlight w:val="none"/>
        </w:rPr>
        <w:t xml:space="preserve">                                            </w:t>
      </w:r>
      <w:r>
        <w:rPr>
          <w:color w:val="auto"/>
          <w:sz w:val="22"/>
          <w:szCs w:val="22"/>
          <w:highlight w:val="none"/>
        </w:rPr>
        <w:t>Email:fjrwzb@163.com</w:t>
      </w:r>
    </w:p>
    <w:p>
      <w:pPr>
        <w:rPr>
          <w:rStyle w:val="27"/>
          <w:rFonts w:ascii="宋体" w:hAnsi="宋体" w:cs="宋体"/>
          <w:color w:val="auto"/>
          <w:sz w:val="31"/>
          <w:szCs w:val="31"/>
          <w:highlight w:val="none"/>
        </w:rPr>
      </w:pPr>
      <w:r>
        <w:rPr>
          <w:rStyle w:val="27"/>
          <w:rFonts w:hint="eastAsia" w:ascii="宋体" w:hAnsi="宋体" w:cs="宋体"/>
          <w:color w:val="auto"/>
          <w:sz w:val="31"/>
          <w:szCs w:val="31"/>
          <w:highlight w:val="none"/>
        </w:rPr>
        <w:br w:type="page"/>
      </w:r>
    </w:p>
    <w:sdt>
      <w:sdtPr>
        <w:rPr>
          <w:rFonts w:ascii="宋体" w:hAnsi="宋体"/>
          <w:b/>
          <w:color w:val="auto"/>
          <w:kern w:val="0"/>
          <w:sz w:val="24"/>
          <w:highlight w:val="none"/>
        </w:rPr>
        <w:id w:val="147451700"/>
        <w:docPartObj>
          <w:docPartGallery w:val="Table of Contents"/>
          <w:docPartUnique/>
        </w:docPartObj>
      </w:sdtPr>
      <w:sdtEndPr>
        <w:rPr>
          <w:rFonts w:ascii="宋体" w:hAnsi="宋体" w:cs="宋体"/>
          <w:b/>
          <w:color w:val="auto"/>
          <w:kern w:val="0"/>
          <w:sz w:val="24"/>
          <w:szCs w:val="31"/>
          <w:highlight w:val="none"/>
        </w:rPr>
      </w:sdtEndPr>
      <w:sdtContent>
        <w:p>
          <w:pPr>
            <w:jc w:val="center"/>
            <w:rPr>
              <w:rFonts w:ascii="宋体" w:hAnsi="宋体"/>
              <w:color w:val="auto"/>
              <w:highlight w:val="none"/>
            </w:rPr>
          </w:pPr>
        </w:p>
        <w:p>
          <w:pPr>
            <w:jc w:val="center"/>
            <w:rPr>
              <w:rFonts w:ascii="宋体" w:hAnsi="宋体"/>
              <w:color w:val="auto"/>
              <w:highlight w:val="none"/>
            </w:rPr>
          </w:pPr>
        </w:p>
        <w:p>
          <w:pPr>
            <w:jc w:val="center"/>
            <w:rPr>
              <w:b/>
              <w:bCs/>
              <w:color w:val="auto"/>
              <w:sz w:val="32"/>
              <w:szCs w:val="32"/>
              <w:highlight w:val="none"/>
            </w:rPr>
          </w:pPr>
          <w:r>
            <w:rPr>
              <w:rFonts w:ascii="宋体" w:hAnsi="宋体"/>
              <w:b/>
              <w:bCs/>
              <w:color w:val="auto"/>
              <w:sz w:val="32"/>
              <w:szCs w:val="32"/>
              <w:highlight w:val="none"/>
            </w:rPr>
            <w:t>目</w:t>
          </w:r>
          <w:r>
            <w:rPr>
              <w:rFonts w:hint="eastAsia" w:ascii="宋体" w:hAnsi="宋体"/>
              <w:b/>
              <w:bCs/>
              <w:color w:val="auto"/>
              <w:sz w:val="32"/>
              <w:szCs w:val="32"/>
              <w:highlight w:val="none"/>
            </w:rPr>
            <w:t xml:space="preserve"> </w:t>
          </w:r>
          <w:r>
            <w:rPr>
              <w:rFonts w:ascii="宋体" w:hAnsi="宋体"/>
              <w:b/>
              <w:bCs/>
              <w:color w:val="auto"/>
              <w:sz w:val="32"/>
              <w:szCs w:val="32"/>
              <w:highlight w:val="none"/>
            </w:rPr>
            <w:t>录</w:t>
          </w:r>
        </w:p>
        <w:p>
          <w:pPr>
            <w:pStyle w:val="16"/>
            <w:tabs>
              <w:tab w:val="right" w:leader="dot" w:pos="9072"/>
            </w:tabs>
            <w:spacing w:line="360" w:lineRule="auto"/>
            <w:rPr>
              <w:sz w:val="24"/>
              <w:szCs w:val="32"/>
            </w:rPr>
          </w:pPr>
          <w:r>
            <w:rPr>
              <w:rStyle w:val="27"/>
              <w:color w:val="auto"/>
              <w:sz w:val="24"/>
              <w:szCs w:val="32"/>
              <w:highlight w:val="none"/>
            </w:rPr>
            <w:fldChar w:fldCharType="begin"/>
          </w:r>
          <w:r>
            <w:rPr>
              <w:rStyle w:val="27"/>
              <w:rFonts w:ascii="宋体" w:hAnsi="宋体" w:cs="宋体"/>
              <w:color w:val="auto"/>
              <w:sz w:val="32"/>
              <w:szCs w:val="32"/>
              <w:highlight w:val="none"/>
            </w:rPr>
            <w:instrText xml:space="preserve">TOC \o "1-3" \h \u </w:instrText>
          </w:r>
          <w:r>
            <w:rPr>
              <w:rStyle w:val="27"/>
              <w:color w:val="auto"/>
              <w:sz w:val="24"/>
              <w:szCs w:val="32"/>
              <w:highlight w:val="none"/>
            </w:rPr>
            <w:fldChar w:fldCharType="separate"/>
          </w:r>
          <w:r>
            <w:rPr>
              <w:color w:val="auto"/>
              <w:sz w:val="24"/>
              <w:szCs w:val="32"/>
              <w:highlight w:val="none"/>
            </w:rPr>
            <w:fldChar w:fldCharType="begin"/>
          </w:r>
          <w:r>
            <w:rPr>
              <w:sz w:val="24"/>
              <w:szCs w:val="32"/>
              <w:highlight w:val="none"/>
            </w:rPr>
            <w:instrText xml:space="preserve"> HYPERLINK \l _Toc12458 </w:instrText>
          </w:r>
          <w:r>
            <w:rPr>
              <w:sz w:val="24"/>
              <w:szCs w:val="32"/>
              <w:highlight w:val="none"/>
            </w:rPr>
            <w:fldChar w:fldCharType="separate"/>
          </w:r>
          <w:r>
            <w:rPr>
              <w:rFonts w:hint="eastAsia"/>
              <w:sz w:val="24"/>
              <w:szCs w:val="32"/>
              <w:highlight w:val="none"/>
            </w:rPr>
            <w:t>第一章</w:t>
          </w:r>
          <w:r>
            <w:rPr>
              <w:sz w:val="24"/>
              <w:szCs w:val="32"/>
              <w:highlight w:val="none"/>
            </w:rPr>
            <w:t>   </w:t>
          </w:r>
          <w:r>
            <w:rPr>
              <w:rFonts w:hint="eastAsia"/>
              <w:sz w:val="24"/>
              <w:szCs w:val="32"/>
              <w:highlight w:val="none"/>
            </w:rPr>
            <w:t>投标邀请</w:t>
          </w:r>
          <w:r>
            <w:rPr>
              <w:sz w:val="24"/>
              <w:szCs w:val="32"/>
            </w:rPr>
            <w:tab/>
          </w:r>
          <w:r>
            <w:rPr>
              <w:sz w:val="24"/>
              <w:szCs w:val="32"/>
            </w:rPr>
            <w:fldChar w:fldCharType="begin"/>
          </w:r>
          <w:r>
            <w:rPr>
              <w:sz w:val="24"/>
              <w:szCs w:val="32"/>
            </w:rPr>
            <w:instrText xml:space="preserve"> PAGEREF _Toc12458 \h </w:instrText>
          </w:r>
          <w:r>
            <w:rPr>
              <w:sz w:val="24"/>
              <w:szCs w:val="32"/>
            </w:rPr>
            <w:fldChar w:fldCharType="separate"/>
          </w:r>
          <w:r>
            <w:rPr>
              <w:sz w:val="24"/>
              <w:szCs w:val="32"/>
            </w:rPr>
            <w:t>3</w:t>
          </w:r>
          <w:r>
            <w:rPr>
              <w:sz w:val="24"/>
              <w:szCs w:val="32"/>
            </w:rPr>
            <w:fldChar w:fldCharType="end"/>
          </w:r>
          <w:r>
            <w:rPr>
              <w:color w:val="auto"/>
              <w:sz w:val="24"/>
              <w:szCs w:val="32"/>
              <w:highlight w:val="none"/>
            </w:rPr>
            <w:fldChar w:fldCharType="end"/>
          </w:r>
        </w:p>
        <w:p>
          <w:pPr>
            <w:pStyle w:val="17"/>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_Toc5973 </w:instrText>
          </w:r>
          <w:r>
            <w:rPr>
              <w:rFonts w:ascii="宋体" w:hAnsi="宋体" w:cs="宋体"/>
              <w:sz w:val="24"/>
              <w:szCs w:val="32"/>
              <w:highlight w:val="none"/>
            </w:rPr>
            <w:fldChar w:fldCharType="separate"/>
          </w:r>
          <w:r>
            <w:rPr>
              <w:rFonts w:hint="eastAsia"/>
              <w:sz w:val="24"/>
              <w:szCs w:val="32"/>
              <w:highlight w:val="none"/>
            </w:rPr>
            <w:t>附</w:t>
          </w:r>
          <w:r>
            <w:rPr>
              <w:sz w:val="24"/>
              <w:szCs w:val="32"/>
              <w:highlight w:val="none"/>
            </w:rPr>
            <w:t>2</w:t>
          </w:r>
          <w:r>
            <w:rPr>
              <w:rFonts w:hint="eastAsia"/>
              <w:sz w:val="24"/>
              <w:szCs w:val="32"/>
              <w:highlight w:val="none"/>
            </w:rPr>
            <w:t>：采购标的一览表</w:t>
          </w:r>
          <w:r>
            <w:rPr>
              <w:sz w:val="24"/>
              <w:szCs w:val="32"/>
            </w:rPr>
            <w:tab/>
          </w:r>
          <w:r>
            <w:rPr>
              <w:sz w:val="24"/>
              <w:szCs w:val="32"/>
            </w:rPr>
            <w:fldChar w:fldCharType="begin"/>
          </w:r>
          <w:r>
            <w:rPr>
              <w:sz w:val="24"/>
              <w:szCs w:val="32"/>
            </w:rPr>
            <w:instrText xml:space="preserve"> PAGEREF _Toc5973 \h </w:instrText>
          </w:r>
          <w:r>
            <w:rPr>
              <w:sz w:val="24"/>
              <w:szCs w:val="32"/>
            </w:rPr>
            <w:fldChar w:fldCharType="separate"/>
          </w:r>
          <w:r>
            <w:rPr>
              <w:sz w:val="24"/>
              <w:szCs w:val="32"/>
            </w:rPr>
            <w:t>5</w:t>
          </w:r>
          <w:r>
            <w:rPr>
              <w:sz w:val="24"/>
              <w:szCs w:val="32"/>
            </w:rPr>
            <w:fldChar w:fldCharType="end"/>
          </w:r>
          <w:r>
            <w:rPr>
              <w:rFonts w:ascii="宋体" w:hAnsi="宋体" w:cs="宋体"/>
              <w:color w:val="auto"/>
              <w:sz w:val="24"/>
              <w:szCs w:val="32"/>
              <w:highlight w:val="none"/>
            </w:rPr>
            <w:fldChar w:fldCharType="end"/>
          </w:r>
        </w:p>
        <w:p>
          <w:pPr>
            <w:pStyle w:val="17"/>
            <w:tabs>
              <w:tab w:val="right" w:leader="dot" w:pos="9072"/>
            </w:tabs>
            <w:spacing w:line="360" w:lineRule="auto"/>
            <w:ind w:left="0" w:leftChars="0" w:firstLine="0" w:firstLineChars="0"/>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_Toc29470 </w:instrText>
          </w:r>
          <w:r>
            <w:rPr>
              <w:rFonts w:ascii="宋体" w:hAnsi="宋体" w:cs="宋体"/>
              <w:sz w:val="24"/>
              <w:szCs w:val="32"/>
              <w:highlight w:val="none"/>
            </w:rPr>
            <w:fldChar w:fldCharType="separate"/>
          </w:r>
          <w:r>
            <w:rPr>
              <w:bCs w:val="0"/>
              <w:sz w:val="24"/>
              <w:szCs w:val="32"/>
              <w:highlight w:val="none"/>
            </w:rPr>
            <w:t>第二章   投标人须知前附表（表1）</w:t>
          </w:r>
          <w:r>
            <w:rPr>
              <w:sz w:val="24"/>
              <w:szCs w:val="32"/>
            </w:rPr>
            <w:tab/>
          </w:r>
          <w:r>
            <w:rPr>
              <w:sz w:val="24"/>
              <w:szCs w:val="32"/>
            </w:rPr>
            <w:fldChar w:fldCharType="begin"/>
          </w:r>
          <w:r>
            <w:rPr>
              <w:sz w:val="24"/>
              <w:szCs w:val="32"/>
            </w:rPr>
            <w:instrText xml:space="preserve"> PAGEREF _Toc29470 \h </w:instrText>
          </w:r>
          <w:r>
            <w:rPr>
              <w:sz w:val="24"/>
              <w:szCs w:val="32"/>
            </w:rPr>
            <w:fldChar w:fldCharType="separate"/>
          </w:r>
          <w:r>
            <w:rPr>
              <w:sz w:val="24"/>
              <w:szCs w:val="32"/>
            </w:rPr>
            <w:t>6</w:t>
          </w:r>
          <w:r>
            <w:rPr>
              <w:sz w:val="24"/>
              <w:szCs w:val="32"/>
            </w:rPr>
            <w:fldChar w:fldCharType="end"/>
          </w:r>
          <w:r>
            <w:rPr>
              <w:rFonts w:ascii="宋体" w:hAnsi="宋体" w:cs="宋体"/>
              <w:color w:val="auto"/>
              <w:sz w:val="24"/>
              <w:szCs w:val="32"/>
              <w:highlight w:val="none"/>
            </w:rPr>
            <w:fldChar w:fldCharType="end"/>
          </w:r>
        </w:p>
        <w:p>
          <w:pPr>
            <w:pStyle w:val="16"/>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_Toc593 </w:instrText>
          </w:r>
          <w:r>
            <w:rPr>
              <w:rFonts w:ascii="宋体" w:hAnsi="宋体" w:cs="宋体"/>
              <w:sz w:val="24"/>
              <w:szCs w:val="32"/>
              <w:highlight w:val="none"/>
            </w:rPr>
            <w:fldChar w:fldCharType="separate"/>
          </w:r>
          <w:r>
            <w:rPr>
              <w:rFonts w:hint="eastAsia"/>
              <w:sz w:val="24"/>
              <w:szCs w:val="32"/>
              <w:highlight w:val="none"/>
            </w:rPr>
            <w:t>第三章 投标人须知</w:t>
          </w:r>
          <w:r>
            <w:rPr>
              <w:sz w:val="24"/>
              <w:szCs w:val="32"/>
            </w:rPr>
            <w:tab/>
          </w:r>
          <w:r>
            <w:rPr>
              <w:sz w:val="24"/>
              <w:szCs w:val="32"/>
            </w:rPr>
            <w:fldChar w:fldCharType="begin"/>
          </w:r>
          <w:r>
            <w:rPr>
              <w:sz w:val="24"/>
              <w:szCs w:val="32"/>
            </w:rPr>
            <w:instrText xml:space="preserve"> PAGEREF _Toc593 \h </w:instrText>
          </w:r>
          <w:r>
            <w:rPr>
              <w:sz w:val="24"/>
              <w:szCs w:val="32"/>
            </w:rPr>
            <w:fldChar w:fldCharType="separate"/>
          </w:r>
          <w:r>
            <w:rPr>
              <w:sz w:val="24"/>
              <w:szCs w:val="32"/>
            </w:rPr>
            <w:t>8</w:t>
          </w:r>
          <w:r>
            <w:rPr>
              <w:sz w:val="24"/>
              <w:szCs w:val="32"/>
            </w:rPr>
            <w:fldChar w:fldCharType="end"/>
          </w:r>
          <w:r>
            <w:rPr>
              <w:rFonts w:ascii="宋体" w:hAnsi="宋体" w:cs="宋体"/>
              <w:color w:val="auto"/>
              <w:sz w:val="24"/>
              <w:szCs w:val="32"/>
              <w:highlight w:val="none"/>
            </w:rPr>
            <w:fldChar w:fldCharType="end"/>
          </w:r>
        </w:p>
        <w:p>
          <w:pPr>
            <w:pStyle w:val="17"/>
            <w:tabs>
              <w:tab w:val="right" w:leader="dot" w:pos="9072"/>
            </w:tabs>
            <w:spacing w:line="360" w:lineRule="auto"/>
            <w:ind w:left="0" w:leftChars="0" w:firstLine="0" w:firstLineChars="0"/>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_Toc20291 </w:instrText>
          </w:r>
          <w:r>
            <w:rPr>
              <w:rFonts w:ascii="宋体" w:hAnsi="宋体" w:cs="宋体"/>
              <w:sz w:val="24"/>
              <w:szCs w:val="32"/>
              <w:highlight w:val="none"/>
            </w:rPr>
            <w:fldChar w:fldCharType="separate"/>
          </w:r>
          <w:r>
            <w:rPr>
              <w:rFonts w:hint="eastAsia"/>
              <w:bCs w:val="0"/>
              <w:sz w:val="24"/>
              <w:szCs w:val="32"/>
              <w:highlight w:val="none"/>
            </w:rPr>
            <w:t>第四章 资格审查与评标</w:t>
          </w:r>
          <w:r>
            <w:rPr>
              <w:bCs w:val="0"/>
              <w:sz w:val="24"/>
              <w:szCs w:val="32"/>
              <w:highlight w:val="none"/>
            </w:rPr>
            <w:t> </w:t>
          </w:r>
          <w:r>
            <w:rPr>
              <w:sz w:val="24"/>
              <w:szCs w:val="32"/>
            </w:rPr>
            <w:tab/>
          </w:r>
          <w:r>
            <w:rPr>
              <w:sz w:val="24"/>
              <w:szCs w:val="32"/>
            </w:rPr>
            <w:fldChar w:fldCharType="begin"/>
          </w:r>
          <w:r>
            <w:rPr>
              <w:sz w:val="24"/>
              <w:szCs w:val="32"/>
            </w:rPr>
            <w:instrText xml:space="preserve"> PAGEREF _Toc20291 \h </w:instrText>
          </w:r>
          <w:r>
            <w:rPr>
              <w:sz w:val="24"/>
              <w:szCs w:val="32"/>
            </w:rPr>
            <w:fldChar w:fldCharType="separate"/>
          </w:r>
          <w:r>
            <w:rPr>
              <w:sz w:val="24"/>
              <w:szCs w:val="32"/>
            </w:rPr>
            <w:t>20</w:t>
          </w:r>
          <w:r>
            <w:rPr>
              <w:sz w:val="24"/>
              <w:szCs w:val="32"/>
            </w:rPr>
            <w:fldChar w:fldCharType="end"/>
          </w:r>
          <w:r>
            <w:rPr>
              <w:rFonts w:ascii="宋体" w:hAnsi="宋体" w:cs="宋体"/>
              <w:color w:val="auto"/>
              <w:sz w:val="24"/>
              <w:szCs w:val="32"/>
              <w:highlight w:val="none"/>
            </w:rPr>
            <w:fldChar w:fldCharType="end"/>
          </w:r>
        </w:p>
        <w:p>
          <w:pPr>
            <w:pStyle w:val="17"/>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_Toc25766 </w:instrText>
          </w:r>
          <w:r>
            <w:rPr>
              <w:rFonts w:ascii="宋体" w:hAnsi="宋体" w:cs="宋体"/>
              <w:sz w:val="24"/>
              <w:szCs w:val="32"/>
              <w:highlight w:val="none"/>
            </w:rPr>
            <w:fldChar w:fldCharType="separate"/>
          </w:r>
          <w:r>
            <w:rPr>
              <w:rFonts w:hint="eastAsia" w:ascii="宋体" w:hAnsi="宋体" w:cs="宋体"/>
              <w:sz w:val="24"/>
              <w:szCs w:val="32"/>
              <w:highlight w:val="none"/>
            </w:rPr>
            <w:t>一、资格审查</w:t>
          </w:r>
          <w:r>
            <w:rPr>
              <w:sz w:val="24"/>
              <w:szCs w:val="32"/>
            </w:rPr>
            <w:tab/>
          </w:r>
          <w:r>
            <w:rPr>
              <w:sz w:val="24"/>
              <w:szCs w:val="32"/>
            </w:rPr>
            <w:fldChar w:fldCharType="begin"/>
          </w:r>
          <w:r>
            <w:rPr>
              <w:sz w:val="24"/>
              <w:szCs w:val="32"/>
            </w:rPr>
            <w:instrText xml:space="preserve"> PAGEREF _Toc25766 \h </w:instrText>
          </w:r>
          <w:r>
            <w:rPr>
              <w:sz w:val="24"/>
              <w:szCs w:val="32"/>
            </w:rPr>
            <w:fldChar w:fldCharType="separate"/>
          </w:r>
          <w:r>
            <w:rPr>
              <w:sz w:val="24"/>
              <w:szCs w:val="32"/>
            </w:rPr>
            <w:t>20</w:t>
          </w:r>
          <w:r>
            <w:rPr>
              <w:sz w:val="24"/>
              <w:szCs w:val="32"/>
            </w:rPr>
            <w:fldChar w:fldCharType="end"/>
          </w:r>
          <w:r>
            <w:rPr>
              <w:rFonts w:ascii="宋体" w:hAnsi="宋体" w:cs="宋体"/>
              <w:color w:val="auto"/>
              <w:sz w:val="24"/>
              <w:szCs w:val="32"/>
              <w:highlight w:val="none"/>
            </w:rPr>
            <w:fldChar w:fldCharType="end"/>
          </w:r>
        </w:p>
        <w:p>
          <w:pPr>
            <w:pStyle w:val="17"/>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_Toc8636 </w:instrText>
          </w:r>
          <w:r>
            <w:rPr>
              <w:rFonts w:ascii="宋体" w:hAnsi="宋体" w:cs="宋体"/>
              <w:sz w:val="24"/>
              <w:szCs w:val="32"/>
              <w:highlight w:val="none"/>
            </w:rPr>
            <w:fldChar w:fldCharType="separate"/>
          </w:r>
          <w:r>
            <w:rPr>
              <w:rFonts w:hint="eastAsia" w:ascii="宋体" w:hAnsi="宋体" w:cs="宋体"/>
              <w:sz w:val="24"/>
              <w:szCs w:val="32"/>
              <w:highlight w:val="none"/>
            </w:rPr>
            <w:t>二、评标</w:t>
          </w:r>
          <w:r>
            <w:rPr>
              <w:sz w:val="24"/>
              <w:szCs w:val="32"/>
            </w:rPr>
            <w:tab/>
          </w:r>
          <w:r>
            <w:rPr>
              <w:sz w:val="24"/>
              <w:szCs w:val="32"/>
            </w:rPr>
            <w:fldChar w:fldCharType="begin"/>
          </w:r>
          <w:r>
            <w:rPr>
              <w:sz w:val="24"/>
              <w:szCs w:val="32"/>
            </w:rPr>
            <w:instrText xml:space="preserve"> PAGEREF _Toc8636 \h </w:instrText>
          </w:r>
          <w:r>
            <w:rPr>
              <w:sz w:val="24"/>
              <w:szCs w:val="32"/>
            </w:rPr>
            <w:fldChar w:fldCharType="separate"/>
          </w:r>
          <w:r>
            <w:rPr>
              <w:sz w:val="24"/>
              <w:szCs w:val="32"/>
            </w:rPr>
            <w:t>22</w:t>
          </w:r>
          <w:r>
            <w:rPr>
              <w:sz w:val="24"/>
              <w:szCs w:val="32"/>
            </w:rPr>
            <w:fldChar w:fldCharType="end"/>
          </w:r>
          <w:r>
            <w:rPr>
              <w:rFonts w:ascii="宋体" w:hAnsi="宋体" w:cs="宋体"/>
              <w:color w:val="auto"/>
              <w:sz w:val="24"/>
              <w:szCs w:val="32"/>
              <w:highlight w:val="none"/>
            </w:rPr>
            <w:fldChar w:fldCharType="end"/>
          </w:r>
        </w:p>
        <w:p>
          <w:pPr>
            <w:pStyle w:val="16"/>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_Toc32042 </w:instrText>
          </w:r>
          <w:r>
            <w:rPr>
              <w:rFonts w:ascii="宋体" w:hAnsi="宋体" w:cs="宋体"/>
              <w:sz w:val="24"/>
              <w:szCs w:val="32"/>
              <w:highlight w:val="none"/>
            </w:rPr>
            <w:fldChar w:fldCharType="separate"/>
          </w:r>
          <w:r>
            <w:rPr>
              <w:rFonts w:hint="eastAsia"/>
              <w:sz w:val="24"/>
              <w:szCs w:val="32"/>
              <w:highlight w:val="none"/>
            </w:rPr>
            <w:t>第五章</w:t>
          </w:r>
          <w:r>
            <w:rPr>
              <w:sz w:val="24"/>
              <w:szCs w:val="32"/>
              <w:highlight w:val="none"/>
            </w:rPr>
            <w:t>   </w:t>
          </w:r>
          <w:r>
            <w:rPr>
              <w:rFonts w:hint="eastAsia"/>
              <w:sz w:val="24"/>
              <w:szCs w:val="32"/>
              <w:highlight w:val="none"/>
            </w:rPr>
            <w:t>招标内容及要求</w:t>
          </w:r>
          <w:r>
            <w:rPr>
              <w:sz w:val="24"/>
              <w:szCs w:val="32"/>
            </w:rPr>
            <w:tab/>
          </w:r>
          <w:r>
            <w:rPr>
              <w:sz w:val="24"/>
              <w:szCs w:val="32"/>
            </w:rPr>
            <w:fldChar w:fldCharType="begin"/>
          </w:r>
          <w:r>
            <w:rPr>
              <w:sz w:val="24"/>
              <w:szCs w:val="32"/>
            </w:rPr>
            <w:instrText xml:space="preserve"> PAGEREF _Toc32042 \h </w:instrText>
          </w:r>
          <w:r>
            <w:rPr>
              <w:sz w:val="24"/>
              <w:szCs w:val="32"/>
            </w:rPr>
            <w:fldChar w:fldCharType="separate"/>
          </w:r>
          <w:r>
            <w:rPr>
              <w:sz w:val="24"/>
              <w:szCs w:val="32"/>
            </w:rPr>
            <w:t>32</w:t>
          </w:r>
          <w:r>
            <w:rPr>
              <w:sz w:val="24"/>
              <w:szCs w:val="32"/>
            </w:rPr>
            <w:fldChar w:fldCharType="end"/>
          </w:r>
          <w:r>
            <w:rPr>
              <w:rFonts w:ascii="宋体" w:hAnsi="宋体" w:cs="宋体"/>
              <w:color w:val="auto"/>
              <w:sz w:val="24"/>
              <w:szCs w:val="32"/>
              <w:highlight w:val="none"/>
            </w:rPr>
            <w:fldChar w:fldCharType="end"/>
          </w:r>
        </w:p>
        <w:p>
          <w:pPr>
            <w:pStyle w:val="16"/>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_Toc3458 </w:instrText>
          </w:r>
          <w:r>
            <w:rPr>
              <w:rFonts w:ascii="宋体" w:hAnsi="宋体" w:cs="宋体"/>
              <w:sz w:val="24"/>
              <w:szCs w:val="32"/>
              <w:highlight w:val="none"/>
            </w:rPr>
            <w:fldChar w:fldCharType="separate"/>
          </w:r>
          <w:r>
            <w:rPr>
              <w:rFonts w:hint="eastAsia"/>
              <w:sz w:val="24"/>
              <w:szCs w:val="32"/>
              <w:highlight w:val="none"/>
            </w:rPr>
            <w:t>第六章 采购合同（参考文本）</w:t>
          </w:r>
          <w:r>
            <w:rPr>
              <w:sz w:val="24"/>
              <w:szCs w:val="32"/>
            </w:rPr>
            <w:tab/>
          </w:r>
          <w:r>
            <w:rPr>
              <w:sz w:val="24"/>
              <w:szCs w:val="32"/>
            </w:rPr>
            <w:fldChar w:fldCharType="begin"/>
          </w:r>
          <w:r>
            <w:rPr>
              <w:sz w:val="24"/>
              <w:szCs w:val="32"/>
            </w:rPr>
            <w:instrText xml:space="preserve"> PAGEREF _Toc3458 \h </w:instrText>
          </w:r>
          <w:r>
            <w:rPr>
              <w:sz w:val="24"/>
              <w:szCs w:val="32"/>
            </w:rPr>
            <w:fldChar w:fldCharType="separate"/>
          </w:r>
          <w:r>
            <w:rPr>
              <w:sz w:val="24"/>
              <w:szCs w:val="32"/>
            </w:rPr>
            <w:t>36</w:t>
          </w:r>
          <w:r>
            <w:rPr>
              <w:sz w:val="24"/>
              <w:szCs w:val="32"/>
            </w:rPr>
            <w:fldChar w:fldCharType="end"/>
          </w:r>
          <w:r>
            <w:rPr>
              <w:rFonts w:ascii="宋体" w:hAnsi="宋体" w:cs="宋体"/>
              <w:color w:val="auto"/>
              <w:sz w:val="24"/>
              <w:szCs w:val="32"/>
              <w:highlight w:val="none"/>
            </w:rPr>
            <w:fldChar w:fldCharType="end"/>
          </w:r>
        </w:p>
        <w:p>
          <w:pPr>
            <w:pStyle w:val="16"/>
            <w:tabs>
              <w:tab w:val="right" w:leader="dot" w:pos="9072"/>
            </w:tabs>
            <w:spacing w:line="360" w:lineRule="auto"/>
            <w:rPr>
              <w:sz w:val="24"/>
              <w:szCs w:val="32"/>
            </w:rPr>
          </w:pPr>
          <w:r>
            <w:rPr>
              <w:rFonts w:ascii="宋体" w:hAnsi="宋体" w:cs="宋体"/>
              <w:color w:val="auto"/>
              <w:sz w:val="24"/>
              <w:szCs w:val="32"/>
              <w:highlight w:val="none"/>
            </w:rPr>
            <w:fldChar w:fldCharType="begin"/>
          </w:r>
          <w:r>
            <w:rPr>
              <w:rFonts w:ascii="宋体" w:hAnsi="宋体" w:cs="宋体"/>
              <w:sz w:val="24"/>
              <w:szCs w:val="32"/>
              <w:highlight w:val="none"/>
            </w:rPr>
            <w:instrText xml:space="preserve"> HYPERLINK \l _Toc1418 </w:instrText>
          </w:r>
          <w:r>
            <w:rPr>
              <w:rFonts w:ascii="宋体" w:hAnsi="宋体" w:cs="宋体"/>
              <w:sz w:val="24"/>
              <w:szCs w:val="32"/>
              <w:highlight w:val="none"/>
            </w:rPr>
            <w:fldChar w:fldCharType="separate"/>
          </w:r>
          <w:r>
            <w:rPr>
              <w:rFonts w:hint="eastAsia"/>
              <w:sz w:val="24"/>
              <w:szCs w:val="32"/>
              <w:highlight w:val="none"/>
            </w:rPr>
            <w:t>第七章 投标文件格式</w:t>
          </w:r>
          <w:r>
            <w:rPr>
              <w:sz w:val="24"/>
              <w:szCs w:val="32"/>
            </w:rPr>
            <w:tab/>
          </w:r>
          <w:r>
            <w:rPr>
              <w:sz w:val="24"/>
              <w:szCs w:val="32"/>
            </w:rPr>
            <w:fldChar w:fldCharType="begin"/>
          </w:r>
          <w:r>
            <w:rPr>
              <w:sz w:val="24"/>
              <w:szCs w:val="32"/>
            </w:rPr>
            <w:instrText xml:space="preserve"> PAGEREF _Toc1418 \h </w:instrText>
          </w:r>
          <w:r>
            <w:rPr>
              <w:sz w:val="24"/>
              <w:szCs w:val="32"/>
            </w:rPr>
            <w:fldChar w:fldCharType="separate"/>
          </w:r>
          <w:r>
            <w:rPr>
              <w:sz w:val="24"/>
              <w:szCs w:val="32"/>
            </w:rPr>
            <w:t>40</w:t>
          </w:r>
          <w:r>
            <w:rPr>
              <w:sz w:val="24"/>
              <w:szCs w:val="32"/>
            </w:rPr>
            <w:fldChar w:fldCharType="end"/>
          </w:r>
          <w:r>
            <w:rPr>
              <w:rFonts w:ascii="宋体" w:hAnsi="宋体" w:cs="宋体"/>
              <w:color w:val="auto"/>
              <w:sz w:val="24"/>
              <w:szCs w:val="32"/>
              <w:highlight w:val="none"/>
            </w:rPr>
            <w:fldChar w:fldCharType="end"/>
          </w:r>
        </w:p>
        <w:p>
          <w:pPr>
            <w:pStyle w:val="19"/>
            <w:widowControl/>
            <w:spacing w:before="0" w:beforeAutospacing="0" w:after="0" w:afterAutospacing="0" w:line="360" w:lineRule="auto"/>
            <w:jc w:val="center"/>
            <w:rPr>
              <w:rStyle w:val="27"/>
              <w:rFonts w:ascii="宋体" w:hAnsi="宋体" w:cs="宋体"/>
              <w:color w:val="auto"/>
              <w:sz w:val="31"/>
              <w:szCs w:val="31"/>
              <w:highlight w:val="none"/>
            </w:rPr>
          </w:pPr>
          <w:r>
            <w:rPr>
              <w:rFonts w:ascii="宋体" w:hAnsi="宋体" w:cs="宋体"/>
              <w:color w:val="auto"/>
              <w:sz w:val="32"/>
              <w:szCs w:val="32"/>
              <w:highlight w:val="none"/>
            </w:rPr>
            <w:fldChar w:fldCharType="end"/>
          </w:r>
        </w:p>
      </w:sdtContent>
    </w:sdt>
    <w:p>
      <w:pPr>
        <w:pStyle w:val="19"/>
        <w:widowControl/>
        <w:spacing w:before="75" w:beforeAutospacing="0" w:after="75" w:afterAutospacing="0"/>
        <w:jc w:val="center"/>
        <w:rPr>
          <w:rStyle w:val="27"/>
          <w:rFonts w:ascii="宋体" w:hAnsi="宋体" w:cs="宋体"/>
          <w:color w:val="auto"/>
          <w:sz w:val="31"/>
          <w:szCs w:val="31"/>
          <w:highlight w:val="none"/>
        </w:rPr>
      </w:pPr>
    </w:p>
    <w:p>
      <w:pPr>
        <w:pStyle w:val="19"/>
        <w:widowControl/>
        <w:spacing w:before="75" w:beforeAutospacing="0" w:after="75" w:afterAutospacing="0"/>
        <w:jc w:val="both"/>
        <w:rPr>
          <w:rStyle w:val="27"/>
          <w:rFonts w:ascii="宋体" w:hAnsi="宋体" w:cs="宋体"/>
          <w:color w:val="auto"/>
          <w:sz w:val="31"/>
          <w:szCs w:val="31"/>
          <w:highlight w:val="none"/>
        </w:rPr>
      </w:pPr>
    </w:p>
    <w:p>
      <w:pPr>
        <w:rPr>
          <w:rStyle w:val="27"/>
          <w:rFonts w:ascii="宋体" w:hAnsi="宋体" w:cs="宋体"/>
          <w:b w:val="0"/>
          <w:color w:val="auto"/>
          <w:sz w:val="31"/>
          <w:szCs w:val="31"/>
          <w:highlight w:val="none"/>
        </w:rPr>
      </w:pPr>
      <w:bookmarkStart w:id="0" w:name="_Toc51057746"/>
      <w:r>
        <w:rPr>
          <w:rStyle w:val="27"/>
          <w:rFonts w:hint="eastAsia" w:ascii="宋体" w:hAnsi="宋体" w:cs="宋体"/>
          <w:b w:val="0"/>
          <w:color w:val="auto"/>
          <w:sz w:val="31"/>
          <w:szCs w:val="31"/>
          <w:highlight w:val="none"/>
        </w:rPr>
        <w:br w:type="page"/>
      </w:r>
    </w:p>
    <w:p>
      <w:pPr>
        <w:pStyle w:val="2"/>
        <w:jc w:val="center"/>
        <w:rPr>
          <w:color w:val="auto"/>
          <w:highlight w:val="none"/>
        </w:rPr>
      </w:pPr>
      <w:bookmarkStart w:id="1" w:name="_Toc12458"/>
      <w:r>
        <w:rPr>
          <w:rFonts w:hint="eastAsia"/>
          <w:color w:val="auto"/>
          <w:highlight w:val="none"/>
        </w:rPr>
        <w:t>第一章</w:t>
      </w:r>
      <w:r>
        <w:rPr>
          <w:color w:val="auto"/>
          <w:highlight w:val="none"/>
        </w:rPr>
        <w:t>   </w:t>
      </w:r>
      <w:r>
        <w:rPr>
          <w:rFonts w:hint="eastAsia"/>
          <w:color w:val="auto"/>
          <w:highlight w:val="none"/>
        </w:rPr>
        <w:t>投标邀请</w:t>
      </w:r>
      <w:bookmarkEnd w:id="0"/>
      <w:bookmarkEnd w:id="1"/>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u w:val="single"/>
        </w:rPr>
        <w:t>福建榕卫招标有限公司</w:t>
      </w:r>
      <w:r>
        <w:rPr>
          <w:rFonts w:hint="eastAsia" w:ascii="宋体" w:hAnsi="宋体" w:cs="宋体"/>
          <w:color w:val="auto"/>
          <w:highlight w:val="none"/>
        </w:rPr>
        <w:t>采用</w:t>
      </w:r>
      <w:r>
        <w:rPr>
          <w:rFonts w:hint="eastAsia" w:ascii="宋体" w:hAnsi="宋体" w:cs="宋体"/>
          <w:color w:val="auto"/>
          <w:highlight w:val="none"/>
          <w:u w:val="single"/>
        </w:rPr>
        <w:t>公开招标方式</w:t>
      </w:r>
      <w:r>
        <w:rPr>
          <w:rFonts w:hint="eastAsia" w:ascii="宋体" w:hAnsi="宋体" w:cs="宋体"/>
          <w:color w:val="auto"/>
          <w:highlight w:val="none"/>
        </w:rPr>
        <w:t>组织</w:t>
      </w:r>
      <w:r>
        <w:rPr>
          <w:rFonts w:hint="eastAsia" w:ascii="宋体" w:hAnsi="宋体" w:cs="宋体"/>
          <w:color w:val="auto"/>
          <w:highlight w:val="none"/>
          <w:u w:val="single"/>
          <w:lang w:eastAsia="zh-CN"/>
        </w:rPr>
        <w:t>福建省立医院工会委员会2024年工会会员法定节假日慰问品采购项目</w:t>
      </w:r>
      <w:r>
        <w:rPr>
          <w:rFonts w:hint="eastAsia" w:ascii="宋体" w:hAnsi="宋体" w:cs="宋体"/>
          <w:color w:val="auto"/>
          <w:highlight w:val="none"/>
        </w:rPr>
        <w:t>（以下简称：“本项目”）的采购活动，现邀请供应商参加投标。</w:t>
      </w:r>
    </w:p>
    <w:p>
      <w:pPr>
        <w:pStyle w:val="19"/>
        <w:widowControl/>
        <w:spacing w:before="75" w:beforeAutospacing="0" w:after="75" w:afterAutospacing="0"/>
        <w:ind w:firstLine="480"/>
        <w:rPr>
          <w:rFonts w:hint="eastAsia" w:eastAsia="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RWZB-2023-309</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2、预算金额、最高限价：详见《采购标的一览表》。</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3、招标内容及要求：详见《采购标的一览表》及招标文件第五章。</w:t>
      </w:r>
    </w:p>
    <w:p>
      <w:pPr>
        <w:pStyle w:val="19"/>
        <w:widowControl/>
        <w:spacing w:before="75" w:beforeAutospacing="0" w:after="75" w:afterAutospacing="0"/>
        <w:ind w:firstLine="480"/>
        <w:jc w:val="both"/>
        <w:rPr>
          <w:color w:val="auto"/>
          <w:highlight w:val="none"/>
        </w:rPr>
      </w:pPr>
      <w:r>
        <w:rPr>
          <w:rFonts w:hint="eastAsia" w:ascii="宋体" w:hAnsi="宋体" w:cs="宋体"/>
          <w:color w:val="auto"/>
          <w:highlight w:val="none"/>
        </w:rPr>
        <w:t>4、需要落实的政府采购政策：</w:t>
      </w:r>
      <w:r>
        <w:rPr>
          <w:rFonts w:hint="eastAsia" w:ascii="宋体" w:hAnsi="宋体" w:cs="宋体"/>
          <w:color w:val="auto"/>
          <w:highlight w:val="none"/>
          <w:lang w:val="en-US" w:eastAsia="zh-CN"/>
        </w:rPr>
        <w:t>无</w:t>
      </w:r>
      <w:r>
        <w:rPr>
          <w:rFonts w:hint="eastAsia" w:ascii="宋体" w:hAnsi="宋体" w:cs="宋体"/>
          <w:color w:val="auto"/>
          <w:highlight w:val="none"/>
        </w:rPr>
        <w:t>。</w:t>
      </w:r>
    </w:p>
    <w:p>
      <w:pPr>
        <w:pStyle w:val="19"/>
        <w:widowControl/>
        <w:spacing w:before="75" w:beforeAutospacing="0" w:after="75" w:afterAutospacing="0"/>
        <w:ind w:firstLine="480" w:firstLineChars="200"/>
        <w:rPr>
          <w:color w:val="auto"/>
          <w:highlight w:val="none"/>
        </w:rPr>
      </w:pPr>
      <w:r>
        <w:rPr>
          <w:rFonts w:hint="eastAsia" w:ascii="宋体" w:hAnsi="宋体" w:cs="宋体"/>
          <w:color w:val="auto"/>
          <w:highlight w:val="none"/>
        </w:rPr>
        <w:t>5、投标人的资格要求</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5.1法定条件：符合政府采购法第二十二条第一款规定的条件。</w:t>
      </w:r>
    </w:p>
    <w:p>
      <w:pPr>
        <w:pStyle w:val="19"/>
        <w:widowControl/>
        <w:spacing w:before="75" w:beforeAutospacing="0" w:after="75" w:afterAutospacing="0"/>
        <w:ind w:firstLine="480" w:firstLineChars="200"/>
        <w:rPr>
          <w:rFonts w:ascii="宋体" w:hAnsi="宋体" w:cs="宋体"/>
          <w:color w:val="auto"/>
          <w:highlight w:val="none"/>
        </w:rPr>
      </w:pPr>
      <w:r>
        <w:rPr>
          <w:rFonts w:hint="eastAsia" w:ascii="宋体" w:hAnsi="宋体" w:cs="宋体"/>
          <w:color w:val="auto"/>
          <w:highlight w:val="none"/>
        </w:rPr>
        <w:t>5.2特定条件：</w:t>
      </w:r>
    </w:p>
    <w:p>
      <w:pPr>
        <w:pStyle w:val="19"/>
        <w:widowControl/>
        <w:spacing w:before="75" w:beforeAutospacing="0" w:after="75" w:afterAutospacing="0"/>
        <w:ind w:left="399" w:leftChars="190"/>
        <w:rPr>
          <w:rStyle w:val="27"/>
          <w:rFonts w:hint="eastAsia" w:ascii="宋体" w:hAnsi="宋体" w:cs="宋体"/>
          <w:color w:val="auto"/>
          <w:highlight w:val="none"/>
          <w:lang w:val="en-US" w:eastAsia="zh-CN"/>
        </w:rPr>
      </w:pPr>
      <w:r>
        <w:rPr>
          <w:rStyle w:val="27"/>
          <w:rFonts w:hint="eastAsia" w:ascii="宋体" w:hAnsi="宋体" w:cs="宋体"/>
          <w:color w:val="auto"/>
          <w:highlight w:val="none"/>
        </w:rPr>
        <w:t>包：1</w:t>
      </w:r>
      <w:r>
        <w:rPr>
          <w:rStyle w:val="27"/>
          <w:rFonts w:hint="eastAsia" w:ascii="宋体" w:hAnsi="宋体" w:cs="宋体"/>
          <w:color w:val="auto"/>
          <w:highlight w:val="none"/>
          <w:lang w:val="en-US" w:eastAsia="zh-CN"/>
        </w:rPr>
        <w:t xml:space="preserve"> </w:t>
      </w:r>
    </w:p>
    <w:tbl>
      <w:tblPr>
        <w:tblStyle w:val="25"/>
        <w:tblW w:w="4506" w:type="pct"/>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pPr>
              <w:widowControl/>
              <w:jc w:val="left"/>
              <w:rPr>
                <w:rFonts w:hint="default"/>
                <w:b w:val="0"/>
                <w:bCs w:val="0"/>
                <w:color w:val="auto"/>
                <w:vertAlign w:val="baseline"/>
                <w:lang w:val="en-US" w:eastAsia="zh-CN"/>
              </w:rPr>
            </w:pPr>
            <w:r>
              <w:rPr>
                <w:rFonts w:hint="eastAsia" w:ascii="宋体" w:hAnsi="宋体" w:cs="宋体"/>
                <w:b w:val="0"/>
                <w:bCs w:val="0"/>
                <w:color w:val="auto"/>
                <w:kern w:val="0"/>
                <w:sz w:val="24"/>
                <w:szCs w:val="24"/>
                <w:lang w:val="en-US" w:eastAsia="zh-CN" w:bidi="ar"/>
              </w:rPr>
              <w:t>特定资格</w:t>
            </w:r>
          </w:p>
        </w:tc>
        <w:tc>
          <w:tcPr>
            <w:tcW w:w="6452" w:type="dxa"/>
            <w:vAlign w:val="center"/>
          </w:tcPr>
          <w:p>
            <w:pPr>
              <w:widowControl/>
              <w:jc w:val="left"/>
              <w:rPr>
                <w:rFonts w:hint="eastAsia"/>
                <w:b w:val="0"/>
                <w:bCs w:val="0"/>
                <w:color w:val="auto"/>
                <w:vertAlign w:val="baseline"/>
                <w:lang w:val="en-US" w:eastAsia="zh-CN"/>
              </w:rPr>
            </w:pPr>
            <w:r>
              <w:rPr>
                <w:rFonts w:hint="default" w:ascii="宋体" w:hAnsi="宋体" w:eastAsia="宋体" w:cs="宋体"/>
                <w:b w:val="0"/>
                <w:bCs w:val="0"/>
                <w:color w:val="auto"/>
                <w:kern w:val="0"/>
                <w:sz w:val="24"/>
                <w:szCs w:val="24"/>
                <w:highlight w:val="none"/>
                <w:lang w:val="en-US" w:eastAsia="zh-CN" w:bidi="ar"/>
              </w:rPr>
              <w:t>投标人须具备有效的</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食品生产许可证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或</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食品经营许可证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或</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食品流通许可证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，须提供有效证书复印件。</w:t>
            </w:r>
          </w:p>
        </w:tc>
      </w:tr>
    </w:tbl>
    <w:p>
      <w:pPr>
        <w:pStyle w:val="19"/>
        <w:widowControl/>
        <w:spacing w:before="75" w:beforeAutospacing="0" w:after="75" w:afterAutospacing="0"/>
        <w:ind w:firstLine="480" w:firstLineChars="200"/>
        <w:rPr>
          <w:color w:val="auto"/>
          <w:highlight w:val="none"/>
        </w:rPr>
      </w:pPr>
      <w:r>
        <w:rPr>
          <w:rFonts w:hint="eastAsia" w:ascii="宋体" w:hAnsi="宋体" w:cs="宋体"/>
          <w:color w:val="auto"/>
          <w:highlight w:val="none"/>
        </w:rPr>
        <w:t>5.3是否接受联合体投标：不接受。</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※根据上述资格要求，投标文件中应提交的“投标人的资格及资信证明文件”详见招标文件第四章。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6、报名</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6.1报名期限：</w:t>
      </w:r>
      <w:r>
        <w:rPr>
          <w:rFonts w:hint="eastAsia" w:ascii="宋体" w:hAnsi="宋体" w:cs="宋体"/>
          <w:color w:val="auto"/>
          <w:highlight w:val="none"/>
          <w:shd w:val="clear" w:color="FFFFFF" w:fill="D9D9D9"/>
        </w:rPr>
        <w:t>2023年</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月</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日至2023年</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月</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日</w:t>
      </w:r>
      <w:r>
        <w:rPr>
          <w:rFonts w:hint="eastAsia" w:ascii="宋体" w:hAnsi="宋体" w:cs="宋体"/>
          <w:color w:val="auto"/>
          <w:highlight w:val="none"/>
        </w:rPr>
        <w:t>，每天8：30-11：30，14：30-17：30（公休日、节假日除外）。</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6.2报名期限内，供应商应在规定时间内通过招标文件规定的方式对本项目进行报名，否则</w:t>
      </w:r>
      <w:r>
        <w:rPr>
          <w:rStyle w:val="27"/>
          <w:rFonts w:hint="eastAsia" w:ascii="宋体" w:hAnsi="宋体" w:cs="宋体"/>
          <w:color w:val="auto"/>
          <w:highlight w:val="none"/>
        </w:rPr>
        <w:t>投标将被拒绝。</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7、招标文件的获取</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7.1招标文件获取期限：</w:t>
      </w:r>
      <w:r>
        <w:rPr>
          <w:rFonts w:hint="eastAsia" w:ascii="宋体" w:hAnsi="宋体" w:cs="宋体"/>
          <w:color w:val="auto"/>
          <w:highlight w:val="none"/>
          <w:shd w:val="clear" w:color="FFFFFF" w:fill="D9D9D9"/>
        </w:rPr>
        <w:t>2023年</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月</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日至2023年</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月</w:t>
      </w:r>
      <w:r>
        <w:rPr>
          <w:rFonts w:hint="eastAsia" w:ascii="宋体" w:hAnsi="宋体" w:cs="宋体"/>
          <w:color w:val="auto"/>
          <w:highlight w:val="none"/>
          <w:shd w:val="clear" w:color="FFFFFF" w:fill="D9D9D9"/>
          <w:lang w:val="en-US" w:eastAsia="zh-CN"/>
        </w:rPr>
        <w:t xml:space="preserve">  </w:t>
      </w:r>
      <w:r>
        <w:rPr>
          <w:rFonts w:hint="eastAsia" w:ascii="宋体" w:hAnsi="宋体" w:cs="宋体"/>
          <w:color w:val="auto"/>
          <w:highlight w:val="none"/>
          <w:shd w:val="clear" w:color="FFFFFF" w:fill="D9D9D9"/>
        </w:rPr>
        <w:t>日</w:t>
      </w:r>
      <w:r>
        <w:rPr>
          <w:rFonts w:hint="eastAsia" w:ascii="宋体" w:hAnsi="宋体" w:cs="宋体"/>
          <w:color w:val="auto"/>
          <w:highlight w:val="none"/>
        </w:rPr>
        <w:t>，每天8：30-11：30，14：30-17：30（公休日、节假日除外）。</w:t>
      </w:r>
    </w:p>
    <w:p>
      <w:pPr>
        <w:pStyle w:val="19"/>
        <w:widowControl/>
        <w:spacing w:before="75" w:beforeAutospacing="0" w:after="75" w:afterAutospacing="0"/>
        <w:ind w:firstLine="480"/>
        <w:jc w:val="both"/>
        <w:rPr>
          <w:rFonts w:ascii="宋体" w:hAnsi="宋体" w:cs="宋体"/>
          <w:b/>
          <w:bCs/>
          <w:color w:val="auto"/>
          <w:highlight w:val="none"/>
        </w:rPr>
      </w:pPr>
      <w:r>
        <w:rPr>
          <w:rFonts w:hint="eastAsia" w:ascii="宋体" w:hAnsi="宋体" w:cs="宋体"/>
          <w:b/>
          <w:bCs/>
          <w:color w:val="auto"/>
          <w:highlight w:val="none"/>
        </w:rPr>
        <w:t>7.2获取地点及方式：</w:t>
      </w:r>
      <w:r>
        <w:rPr>
          <w:rFonts w:hint="eastAsia" w:ascii="宋体" w:hAnsi="宋体" w:cs="宋体"/>
          <w:b/>
          <w:color w:val="auto"/>
          <w:highlight w:val="none"/>
        </w:rPr>
        <w:t>福建榕卫招标有限公司（地址：福州市鼓楼区洪山园路52号华润万象城（三期）S11#楼6层）</w:t>
      </w:r>
      <w:bookmarkStart w:id="2" w:name="_Toc484764584"/>
      <w:r>
        <w:rPr>
          <w:rFonts w:hint="eastAsia" w:ascii="宋体" w:hAnsi="宋体" w:cs="宋体"/>
          <w:b/>
          <w:color w:val="auto"/>
          <w:highlight w:val="none"/>
        </w:rPr>
        <w:t>；</w:t>
      </w:r>
      <w:r>
        <w:rPr>
          <w:rFonts w:hint="eastAsia" w:ascii="宋体" w:hAnsi="宋体" w:cs="宋体"/>
          <w:bCs/>
          <w:color w:val="auto"/>
          <w:highlight w:val="none"/>
        </w:rPr>
        <w:t>供应商直接至我司购买招标文件的，须填写《购买招标文件登记单》；通过邮件购买招标文件的，须按照本项目政府采购网上发布的招标公告提供的开户名、开户行、银行账号，电汇或转账相应的金额到本公司账户，同时将电汇或转账底单及贵公司相关信息（含公司名称、公司电话、联系人、手机、传真、电子邮箱、公司地址、参与投标的项目名称、采购包号及招标文件编号）填写清楚以电子邮件形式发送给招标公司电子信箱（fjrwzb@163.com），</w:t>
      </w:r>
      <w:r>
        <w:rPr>
          <w:rFonts w:hint="eastAsia" w:ascii="宋体" w:hAnsi="宋体" w:cs="宋体"/>
          <w:b/>
          <w:color w:val="auto"/>
          <w:highlight w:val="none"/>
        </w:rPr>
        <w:t>并打电话与项目经办人确认报名成功与否。</w:t>
      </w:r>
      <w:r>
        <w:rPr>
          <w:rFonts w:hint="eastAsia" w:ascii="宋体" w:hAnsi="宋体" w:cs="宋体"/>
          <w:color w:val="auto"/>
          <w:highlight w:val="none"/>
        </w:rPr>
        <w:t>潜在投标人需办理报名手续，且购买招标文件时的单位名称应与投标时的单位名称一致，</w:t>
      </w:r>
      <w:r>
        <w:rPr>
          <w:rFonts w:hint="eastAsia" w:ascii="宋体" w:hAnsi="宋体" w:cs="宋体"/>
          <w:b/>
          <w:bCs/>
          <w:color w:val="auto"/>
          <w:highlight w:val="none"/>
        </w:rPr>
        <w:t>本招标公司不接受未办理报名手续的潜在投标人参与投标与质疑。</w:t>
      </w:r>
    </w:p>
    <w:bookmarkEnd w:id="2"/>
    <w:p>
      <w:pPr>
        <w:pStyle w:val="19"/>
        <w:widowControl/>
        <w:spacing w:before="75" w:beforeAutospacing="0" w:after="75" w:afterAutospacing="0"/>
        <w:ind w:firstLine="480"/>
        <w:jc w:val="both"/>
        <w:rPr>
          <w:b/>
          <w:bCs/>
          <w:color w:val="auto"/>
          <w:highlight w:val="none"/>
        </w:rPr>
      </w:pPr>
      <w:r>
        <w:rPr>
          <w:rFonts w:hint="eastAsia" w:ascii="宋体" w:hAnsi="宋体" w:cs="宋体"/>
          <w:color w:val="auto"/>
          <w:highlight w:val="none"/>
        </w:rPr>
        <w:t>7.3、招标文件售价：纸质或电子招标文件售</w:t>
      </w:r>
      <w:r>
        <w:rPr>
          <w:rFonts w:hint="eastAsia" w:ascii="宋体" w:hAnsi="宋体"/>
          <w:color w:val="auto"/>
          <w:highlight w:val="none"/>
        </w:rPr>
        <w:t>价</w:t>
      </w:r>
      <w:r>
        <w:rPr>
          <w:rFonts w:hint="eastAsia" w:ascii="宋体" w:hAnsi="宋体"/>
          <w:color w:val="auto"/>
          <w:highlight w:val="none"/>
          <w:lang w:val="en-US" w:eastAsia="zh-CN"/>
        </w:rPr>
        <w:t>100</w:t>
      </w:r>
      <w:r>
        <w:rPr>
          <w:rFonts w:hint="eastAsia" w:ascii="宋体" w:hAnsi="宋体"/>
          <w:color w:val="auto"/>
          <w:highlight w:val="none"/>
        </w:rPr>
        <w:t>元人民</w:t>
      </w:r>
      <w:r>
        <w:rPr>
          <w:rFonts w:hint="eastAsia" w:ascii="宋体" w:hAnsi="宋体" w:cs="宋体"/>
          <w:color w:val="auto"/>
          <w:highlight w:val="none"/>
        </w:rPr>
        <w:t>币，售后不退。如需邮寄，另加50元人民币快递费，</w:t>
      </w:r>
      <w:r>
        <w:rPr>
          <w:rFonts w:hint="eastAsia" w:ascii="宋体" w:hAnsi="宋体"/>
          <w:color w:val="auto"/>
          <w:highlight w:val="none"/>
        </w:rPr>
        <w:t>招标代理公司不对邮寄过程中的遗失负责，纸质招标文件与电子招标文件具有同等法律效力。招标文件售后不退，</w:t>
      </w:r>
      <w:r>
        <w:rPr>
          <w:rFonts w:hint="eastAsia" w:ascii="宋体" w:hAnsi="宋体"/>
          <w:b/>
          <w:bCs/>
          <w:color w:val="auto"/>
          <w:highlight w:val="none"/>
        </w:rPr>
        <w:t>投标人须在报名期限(</w:t>
      </w:r>
      <w:r>
        <w:rPr>
          <w:rFonts w:hint="eastAsia" w:ascii="宋体" w:hAnsi="宋体" w:cs="宋体"/>
          <w:b/>
          <w:bCs/>
          <w:color w:val="auto"/>
          <w:highlight w:val="none"/>
        </w:rPr>
        <w:t>招标文件获取期限)</w:t>
      </w:r>
      <w:r>
        <w:rPr>
          <w:rFonts w:hint="eastAsia" w:ascii="宋体" w:hAnsi="宋体"/>
          <w:b/>
          <w:bCs/>
          <w:color w:val="auto"/>
          <w:highlight w:val="none"/>
        </w:rPr>
        <w:t>内以转</w:t>
      </w:r>
      <w:r>
        <w:rPr>
          <w:rFonts w:hint="eastAsia" w:ascii="宋体" w:hAnsi="宋体"/>
          <w:b/>
          <w:bCs/>
          <w:color w:val="auto"/>
          <w:highlight w:val="none"/>
          <w:lang w:eastAsia="zh-CN"/>
        </w:rPr>
        <w:t>账</w:t>
      </w:r>
      <w:r>
        <w:rPr>
          <w:rFonts w:hint="eastAsia" w:ascii="宋体" w:hAnsi="宋体"/>
          <w:b/>
          <w:bCs/>
          <w:color w:val="auto"/>
          <w:highlight w:val="none"/>
        </w:rPr>
        <w:t>方式或现金方式缴纳购买招标文件的费用并与招标代理机构书面确认，</w:t>
      </w:r>
      <w:r>
        <w:rPr>
          <w:rFonts w:hint="eastAsia" w:ascii="宋体" w:hAnsi="宋体"/>
          <w:color w:val="auto"/>
          <w:highlight w:val="none"/>
        </w:rPr>
        <w:t>未缴费购买招标文件和未经书面报名确认的，均视为未报名投标，</w:t>
      </w:r>
      <w:r>
        <w:rPr>
          <w:rFonts w:hint="eastAsia" w:ascii="宋体" w:hAnsi="宋体"/>
          <w:b/>
          <w:bCs/>
          <w:color w:val="auto"/>
          <w:highlight w:val="none"/>
        </w:rPr>
        <w:t>未报名将导致投标文件被拒收。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8、投标截止</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b/>
          <w:bCs/>
          <w:color w:val="auto"/>
          <w:highlight w:val="none"/>
        </w:rPr>
        <w:t>8.1投标截止时间：</w:t>
      </w:r>
      <w:r>
        <w:rPr>
          <w:rFonts w:hint="eastAsia" w:ascii="宋体" w:hAnsi="宋体" w:cs="宋体"/>
          <w:color w:val="auto"/>
          <w:highlight w:val="none"/>
        </w:rPr>
        <w:t>2023年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（北京时间）</w:t>
      </w:r>
    </w:p>
    <w:p>
      <w:pPr>
        <w:pStyle w:val="19"/>
        <w:widowControl/>
        <w:spacing w:before="75" w:beforeAutospacing="0" w:after="75" w:afterAutospacing="0"/>
        <w:ind w:firstLine="480"/>
        <w:rPr>
          <w:rFonts w:ascii="宋体" w:hAnsi="宋体" w:cs="宋体"/>
          <w:b/>
          <w:bCs/>
          <w:color w:val="auto"/>
          <w:highlight w:val="none"/>
        </w:rPr>
      </w:pPr>
      <w:r>
        <w:rPr>
          <w:rFonts w:hint="eastAsia" w:ascii="宋体" w:hAnsi="宋体" w:cs="宋体"/>
          <w:b/>
          <w:bCs/>
          <w:color w:val="auto"/>
          <w:highlight w:val="none"/>
        </w:rPr>
        <w:t>8.2投标人应在投标截止时间前将密封的纸质投标文件送至招标文件载明的开标地点，否则</w:t>
      </w:r>
      <w:r>
        <w:rPr>
          <w:rStyle w:val="27"/>
          <w:rFonts w:hint="eastAsia" w:ascii="宋体" w:hAnsi="宋体" w:cs="宋体"/>
          <w:bCs/>
          <w:color w:val="auto"/>
          <w:highlight w:val="none"/>
        </w:rPr>
        <w:t>投标将被拒绝。</w:t>
      </w:r>
    </w:p>
    <w:p>
      <w:pPr>
        <w:pStyle w:val="19"/>
        <w:widowControl/>
        <w:spacing w:before="75" w:beforeAutospacing="0" w:after="75" w:afterAutospacing="0"/>
        <w:ind w:firstLine="480"/>
        <w:rPr>
          <w:b/>
          <w:bCs/>
          <w:color w:val="auto"/>
          <w:highlight w:val="none"/>
        </w:rPr>
      </w:pPr>
      <w:r>
        <w:rPr>
          <w:rFonts w:hint="eastAsia" w:ascii="宋体" w:hAnsi="宋体" w:cs="宋体"/>
          <w:b/>
          <w:bCs/>
          <w:color w:val="auto"/>
          <w:highlight w:val="none"/>
        </w:rPr>
        <w:t>9、开标时间及地点：</w:t>
      </w:r>
      <w:r>
        <w:rPr>
          <w:rFonts w:hint="eastAsia" w:ascii="宋体" w:hAnsi="宋体" w:cs="宋体"/>
          <w:color w:val="auto"/>
          <w:highlight w:val="none"/>
        </w:rPr>
        <w:t>2023年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（北京时间）</w:t>
      </w:r>
      <w:r>
        <w:rPr>
          <w:rFonts w:hint="eastAsia" w:ascii="宋体" w:hAnsi="宋体" w:cs="Arial"/>
          <w:b/>
          <w:bCs/>
          <w:color w:val="auto"/>
          <w:highlight w:val="none"/>
        </w:rPr>
        <w:t>，</w:t>
      </w:r>
      <w:r>
        <w:rPr>
          <w:rFonts w:hint="eastAsia" w:ascii="宋体" w:hAnsi="宋体" w:cs="宋体"/>
          <w:b/>
          <w:bCs/>
          <w:color w:val="auto"/>
          <w:highlight w:val="none"/>
        </w:rPr>
        <w:t>福建榕卫招标有限公司本项目开标厅（地址：</w:t>
      </w:r>
      <w:r>
        <w:rPr>
          <w:rFonts w:hint="eastAsia" w:ascii="宋体" w:hAnsi="宋体"/>
          <w:b/>
          <w:bCs/>
          <w:color w:val="auto"/>
          <w:highlight w:val="none"/>
        </w:rPr>
        <w:t>福州市鼓楼区洪山园路52号华润万象城（三期）S11#楼6层</w:t>
      </w:r>
      <w:r>
        <w:rPr>
          <w:rFonts w:hint="eastAsia" w:ascii="宋体" w:hAnsi="宋体" w:cs="宋体"/>
          <w:b/>
          <w:bCs/>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10、公告期限</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10.1招标公告的公告期限：自发布媒体最先发布公告之日起</w:t>
      </w:r>
      <w:r>
        <w:rPr>
          <w:rFonts w:ascii="Times New Roman" w:hAnsi="Times New Roman"/>
          <w:color w:val="auto"/>
          <w:highlight w:val="none"/>
        </w:rPr>
        <w:t>5</w:t>
      </w:r>
      <w:r>
        <w:rPr>
          <w:rFonts w:hint="eastAsia" w:ascii="宋体" w:hAnsi="宋体" w:cs="宋体"/>
          <w:color w:val="auto"/>
          <w:highlight w:val="none"/>
        </w:rPr>
        <w:t>个工作日。</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11、采购人：</w:t>
      </w:r>
      <w:r>
        <w:rPr>
          <w:rFonts w:hint="eastAsia" w:ascii="宋体" w:hAnsi="宋体" w:cs="宋体"/>
          <w:color w:val="auto"/>
          <w:highlight w:val="none"/>
          <w:lang w:eastAsia="zh-CN"/>
        </w:rPr>
        <w:t>福建省立医院工会委员会</w:t>
      </w:r>
      <w:r>
        <w:rPr>
          <w:rFonts w:hint="eastAsia" w:ascii="宋体" w:hAnsi="宋体" w:cs="宋体"/>
          <w:color w:val="auto"/>
          <w:highlight w:val="none"/>
        </w:rPr>
        <w:t xml:space="preserve">  </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地址：福建省福州市鼓楼区东街134号</w:t>
      </w:r>
    </w:p>
    <w:p>
      <w:pPr>
        <w:pStyle w:val="19"/>
        <w:widowControl/>
        <w:spacing w:before="75" w:beforeAutospacing="0" w:after="75" w:afterAutospacing="0"/>
        <w:ind w:firstLine="480"/>
        <w:rPr>
          <w:rFonts w:hint="default" w:ascii="宋体" w:hAnsi="宋体" w:cs="宋体"/>
          <w:color w:val="auto"/>
          <w:highlight w:val="none"/>
          <w:lang w:val="en-US"/>
        </w:rPr>
      </w:pPr>
      <w:r>
        <w:rPr>
          <w:rFonts w:hint="eastAsia" w:ascii="宋体" w:hAnsi="宋体" w:cs="宋体"/>
          <w:color w:val="auto"/>
          <w:highlight w:val="none"/>
        </w:rPr>
        <w:t>项目联系人：</w:t>
      </w:r>
      <w:r>
        <w:rPr>
          <w:rFonts w:hint="eastAsia" w:ascii="宋体" w:hAnsi="宋体" w:cs="宋体"/>
          <w:color w:val="auto"/>
          <w:highlight w:val="none"/>
          <w:lang w:val="en-US" w:eastAsia="zh-CN"/>
        </w:rPr>
        <w:t>杨女士</w:t>
      </w:r>
    </w:p>
    <w:p>
      <w:pPr>
        <w:pStyle w:val="19"/>
        <w:widowControl/>
        <w:spacing w:before="75" w:beforeAutospacing="0" w:after="75" w:afterAutospacing="0"/>
        <w:ind w:firstLine="480"/>
        <w:rPr>
          <w:rFonts w:hint="default" w:ascii="宋体" w:hAnsi="宋体" w:eastAsia="宋体" w:cs="宋体"/>
          <w:color w:val="auto"/>
          <w:highlight w:val="yellow"/>
          <w:lang w:val="en-US" w:eastAsia="zh-CN"/>
        </w:rPr>
      </w:pPr>
      <w:r>
        <w:rPr>
          <w:rFonts w:hint="eastAsia" w:ascii="宋体" w:hAnsi="宋体" w:cs="宋体"/>
          <w:color w:val="auto"/>
          <w:highlight w:val="none"/>
        </w:rPr>
        <w:t>电  话：</w:t>
      </w:r>
      <w:r>
        <w:rPr>
          <w:rFonts w:hint="eastAsia" w:ascii="宋体" w:hAnsi="宋体" w:cs="宋体"/>
          <w:color w:val="auto"/>
          <w:highlight w:val="none"/>
          <w:lang w:val="en-US" w:eastAsia="zh-CN"/>
        </w:rPr>
        <w:t>0591-88216037</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12、代理机构：福建榕卫招标有限公司</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bCs/>
          <w:color w:val="auto"/>
          <w:highlight w:val="none"/>
        </w:rPr>
        <w:t>福州市鼓楼区洪山园路52号华润万象城（三期）S11#楼6层</w:t>
      </w:r>
      <w:r>
        <w:rPr>
          <w:rFonts w:hint="eastAsia" w:ascii="宋体" w:hAnsi="宋体" w:cs="宋体"/>
          <w:bCs/>
          <w:color w:val="auto"/>
          <w:highlight w:val="none"/>
        </w:rPr>
        <w:t xml:space="preserve">  </w:t>
      </w:r>
    </w:p>
    <w:p>
      <w:pPr>
        <w:pStyle w:val="19"/>
        <w:widowControl/>
        <w:spacing w:before="75" w:beforeAutospacing="0" w:after="75" w:afterAutospacing="0"/>
        <w:ind w:firstLine="360" w:firstLineChars="150"/>
        <w:rPr>
          <w:rFonts w:hint="eastAsia" w:ascii="宋体" w:hAnsi="宋体" w:eastAsia="宋体" w:cs="宋体"/>
          <w:color w:val="auto"/>
          <w:highlight w:val="none"/>
          <w:lang w:eastAsia="zh-CN"/>
        </w:rPr>
      </w:pPr>
      <w:r>
        <w:rPr>
          <w:rFonts w:hint="eastAsia" w:ascii="宋体" w:hAnsi="宋体" w:cs="宋体"/>
          <w:color w:val="auto"/>
          <w:highlight w:val="none"/>
        </w:rPr>
        <w:t xml:space="preserve"> 项目联系人：林晓彤、</w:t>
      </w:r>
      <w:r>
        <w:rPr>
          <w:rFonts w:hint="eastAsia" w:ascii="宋体" w:hAnsi="宋体" w:cs="宋体"/>
          <w:color w:val="auto"/>
          <w:highlight w:val="none"/>
          <w:lang w:val="en-US" w:eastAsia="zh-CN"/>
        </w:rPr>
        <w:t>郑婷婷、</w:t>
      </w:r>
      <w:r>
        <w:rPr>
          <w:rFonts w:hint="eastAsia" w:ascii="宋体" w:hAnsi="宋体" w:cs="宋体"/>
          <w:color w:val="auto"/>
          <w:highlight w:val="none"/>
        </w:rPr>
        <w:t>余燕香</w:t>
      </w:r>
    </w:p>
    <w:p>
      <w:pPr>
        <w:pStyle w:val="19"/>
        <w:widowControl/>
        <w:spacing w:before="75" w:beforeAutospacing="0" w:after="75" w:afterAutospacing="0"/>
        <w:ind w:firstLine="240" w:firstLineChars="100"/>
        <w:rPr>
          <w:rFonts w:hint="eastAsia" w:ascii="宋体" w:hAnsi="宋体" w:eastAsia="宋体" w:cs="宋体"/>
          <w:color w:val="auto"/>
          <w:highlight w:val="none"/>
          <w:lang w:eastAsia="zh-CN"/>
        </w:rPr>
      </w:pPr>
      <w:r>
        <w:rPr>
          <w:rFonts w:hint="eastAsia" w:ascii="宋体" w:hAnsi="宋体" w:cs="宋体"/>
          <w:color w:val="auto"/>
          <w:highlight w:val="none"/>
        </w:rPr>
        <w:t> 联系电话：0591-</w:t>
      </w:r>
      <w:r>
        <w:rPr>
          <w:rFonts w:hint="eastAsia" w:ascii="宋体" w:hAnsi="宋体" w:cs="宋体"/>
          <w:color w:val="auto"/>
          <w:highlight w:val="none"/>
          <w:lang w:eastAsia="zh-CN"/>
        </w:rPr>
        <w:t>87542269</w:t>
      </w:r>
    </w:p>
    <w:p>
      <w:pPr>
        <w:pStyle w:val="19"/>
        <w:widowControl/>
        <w:spacing w:before="75" w:beforeAutospacing="0" w:after="75" w:afterAutospacing="0"/>
        <w:rPr>
          <w:rFonts w:hint="eastAsia" w:ascii="宋体" w:hAnsi="宋体" w:cs="宋体"/>
          <w:color w:val="auto"/>
          <w:highlight w:val="none"/>
        </w:rPr>
      </w:pPr>
    </w:p>
    <w:p>
      <w:pPr>
        <w:pStyle w:val="19"/>
        <w:widowControl/>
        <w:spacing w:before="75" w:beforeAutospacing="0" w:after="75" w:afterAutospacing="0"/>
        <w:rPr>
          <w:rFonts w:hint="eastAsia" w:ascii="宋体" w:hAnsi="宋体" w:cs="宋体"/>
          <w:color w:val="auto"/>
          <w:highlight w:val="none"/>
        </w:rPr>
      </w:pPr>
    </w:p>
    <w:p>
      <w:pPr>
        <w:pStyle w:val="19"/>
        <w:widowControl/>
        <w:spacing w:before="75" w:beforeAutospacing="0" w:after="75" w:afterAutospacing="0"/>
        <w:rPr>
          <w:color w:val="auto"/>
          <w:highlight w:val="none"/>
        </w:rPr>
      </w:pPr>
      <w:r>
        <w:rPr>
          <w:rFonts w:hint="eastAsia" w:ascii="宋体" w:hAnsi="宋体" w:cs="宋体"/>
          <w:color w:val="auto"/>
          <w:highlight w:val="none"/>
        </w:rPr>
        <w:t>附1：账户信息</w:t>
      </w:r>
    </w:p>
    <w:tbl>
      <w:tblPr>
        <w:tblStyle w:val="24"/>
        <w:tblW w:w="8368" w:type="dxa"/>
        <w:jc w:val="center"/>
        <w:tblLayout w:type="fixed"/>
        <w:tblCellMar>
          <w:top w:w="0" w:type="dxa"/>
          <w:left w:w="108" w:type="dxa"/>
          <w:bottom w:w="0" w:type="dxa"/>
          <w:right w:w="108" w:type="dxa"/>
        </w:tblCellMar>
      </w:tblPr>
      <w:tblGrid>
        <w:gridCol w:w="2556"/>
        <w:gridCol w:w="5812"/>
      </w:tblGrid>
      <w:tr>
        <w:tblPrEx>
          <w:tblCellMar>
            <w:top w:w="0" w:type="dxa"/>
            <w:left w:w="108" w:type="dxa"/>
            <w:bottom w:w="0" w:type="dxa"/>
            <w:right w:w="108" w:type="dxa"/>
          </w:tblCellMar>
        </w:tblPrEx>
        <w:trPr>
          <w:trHeight w:val="379" w:hRule="atLeast"/>
          <w:jc w:val="center"/>
        </w:trPr>
        <w:tc>
          <w:tcPr>
            <w:tcW w:w="2556" w:type="dxa"/>
            <w:vMerge w:val="restart"/>
            <w:tcBorders>
              <w:top w:val="single" w:color="auto" w:sz="4" w:space="0"/>
              <w:left w:val="single" w:color="auto" w:sz="4" w:space="0"/>
              <w:right w:val="single" w:color="auto" w:sz="4" w:space="0"/>
            </w:tcBorders>
            <w:vAlign w:val="center"/>
          </w:tcPr>
          <w:p>
            <w:pPr>
              <w:jc w:val="center"/>
              <w:rPr>
                <w:color w:val="auto"/>
                <w:sz w:val="24"/>
                <w:highlight w:val="none"/>
              </w:rPr>
            </w:pPr>
            <w:r>
              <w:rPr>
                <w:color w:val="auto"/>
                <w:sz w:val="24"/>
                <w:highlight w:val="none"/>
              </w:rPr>
              <w:t>投标人</w:t>
            </w:r>
            <w:r>
              <w:rPr>
                <w:color w:val="auto"/>
                <w:sz w:val="24"/>
                <w:highlight w:val="none"/>
                <w:lang w:val="zh-CN"/>
              </w:rPr>
              <w:t>购买标书、投标保证金、中标服务费汇入账户</w:t>
            </w:r>
            <w:r>
              <w:rPr>
                <w:rFonts w:hint="eastAsia"/>
                <w:color w:val="auto"/>
                <w:sz w:val="24"/>
                <w:highlight w:val="none"/>
              </w:rPr>
              <w:t>信息</w:t>
            </w:r>
          </w:p>
        </w:tc>
        <w:tc>
          <w:tcPr>
            <w:tcW w:w="5812"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开户名：福建榕卫招标有限公司</w:t>
            </w:r>
          </w:p>
        </w:tc>
      </w:tr>
      <w:tr>
        <w:tblPrEx>
          <w:tblCellMar>
            <w:top w:w="0" w:type="dxa"/>
            <w:left w:w="108" w:type="dxa"/>
            <w:bottom w:w="0" w:type="dxa"/>
            <w:right w:w="108" w:type="dxa"/>
          </w:tblCellMar>
        </w:tblPrEx>
        <w:trPr>
          <w:trHeight w:val="379" w:hRule="atLeast"/>
          <w:jc w:val="center"/>
        </w:trPr>
        <w:tc>
          <w:tcPr>
            <w:tcW w:w="2556" w:type="dxa"/>
            <w:vMerge w:val="continue"/>
            <w:tcBorders>
              <w:left w:val="single" w:color="auto" w:sz="4" w:space="0"/>
              <w:right w:val="single" w:color="auto" w:sz="4" w:space="0"/>
            </w:tcBorders>
            <w:vAlign w:val="center"/>
          </w:tcPr>
          <w:p>
            <w:pPr>
              <w:widowControl/>
              <w:jc w:val="left"/>
              <w:rPr>
                <w:rFonts w:ascii="宋体" w:hAnsi="宋体" w:cs="宋体"/>
                <w:color w:val="auto"/>
                <w:sz w:val="24"/>
                <w:highlight w:val="none"/>
              </w:rPr>
            </w:pPr>
          </w:p>
        </w:tc>
        <w:tc>
          <w:tcPr>
            <w:tcW w:w="5812"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开户行：福建海峡银行股份有限公司福州鼓楼支行</w:t>
            </w:r>
          </w:p>
        </w:tc>
      </w:tr>
      <w:tr>
        <w:tblPrEx>
          <w:tblCellMar>
            <w:top w:w="0" w:type="dxa"/>
            <w:left w:w="108" w:type="dxa"/>
            <w:bottom w:w="0" w:type="dxa"/>
            <w:right w:w="108" w:type="dxa"/>
          </w:tblCellMar>
        </w:tblPrEx>
        <w:trPr>
          <w:trHeight w:val="379" w:hRule="atLeast"/>
          <w:jc w:val="center"/>
        </w:trPr>
        <w:tc>
          <w:tcPr>
            <w:tcW w:w="25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5812"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账  号：100028500520010001</w:t>
            </w:r>
          </w:p>
        </w:tc>
      </w:tr>
    </w:tbl>
    <w:p>
      <w:pPr>
        <w:pStyle w:val="19"/>
        <w:widowControl/>
        <w:spacing w:before="75" w:beforeAutospacing="0" w:after="75" w:afterAutospacing="0"/>
        <w:rPr>
          <w:color w:val="auto"/>
          <w:highlight w:val="none"/>
        </w:rPr>
      </w:pPr>
      <w:r>
        <w:rPr>
          <w:color w:val="auto"/>
          <w:highlight w:val="none"/>
        </w:rPr>
        <w:t> </w:t>
      </w:r>
    </w:p>
    <w:p>
      <w:pPr>
        <w:rPr>
          <w:rFonts w:ascii="宋体" w:hAnsi="宋体" w:cs="宋体"/>
          <w:color w:val="auto"/>
          <w:highlight w:val="none"/>
        </w:rPr>
      </w:pPr>
    </w:p>
    <w:p>
      <w:pPr>
        <w:rPr>
          <w:rFonts w:hint="eastAsia"/>
          <w:color w:val="auto"/>
          <w:highlight w:val="none"/>
        </w:rPr>
      </w:pPr>
      <w:r>
        <w:rPr>
          <w:rFonts w:hint="eastAsia"/>
          <w:color w:val="auto"/>
          <w:highlight w:val="none"/>
        </w:rPr>
        <w:br w:type="page"/>
      </w:r>
    </w:p>
    <w:p>
      <w:pPr>
        <w:pStyle w:val="3"/>
        <w:jc w:val="left"/>
        <w:rPr>
          <w:rFonts w:ascii="宋体" w:hAnsi="宋体" w:cs="宋体"/>
          <w:color w:val="auto"/>
          <w:highlight w:val="none"/>
        </w:rPr>
      </w:pPr>
      <w:bookmarkStart w:id="3" w:name="_Toc5973"/>
      <w:r>
        <w:rPr>
          <w:rFonts w:hint="eastAsia"/>
          <w:color w:val="auto"/>
          <w:highlight w:val="none"/>
        </w:rPr>
        <w:t>附</w:t>
      </w:r>
      <w:r>
        <w:rPr>
          <w:color w:val="auto"/>
          <w:highlight w:val="none"/>
        </w:rPr>
        <w:t>2</w:t>
      </w:r>
      <w:r>
        <w:rPr>
          <w:rFonts w:hint="eastAsia"/>
          <w:color w:val="auto"/>
          <w:highlight w:val="none"/>
        </w:rPr>
        <w:t>：采购标的一览表</w:t>
      </w:r>
      <w:bookmarkEnd w:id="3"/>
    </w:p>
    <w:p>
      <w:pPr>
        <w:pStyle w:val="19"/>
        <w:spacing w:before="0" w:beforeAutospacing="0" w:after="0" w:afterAutospacing="0" w:line="440" w:lineRule="exact"/>
        <w:jc w:val="right"/>
        <w:rPr>
          <w:rFonts w:ascii="宋体" w:hAnsi="宋体" w:cs="宋体"/>
          <w:color w:val="auto"/>
          <w:highlight w:val="none"/>
        </w:rPr>
      </w:pPr>
      <w:r>
        <w:rPr>
          <w:rFonts w:hint="eastAsia" w:ascii="宋体" w:hAnsi="宋体" w:cs="宋体"/>
          <w:color w:val="auto"/>
          <w:highlight w:val="none"/>
        </w:rPr>
        <w:t>金额单位：人民币.元</w:t>
      </w:r>
    </w:p>
    <w:tbl>
      <w:tblPr>
        <w:tblStyle w:val="24"/>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1"/>
        <w:gridCol w:w="633"/>
        <w:gridCol w:w="1532"/>
        <w:gridCol w:w="1140"/>
        <w:gridCol w:w="1290"/>
        <w:gridCol w:w="771"/>
        <w:gridCol w:w="1242"/>
        <w:gridCol w:w="111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11"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kern w:val="0"/>
                <w:sz w:val="24"/>
                <w:highlight w:val="none"/>
                <w:lang w:bidi="ar"/>
              </w:rPr>
              <w:t>采购包</w:t>
            </w:r>
          </w:p>
        </w:tc>
        <w:tc>
          <w:tcPr>
            <w:tcW w:w="345"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kern w:val="0"/>
                <w:sz w:val="24"/>
                <w:highlight w:val="none"/>
                <w:lang w:bidi="ar"/>
              </w:rPr>
              <w:t>品目号</w:t>
            </w:r>
          </w:p>
        </w:tc>
        <w:tc>
          <w:tcPr>
            <w:tcW w:w="835"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sz w:val="24"/>
                <w:highlight w:val="none"/>
              </w:rPr>
              <w:t>采购标的</w:t>
            </w:r>
          </w:p>
        </w:tc>
        <w:tc>
          <w:tcPr>
            <w:tcW w:w="621"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sz w:val="24"/>
                <w:highlight w:val="none"/>
              </w:rPr>
              <w:t>采购</w:t>
            </w:r>
            <w:r>
              <w:rPr>
                <w:rFonts w:hint="eastAsia" w:ascii="宋体" w:hAnsi="宋体" w:cs="宋体"/>
                <w:color w:val="auto"/>
                <w:sz w:val="24"/>
                <w:highlight w:val="none"/>
                <w:lang w:val="zh-CN"/>
              </w:rPr>
              <w:t>要求</w:t>
            </w:r>
          </w:p>
        </w:tc>
        <w:tc>
          <w:tcPr>
            <w:tcW w:w="703"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kern w:val="0"/>
                <w:sz w:val="24"/>
                <w:highlight w:val="none"/>
                <w:lang w:bidi="ar"/>
              </w:rPr>
              <w:t>数量</w:t>
            </w:r>
          </w:p>
        </w:tc>
        <w:tc>
          <w:tcPr>
            <w:tcW w:w="420"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77" w:type="pct"/>
            <w:tcBorders>
              <w:tl2br w:val="nil"/>
              <w:tr2bl w:val="nil"/>
            </w:tcBorders>
            <w:shd w:val="clear" w:color="auto" w:fill="FFFFFF"/>
            <w:noWrap w:val="0"/>
            <w:vAlign w:val="center"/>
          </w:tcPr>
          <w:p>
            <w:pPr>
              <w:widowControl/>
              <w:spacing w:line="23"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预算单价</w:t>
            </w:r>
          </w:p>
          <w:p>
            <w:pPr>
              <w:widowControl/>
              <w:spacing w:line="23"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（元/份）</w:t>
            </w:r>
          </w:p>
        </w:tc>
        <w:tc>
          <w:tcPr>
            <w:tcW w:w="610" w:type="pct"/>
            <w:tcBorders>
              <w:tl2br w:val="nil"/>
              <w:tr2bl w:val="nil"/>
            </w:tcBorders>
            <w:shd w:val="clear" w:color="auto" w:fill="FFFFFF"/>
            <w:noWrap w:val="0"/>
            <w:vAlign w:val="center"/>
          </w:tcPr>
          <w:p>
            <w:pPr>
              <w:widowControl/>
              <w:spacing w:line="23" w:lineRule="atLeast"/>
              <w:jc w:val="center"/>
              <w:rPr>
                <w:rFonts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r>
              <w:rPr>
                <w:rFonts w:hint="eastAsia" w:ascii="宋体" w:hAnsi="宋体" w:cs="宋体"/>
                <w:color w:val="auto"/>
                <w:kern w:val="0"/>
                <w:sz w:val="24"/>
                <w:highlight w:val="none"/>
              </w:rPr>
              <w:t>（元）</w:t>
            </w:r>
          </w:p>
        </w:tc>
        <w:tc>
          <w:tcPr>
            <w:tcW w:w="473" w:type="pct"/>
            <w:tcBorders>
              <w:tl2br w:val="nil"/>
              <w:tr2bl w:val="nil"/>
            </w:tcBorders>
            <w:shd w:val="clear" w:color="auto" w:fill="FFFFFF"/>
            <w:noWrap w:val="0"/>
            <w:vAlign w:val="center"/>
          </w:tcPr>
          <w:p>
            <w:pPr>
              <w:widowControl/>
              <w:spacing w:line="23" w:lineRule="atLeas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w:t>
            </w:r>
          </w:p>
          <w:p>
            <w:pPr>
              <w:widowControl/>
              <w:spacing w:line="23" w:lineRule="atLeast"/>
              <w:jc w:val="center"/>
              <w:rPr>
                <w:rFonts w:ascii="宋体" w:hAnsi="宋体" w:cs="宋体"/>
                <w:color w:val="auto"/>
                <w:sz w:val="24"/>
                <w:highlight w:val="none"/>
              </w:rPr>
            </w:pPr>
            <w:r>
              <w:rPr>
                <w:rFonts w:hint="eastAsia" w:ascii="宋体" w:hAnsi="宋体" w:cs="宋体"/>
                <w:color w:val="auto"/>
                <w:kern w:val="0"/>
                <w:sz w:val="24"/>
                <w:highlight w:val="none"/>
                <w:lang w:bidi="ar"/>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blHeader/>
        </w:trPr>
        <w:tc>
          <w:tcPr>
            <w:tcW w:w="311" w:type="pct"/>
            <w:vMerge w:val="restart"/>
            <w:tcBorders>
              <w:tl2br w:val="nil"/>
              <w:tr2bl w:val="nil"/>
            </w:tcBorders>
            <w:shd w:val="clear" w:color="auto" w:fill="FFFFFF"/>
            <w:noWrap w:val="0"/>
            <w:vAlign w:val="center"/>
          </w:tcPr>
          <w:p>
            <w:pPr>
              <w:widowControl/>
              <w:spacing w:line="23" w:lineRule="atLeas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45" w:type="pct"/>
            <w:tcBorders>
              <w:tl2br w:val="nil"/>
              <w:tr2bl w:val="nil"/>
            </w:tcBorders>
            <w:shd w:val="clear" w:color="auto" w:fill="FFFFFF"/>
            <w:noWrap w:val="0"/>
            <w:vAlign w:val="center"/>
          </w:tcPr>
          <w:p>
            <w:pPr>
              <w:widowControl/>
              <w:spacing w:line="23" w:lineRule="atLeas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835" w:type="pct"/>
            <w:tcBorders>
              <w:tl2br w:val="nil"/>
              <w:tr2bl w:val="nil"/>
            </w:tcBorders>
            <w:shd w:val="clear" w:color="auto" w:fill="FFFFFF"/>
            <w:noWrap w:val="0"/>
            <w:vAlign w:val="center"/>
          </w:tcPr>
          <w:p>
            <w:pPr>
              <w:widowControl/>
              <w:spacing w:line="23" w:lineRule="atLeast"/>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春节慰问品</w:t>
            </w:r>
          </w:p>
        </w:tc>
        <w:tc>
          <w:tcPr>
            <w:tcW w:w="621" w:type="pct"/>
            <w:vMerge w:val="restart"/>
            <w:tcBorders>
              <w:tl2br w:val="nil"/>
              <w:tr2bl w:val="nil"/>
            </w:tcBorders>
            <w:shd w:val="clear" w:color="auto" w:fill="FFFFFF"/>
            <w:noWrap w:val="0"/>
            <w:vAlign w:val="center"/>
          </w:tcPr>
          <w:p>
            <w:pPr>
              <w:widowControl/>
              <w:spacing w:line="23" w:lineRule="atLeast"/>
              <w:jc w:val="center"/>
              <w:rPr>
                <w:rFonts w:ascii="宋体" w:hAnsi="宋体" w:cs="宋体"/>
                <w:color w:val="auto"/>
                <w:kern w:val="0"/>
                <w:sz w:val="24"/>
                <w:highlight w:val="none"/>
                <w:lang w:bidi="ar"/>
              </w:rPr>
            </w:pPr>
            <w:r>
              <w:rPr>
                <w:rFonts w:hint="eastAsia" w:ascii="宋体" w:hAnsi="宋体" w:cs="宋体"/>
                <w:color w:val="auto"/>
                <w:sz w:val="24"/>
                <w:highlight w:val="none"/>
              </w:rPr>
              <w:t>详见第五章招标内容及要求</w:t>
            </w:r>
          </w:p>
        </w:tc>
        <w:tc>
          <w:tcPr>
            <w:tcW w:w="703" w:type="pct"/>
            <w:vMerge w:val="restart"/>
            <w:tcBorders>
              <w:tl2br w:val="nil"/>
              <w:tr2bl w:val="nil"/>
            </w:tcBorders>
            <w:shd w:val="clear" w:color="auto" w:fill="FFFFFF"/>
            <w:noWrap w:val="0"/>
            <w:vAlign w:val="center"/>
          </w:tcPr>
          <w:p>
            <w:pPr>
              <w:jc w:val="center"/>
              <w:rPr>
                <w:rFonts w:ascii="宋体" w:cs="宋体"/>
                <w:color w:val="auto"/>
                <w:sz w:val="24"/>
                <w:highlight w:val="none"/>
              </w:rPr>
            </w:pPr>
            <w:r>
              <w:rPr>
                <w:rFonts w:hint="eastAsia" w:ascii="宋体" w:hAnsi="宋体" w:eastAsia="宋体" w:cs="宋体"/>
                <w:color w:val="auto"/>
                <w:kern w:val="0"/>
                <w:sz w:val="24"/>
                <w:highlight w:val="none"/>
                <w:lang w:bidi="ar"/>
              </w:rPr>
              <w:t>约</w:t>
            </w:r>
            <w:r>
              <w:rPr>
                <w:rFonts w:hint="eastAsia" w:ascii="宋体" w:hAnsi="宋体" w:eastAsia="宋体" w:cs="宋体"/>
                <w:color w:val="auto"/>
                <w:kern w:val="0"/>
                <w:sz w:val="24"/>
                <w:highlight w:val="none"/>
                <w:lang w:val="en-US" w:eastAsia="zh-CN" w:bidi="ar"/>
              </w:rPr>
              <w:t>5</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val="en-US" w:eastAsia="zh-CN" w:bidi="ar"/>
              </w:rPr>
              <w:t>00</w:t>
            </w:r>
            <w:r>
              <w:rPr>
                <w:rFonts w:hint="eastAsia" w:ascii="宋体" w:hAnsi="宋体" w:eastAsia="宋体" w:cs="宋体"/>
                <w:color w:val="auto"/>
                <w:kern w:val="0"/>
                <w:sz w:val="24"/>
                <w:highlight w:val="none"/>
                <w:lang w:bidi="ar"/>
              </w:rPr>
              <w:t>份（以实际结算人数为准）</w:t>
            </w:r>
          </w:p>
        </w:tc>
        <w:tc>
          <w:tcPr>
            <w:tcW w:w="420" w:type="pct"/>
            <w:vMerge w:val="restart"/>
            <w:tcBorders>
              <w:tl2br w:val="nil"/>
              <w:tr2bl w:val="nil"/>
            </w:tcBorders>
            <w:shd w:val="clear" w:color="auto" w:fill="FFFFFF"/>
            <w:noWrap w:val="0"/>
            <w:vAlign w:val="center"/>
          </w:tcPr>
          <w:p>
            <w:pPr>
              <w:jc w:val="center"/>
              <w:rPr>
                <w:rFonts w:hint="default" w:ascii="宋体" w:eastAsia="宋体" w:cs="宋体"/>
                <w:color w:val="auto"/>
                <w:sz w:val="24"/>
                <w:highlight w:val="none"/>
                <w:lang w:val="en-US" w:eastAsia="zh-CN"/>
              </w:rPr>
            </w:pPr>
            <w:r>
              <w:rPr>
                <w:rFonts w:hint="default" w:ascii="宋体" w:eastAsia="宋体" w:cs="宋体"/>
                <w:color w:val="auto"/>
                <w:sz w:val="24"/>
                <w:highlight w:val="none"/>
                <w:lang w:val="en-US" w:eastAsia="zh-CN"/>
              </w:rPr>
              <w:t>至2024年12月31日止完成供货。</w:t>
            </w:r>
          </w:p>
        </w:tc>
        <w:tc>
          <w:tcPr>
            <w:tcW w:w="677" w:type="pct"/>
            <w:tcBorders>
              <w:tl2br w:val="nil"/>
              <w:tr2bl w:val="nil"/>
            </w:tcBorders>
            <w:shd w:val="clear" w:color="auto" w:fill="FFFFFF"/>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900</w:t>
            </w:r>
          </w:p>
        </w:tc>
        <w:tc>
          <w:tcPr>
            <w:tcW w:w="610" w:type="pct"/>
            <w:tcBorders>
              <w:tl2br w:val="nil"/>
              <w:tr2bl w:val="nil"/>
            </w:tcBorders>
            <w:shd w:val="clear" w:color="auto" w:fill="FFFFFF"/>
            <w:noWrap w:val="0"/>
            <w:vAlign w:val="center"/>
          </w:tcPr>
          <w:p>
            <w:pPr>
              <w:jc w:val="center"/>
              <w:rPr>
                <w:rFonts w:hint="default" w:eastAsia="宋体"/>
                <w:color w:val="auto"/>
                <w:sz w:val="24"/>
                <w:highlight w:val="none"/>
                <w:lang w:val="en-US" w:eastAsia="zh-CN"/>
              </w:rPr>
            </w:pPr>
            <w:r>
              <w:rPr>
                <w:rFonts w:hint="eastAsia" w:ascii="宋体" w:hAnsi="宋体" w:cs="宋体"/>
                <w:color w:val="auto"/>
                <w:sz w:val="24"/>
                <w:highlight w:val="none"/>
                <w:lang w:val="en-US" w:eastAsia="zh-CN"/>
              </w:rPr>
              <w:t>4950000</w:t>
            </w:r>
          </w:p>
        </w:tc>
        <w:tc>
          <w:tcPr>
            <w:tcW w:w="473" w:type="pct"/>
            <w:vMerge w:val="restart"/>
            <w:tcBorders>
              <w:tl2br w:val="nil"/>
              <w:tr2bl w:val="nil"/>
            </w:tcBorders>
            <w:shd w:val="clear" w:color="auto" w:fill="FFFFFF"/>
            <w:noWrap w:val="0"/>
            <w:vAlign w:val="center"/>
          </w:tcPr>
          <w:p>
            <w:pPr>
              <w:widowControl/>
              <w:spacing w:line="23" w:lineRule="atLeast"/>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blHeader/>
        </w:trPr>
        <w:tc>
          <w:tcPr>
            <w:tcW w:w="311" w:type="pct"/>
            <w:vMerge w:val="continue"/>
            <w:tcBorders>
              <w:tl2br w:val="nil"/>
              <w:tr2bl w:val="nil"/>
            </w:tcBorders>
            <w:shd w:val="clear" w:color="auto" w:fill="FFFFFF"/>
            <w:noWrap w:val="0"/>
            <w:vAlign w:val="center"/>
          </w:tcPr>
          <w:p>
            <w:pPr>
              <w:widowControl/>
              <w:spacing w:line="23" w:lineRule="atLeast"/>
              <w:jc w:val="center"/>
              <w:rPr>
                <w:rFonts w:hint="eastAsia" w:ascii="宋体" w:hAnsi="宋体" w:cs="宋体"/>
                <w:color w:val="auto"/>
                <w:kern w:val="0"/>
                <w:sz w:val="24"/>
                <w:highlight w:val="none"/>
                <w:lang w:bidi="ar"/>
              </w:rPr>
            </w:pPr>
          </w:p>
        </w:tc>
        <w:tc>
          <w:tcPr>
            <w:tcW w:w="345" w:type="pct"/>
            <w:tcBorders>
              <w:tl2br w:val="nil"/>
              <w:tr2bl w:val="nil"/>
            </w:tcBorders>
            <w:shd w:val="clear" w:color="auto" w:fill="FFFFFF"/>
            <w:noWrap w:val="0"/>
            <w:vAlign w:val="center"/>
          </w:tcPr>
          <w:p>
            <w:pPr>
              <w:widowControl/>
              <w:spacing w:line="23" w:lineRule="atLeast"/>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1-2</w:t>
            </w:r>
          </w:p>
        </w:tc>
        <w:tc>
          <w:tcPr>
            <w:tcW w:w="835" w:type="pct"/>
            <w:tcBorders>
              <w:tl2br w:val="nil"/>
              <w:tr2bl w:val="nil"/>
            </w:tcBorders>
            <w:shd w:val="clear" w:color="auto" w:fill="FFFFFF"/>
            <w:noWrap w:val="0"/>
            <w:vAlign w:val="center"/>
          </w:tcPr>
          <w:p>
            <w:pPr>
              <w:widowControl/>
              <w:spacing w:line="23" w:lineRule="atLeast"/>
              <w:jc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国庆中秋</w:t>
            </w:r>
          </w:p>
          <w:p>
            <w:pPr>
              <w:widowControl/>
              <w:spacing w:line="23" w:lineRule="atLeast"/>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慰问品</w:t>
            </w:r>
          </w:p>
        </w:tc>
        <w:tc>
          <w:tcPr>
            <w:tcW w:w="621" w:type="pct"/>
            <w:vMerge w:val="continue"/>
            <w:tcBorders>
              <w:tl2br w:val="nil"/>
              <w:tr2bl w:val="nil"/>
            </w:tcBorders>
            <w:shd w:val="clear" w:color="auto" w:fill="FFFFFF"/>
            <w:noWrap w:val="0"/>
            <w:vAlign w:val="center"/>
          </w:tcPr>
          <w:p>
            <w:pPr>
              <w:widowControl/>
              <w:spacing w:line="23" w:lineRule="atLeast"/>
              <w:jc w:val="center"/>
              <w:rPr>
                <w:rFonts w:hint="eastAsia" w:ascii="宋体" w:hAnsi="宋体" w:cs="宋体"/>
                <w:color w:val="auto"/>
                <w:sz w:val="24"/>
                <w:highlight w:val="none"/>
              </w:rPr>
            </w:pPr>
          </w:p>
        </w:tc>
        <w:tc>
          <w:tcPr>
            <w:tcW w:w="703" w:type="pct"/>
            <w:vMerge w:val="continue"/>
            <w:tcBorders>
              <w:tl2br w:val="nil"/>
              <w:tr2bl w:val="nil"/>
            </w:tcBorders>
            <w:shd w:val="clear" w:color="auto" w:fill="FFFFFF"/>
            <w:noWrap w:val="0"/>
            <w:vAlign w:val="center"/>
          </w:tcPr>
          <w:p>
            <w:pPr>
              <w:jc w:val="center"/>
              <w:rPr>
                <w:rFonts w:hint="eastAsia" w:ascii="宋体" w:hAnsi="宋体" w:eastAsia="宋体" w:cs="宋体"/>
                <w:color w:val="auto"/>
                <w:kern w:val="0"/>
                <w:sz w:val="24"/>
                <w:highlight w:val="none"/>
                <w:lang w:bidi="ar"/>
              </w:rPr>
            </w:pPr>
          </w:p>
        </w:tc>
        <w:tc>
          <w:tcPr>
            <w:tcW w:w="420" w:type="pct"/>
            <w:vMerge w:val="continue"/>
            <w:tcBorders>
              <w:tl2br w:val="nil"/>
              <w:tr2bl w:val="nil"/>
            </w:tcBorders>
            <w:shd w:val="clear" w:color="auto" w:fill="FFFFFF"/>
            <w:noWrap w:val="0"/>
            <w:vAlign w:val="center"/>
          </w:tcPr>
          <w:p>
            <w:pPr>
              <w:jc w:val="center"/>
              <w:rPr>
                <w:rFonts w:hint="eastAsia" w:ascii="宋体" w:hAnsi="宋体" w:cs="宋体"/>
                <w:b w:val="0"/>
                <w:bCs w:val="0"/>
                <w:color w:val="auto"/>
                <w:sz w:val="24"/>
                <w:szCs w:val="24"/>
                <w:highlight w:val="none"/>
                <w:lang w:val="en-US" w:eastAsia="zh-CN"/>
              </w:rPr>
            </w:pPr>
          </w:p>
        </w:tc>
        <w:tc>
          <w:tcPr>
            <w:tcW w:w="677" w:type="pct"/>
            <w:tcBorders>
              <w:tl2br w:val="nil"/>
              <w:tr2bl w:val="nil"/>
            </w:tcBorders>
            <w:shd w:val="clear" w:color="auto" w:fill="FFFFFF"/>
            <w:noWrap w:val="0"/>
            <w:vAlign w:val="center"/>
          </w:tcPr>
          <w:p>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600</w:t>
            </w:r>
          </w:p>
        </w:tc>
        <w:tc>
          <w:tcPr>
            <w:tcW w:w="610" w:type="pct"/>
            <w:tcBorders>
              <w:tl2br w:val="nil"/>
              <w:tr2bl w:val="nil"/>
            </w:tcBorders>
            <w:shd w:val="clear" w:color="auto" w:fill="FFFFFF"/>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3300000</w:t>
            </w:r>
          </w:p>
        </w:tc>
        <w:tc>
          <w:tcPr>
            <w:tcW w:w="473" w:type="pct"/>
            <w:vMerge w:val="continue"/>
            <w:tcBorders>
              <w:tl2br w:val="nil"/>
              <w:tr2bl w:val="nil"/>
            </w:tcBorders>
            <w:shd w:val="clear" w:color="auto" w:fill="FFFFFF"/>
            <w:noWrap w:val="0"/>
            <w:vAlign w:val="center"/>
          </w:tcPr>
          <w:p>
            <w:pPr>
              <w:widowControl/>
              <w:spacing w:line="23" w:lineRule="atLeast"/>
              <w:jc w:val="center"/>
              <w:rPr>
                <w:rFonts w:hint="eastAsia" w:ascii="宋体" w:hAnsi="宋体" w:cs="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blHeader/>
        </w:trPr>
        <w:tc>
          <w:tcPr>
            <w:tcW w:w="5000" w:type="pct"/>
            <w:gridSpan w:val="9"/>
            <w:tcBorders>
              <w:tl2br w:val="nil"/>
              <w:tr2bl w:val="nil"/>
            </w:tcBorders>
            <w:shd w:val="clear" w:color="auto" w:fill="FFFFFF"/>
            <w:noWrap w:val="0"/>
            <w:vAlign w:val="center"/>
          </w:tcPr>
          <w:p>
            <w:pPr>
              <w:widowControl/>
              <w:spacing w:line="23" w:lineRule="atLeast"/>
              <w:jc w:val="center"/>
              <w:rPr>
                <w:rFonts w:hint="default" w:ascii="宋体" w:hAnsi="宋体" w:cs="宋体"/>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合计：</w:t>
            </w:r>
            <w:r>
              <w:rPr>
                <w:rFonts w:hint="default" w:ascii="Arial" w:hAnsi="Arial" w:cs="Arial"/>
                <w:b/>
                <w:bCs/>
                <w:color w:val="auto"/>
                <w:kern w:val="0"/>
                <w:sz w:val="24"/>
                <w:highlight w:val="none"/>
                <w:lang w:val="en-US" w:eastAsia="zh-CN" w:bidi="ar"/>
              </w:rPr>
              <w:t>¥</w:t>
            </w:r>
            <w:r>
              <w:rPr>
                <w:rFonts w:hint="eastAsia" w:ascii="宋体" w:hAnsi="宋体" w:cs="宋体"/>
                <w:b/>
                <w:bCs/>
                <w:color w:val="auto"/>
                <w:kern w:val="0"/>
                <w:sz w:val="24"/>
                <w:highlight w:val="none"/>
                <w:lang w:val="en-US" w:eastAsia="zh-CN" w:bidi="ar"/>
              </w:rPr>
              <w:t>8250000.00（人民币捌佰贰拾伍万元整）</w:t>
            </w:r>
          </w:p>
        </w:tc>
      </w:tr>
    </w:tbl>
    <w:p>
      <w:pPr>
        <w:pStyle w:val="10"/>
        <w:ind w:firstLine="482"/>
        <w:jc w:val="both"/>
        <w:rPr>
          <w:rFonts w:ascii="宋体" w:hAnsi="宋体" w:cs="宋体"/>
          <w:color w:val="auto"/>
          <w:sz w:val="24"/>
          <w:szCs w:val="24"/>
          <w:highlight w:val="none"/>
        </w:rPr>
      </w:pPr>
    </w:p>
    <w:p>
      <w:pPr>
        <w:pStyle w:val="10"/>
        <w:spacing w:line="360" w:lineRule="auto"/>
        <w:ind w:firstLine="48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报价方式</w:t>
      </w:r>
      <w:r>
        <w:rPr>
          <w:rFonts w:hint="eastAsia" w:ascii="宋体" w:hAnsi="宋体" w:eastAsia="宋体" w:cs="宋体"/>
          <w:sz w:val="24"/>
          <w:szCs w:val="24"/>
          <w:highlight w:val="none"/>
          <w:lang w:eastAsia="zh-CN"/>
        </w:rPr>
        <w:t>：</w:t>
      </w:r>
    </w:p>
    <w:p>
      <w:pPr>
        <w:pStyle w:val="10"/>
        <w:spacing w:line="360" w:lineRule="auto"/>
        <w:ind w:firstLine="48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①本次采购项目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的报价统一采取折扣以百分比形式进行报价，由投标人自行报价（即折扣报价，如8.5折填写为85%，9折填写为90%），投标人报价不得高于100%，否则投标无效。</w:t>
      </w:r>
    </w:p>
    <w:p>
      <w:pPr>
        <w:pStyle w:val="10"/>
        <w:spacing w:line="360" w:lineRule="auto"/>
        <w:ind w:firstLine="48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②以职工慰问品1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00元/人为例,</w:t>
      </w:r>
      <w:r>
        <w:rPr>
          <w:rFonts w:hint="eastAsia" w:ascii="宋体" w:hAnsi="宋体" w:cs="宋体"/>
          <w:sz w:val="24"/>
          <w:szCs w:val="24"/>
          <w:highlight w:val="none"/>
          <w:lang w:val="en-US" w:eastAsia="zh-CN"/>
        </w:rPr>
        <w:t>若投标人</w:t>
      </w:r>
      <w:r>
        <w:rPr>
          <w:rFonts w:hint="eastAsia" w:ascii="宋体" w:hAnsi="宋体" w:eastAsia="宋体" w:cs="宋体"/>
          <w:sz w:val="24"/>
          <w:szCs w:val="24"/>
          <w:highlight w:val="none"/>
          <w:lang w:eastAsia="zh-CN"/>
        </w:rPr>
        <w:t>的报价为80%, 那么实际结算1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00元时就可领取</w:t>
      </w:r>
      <w:r>
        <w:rPr>
          <w:rFonts w:hint="eastAsia" w:ascii="宋体" w:hAnsi="宋体" w:eastAsia="宋体" w:cs="宋体"/>
          <w:sz w:val="24"/>
          <w:szCs w:val="24"/>
          <w:highlight w:val="none"/>
          <w:lang w:val="en-US" w:eastAsia="zh-CN"/>
        </w:rPr>
        <w:t>1875</w:t>
      </w:r>
      <w:r>
        <w:rPr>
          <w:rFonts w:hint="eastAsia" w:ascii="宋体" w:hAnsi="宋体" w:eastAsia="宋体" w:cs="宋体"/>
          <w:sz w:val="24"/>
          <w:szCs w:val="24"/>
          <w:highlight w:val="none"/>
          <w:lang w:eastAsia="zh-CN"/>
        </w:rPr>
        <w:t>元的慰问品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计算结果四舍五入保留2位小数</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。结算价＝1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00元×实际采购数量。</w:t>
      </w:r>
    </w:p>
    <w:p>
      <w:pPr>
        <w:pStyle w:val="10"/>
        <w:spacing w:line="360" w:lineRule="auto"/>
        <w:ind w:firstLine="482"/>
        <w:jc w:val="both"/>
        <w:rPr>
          <w:rFonts w:hint="eastAsia" w:ascii="宋体" w:hAnsi="宋体" w:eastAsia="宋体" w:cs="宋体"/>
          <w:color w:val="auto"/>
          <w:sz w:val="32"/>
          <w:szCs w:val="32"/>
          <w:highlight w:val="none"/>
          <w:lang w:eastAsia="zh-CN"/>
        </w:rPr>
      </w:pPr>
      <w:r>
        <w:rPr>
          <w:rFonts w:hint="eastAsia" w:ascii="宋体" w:hAnsi="宋体" w:eastAsia="宋体" w:cs="宋体"/>
          <w:sz w:val="24"/>
          <w:szCs w:val="24"/>
          <w:highlight w:val="none"/>
          <w:lang w:eastAsia="zh-CN"/>
        </w:rPr>
        <w:t>③投标人报价在合同实施期间保持不变，即不因市场价格或政策性价格的调整而增减。</w:t>
      </w:r>
    </w:p>
    <w:p>
      <w:pPr>
        <w:pStyle w:val="10"/>
        <w:spacing w:line="360" w:lineRule="auto"/>
        <w:ind w:firstLine="482"/>
        <w:jc w:val="both"/>
        <w:rPr>
          <w:rFonts w:ascii="宋体" w:hAnsi="宋体" w:cs="宋体"/>
          <w:color w:val="auto"/>
          <w:sz w:val="24"/>
          <w:szCs w:val="24"/>
          <w:highlight w:val="none"/>
        </w:rPr>
      </w:pPr>
    </w:p>
    <w:p>
      <w:pPr>
        <w:pStyle w:val="10"/>
        <w:ind w:firstLine="482"/>
        <w:jc w:val="both"/>
        <w:rPr>
          <w:rFonts w:ascii="宋体" w:hAnsi="宋体" w:cs="宋体"/>
          <w:color w:val="auto"/>
          <w:sz w:val="24"/>
          <w:szCs w:val="24"/>
          <w:highlight w:val="none"/>
        </w:rPr>
      </w:pPr>
    </w:p>
    <w:p>
      <w:pPr>
        <w:pStyle w:val="3"/>
        <w:ind w:firstLine="0" w:firstLineChars="0"/>
        <w:jc w:val="center"/>
        <w:rPr>
          <w:color w:val="auto"/>
          <w:highlight w:val="none"/>
        </w:rPr>
      </w:pPr>
      <w:bookmarkStart w:id="4" w:name="_Toc51057747"/>
      <w:r>
        <w:rPr>
          <w:rStyle w:val="27"/>
          <w:rFonts w:hint="eastAsia" w:ascii="宋体" w:hAnsi="宋体" w:cs="宋体"/>
          <w:b w:val="0"/>
          <w:color w:val="auto"/>
          <w:sz w:val="31"/>
          <w:szCs w:val="31"/>
          <w:highlight w:val="none"/>
        </w:rPr>
        <w:br w:type="page"/>
      </w:r>
      <w:bookmarkStart w:id="5" w:name="_Toc29470"/>
      <w:r>
        <w:rPr>
          <w:rStyle w:val="50"/>
          <w:b/>
          <w:bCs w:val="0"/>
          <w:color w:val="auto"/>
          <w:highlight w:val="none"/>
        </w:rPr>
        <w:t>第二章   投标人须知前附表（表1）</w:t>
      </w:r>
      <w:bookmarkEnd w:id="4"/>
      <w:bookmarkEnd w:id="5"/>
    </w:p>
    <w:p>
      <w:pPr>
        <w:pStyle w:val="19"/>
        <w:widowControl/>
        <w:spacing w:before="75" w:beforeAutospacing="0" w:after="75" w:afterAutospacing="0"/>
        <w:rPr>
          <w:color w:val="auto"/>
          <w:highlight w:val="none"/>
        </w:rPr>
      </w:pPr>
      <w:r>
        <w:rPr>
          <w:rFonts w:hint="eastAsia" w:ascii="宋体" w:hAnsi="宋体" w:cs="宋体"/>
          <w:color w:val="auto"/>
          <w:highlight w:val="none"/>
        </w:rPr>
        <w:t>表</w:t>
      </w:r>
      <w:r>
        <w:rPr>
          <w:color w:val="auto"/>
          <w:highlight w:val="none"/>
        </w:rPr>
        <w:t>1</w:t>
      </w:r>
    </w:p>
    <w:tbl>
      <w:tblPr>
        <w:tblStyle w:val="24"/>
        <w:tblW w:w="10205"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4"/>
        <w:gridCol w:w="186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jc w:val="center"/>
        </w:trPr>
        <w:tc>
          <w:tcPr>
            <w:tcW w:w="10145" w:type="dxa"/>
            <w:gridSpan w:val="3"/>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Style w:val="27"/>
                <w:rFonts w:hint="eastAsia" w:ascii="宋体" w:hAnsi="宋体" w:cs="宋体"/>
                <w:color w:val="auto"/>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项号</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招标文件</w:t>
            </w:r>
          </w:p>
          <w:p>
            <w:pPr>
              <w:pStyle w:val="19"/>
              <w:widowControl/>
              <w:spacing w:before="0" w:beforeAutospacing="0" w:after="0" w:afterAutospacing="0"/>
              <w:jc w:val="center"/>
              <w:rPr>
                <w:color w:val="auto"/>
                <w:highlight w:val="none"/>
              </w:rPr>
            </w:pPr>
            <w:r>
              <w:rPr>
                <w:rFonts w:hint="eastAsia" w:ascii="宋体" w:hAnsi="宋体" w:cs="宋体"/>
                <w:color w:val="auto"/>
                <w:highlight w:val="none"/>
              </w:rPr>
              <w:t>（第三章）</w:t>
            </w:r>
          </w:p>
        </w:tc>
        <w:tc>
          <w:tcPr>
            <w:tcW w:w="7434"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6.1</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是否组织现场考察或召开开标前答疑会：</w:t>
            </w: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2</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10.4</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投标文件的份数：</w:t>
            </w:r>
          </w:p>
          <w:p>
            <w:pPr>
              <w:pStyle w:val="19"/>
              <w:widowControl/>
              <w:spacing w:before="0" w:beforeAutospacing="0" w:after="0" w:afterAutospacing="0"/>
              <w:rPr>
                <w:color w:val="auto"/>
                <w:highlight w:val="none"/>
              </w:rPr>
            </w:pPr>
            <w:r>
              <w:rPr>
                <w:rFonts w:hint="eastAsia" w:ascii="宋体" w:hAnsi="宋体" w:cs="宋体"/>
                <w:color w:val="auto"/>
                <w:highlight w:val="none"/>
              </w:rPr>
              <w:t>（1）纸质投标文件：</w:t>
            </w:r>
          </w:p>
          <w:p>
            <w:pPr>
              <w:pStyle w:val="19"/>
              <w:widowControl/>
              <w:spacing w:before="0" w:beforeAutospacing="0" w:after="0" w:afterAutospacing="0"/>
              <w:rPr>
                <w:color w:val="auto"/>
                <w:highlight w:val="none"/>
              </w:rPr>
            </w:pPr>
            <w:r>
              <w:rPr>
                <w:rFonts w:hint="eastAsia" w:ascii="宋体" w:hAnsi="宋体" w:cs="宋体"/>
                <w:color w:val="auto"/>
                <w:highlight w:val="none"/>
              </w:rPr>
              <w:t>①资格及资信证明部分的正本</w:t>
            </w:r>
            <w:r>
              <w:rPr>
                <w:rFonts w:hint="eastAsia" w:ascii="宋体" w:hAnsi="宋体" w:cs="宋体"/>
                <w:color w:val="auto"/>
                <w:highlight w:val="none"/>
                <w:u w:val="single"/>
              </w:rPr>
              <w:t>1</w:t>
            </w:r>
            <w:r>
              <w:rPr>
                <w:rFonts w:hint="eastAsia" w:ascii="宋体" w:hAnsi="宋体" w:cs="宋体"/>
                <w:color w:val="auto"/>
                <w:highlight w:val="none"/>
              </w:rPr>
              <w:t>份、副本</w:t>
            </w:r>
            <w:r>
              <w:rPr>
                <w:rFonts w:hint="eastAsia" w:ascii="宋体" w:hAnsi="宋体" w:cs="宋体"/>
                <w:color w:val="auto"/>
                <w:highlight w:val="none"/>
                <w:u w:val="single"/>
              </w:rPr>
              <w:t>5</w:t>
            </w:r>
            <w:r>
              <w:rPr>
                <w:rFonts w:hint="eastAsia" w:ascii="宋体" w:hAnsi="宋体" w:cs="宋体"/>
                <w:color w:val="auto"/>
                <w:highlight w:val="none"/>
              </w:rPr>
              <w:t>份，报价部分的正本</w:t>
            </w:r>
            <w:r>
              <w:rPr>
                <w:rFonts w:hint="eastAsia" w:ascii="宋体" w:hAnsi="宋体" w:cs="宋体"/>
                <w:color w:val="auto"/>
                <w:highlight w:val="none"/>
                <w:u w:val="single"/>
              </w:rPr>
              <w:t>1</w:t>
            </w:r>
            <w:r>
              <w:rPr>
                <w:rFonts w:hint="eastAsia" w:ascii="宋体" w:hAnsi="宋体" w:cs="宋体"/>
                <w:color w:val="auto"/>
                <w:highlight w:val="none"/>
              </w:rPr>
              <w:t>份、副本</w:t>
            </w:r>
            <w:r>
              <w:rPr>
                <w:rFonts w:hint="eastAsia" w:ascii="宋体" w:hAnsi="宋体" w:cs="宋体"/>
                <w:color w:val="auto"/>
                <w:highlight w:val="none"/>
                <w:u w:val="single"/>
              </w:rPr>
              <w:t>5</w:t>
            </w:r>
            <w:r>
              <w:rPr>
                <w:rFonts w:hint="eastAsia" w:ascii="宋体" w:hAnsi="宋体" w:cs="宋体"/>
                <w:color w:val="auto"/>
                <w:highlight w:val="none"/>
              </w:rPr>
              <w:t>份，技术商务部分的正本</w:t>
            </w:r>
            <w:r>
              <w:rPr>
                <w:rFonts w:hint="eastAsia" w:ascii="宋体" w:hAnsi="宋体" w:cs="宋体"/>
                <w:color w:val="auto"/>
                <w:highlight w:val="none"/>
                <w:u w:val="single"/>
              </w:rPr>
              <w:t>1</w:t>
            </w:r>
            <w:r>
              <w:rPr>
                <w:rFonts w:hint="eastAsia" w:ascii="宋体" w:hAnsi="宋体" w:cs="宋体"/>
                <w:color w:val="auto"/>
                <w:highlight w:val="none"/>
              </w:rPr>
              <w:t>份、副本</w:t>
            </w:r>
            <w:r>
              <w:rPr>
                <w:rFonts w:hint="eastAsia" w:ascii="宋体" w:hAnsi="宋体" w:cs="宋体"/>
                <w:color w:val="auto"/>
                <w:highlight w:val="none"/>
                <w:u w:val="single"/>
              </w:rPr>
              <w:t>5</w:t>
            </w:r>
            <w:r>
              <w:rPr>
                <w:rFonts w:hint="eastAsia" w:ascii="宋体" w:hAnsi="宋体" w:cs="宋体"/>
                <w:color w:val="auto"/>
                <w:highlight w:val="none"/>
              </w:rPr>
              <w:t>份。</w:t>
            </w:r>
          </w:p>
          <w:p>
            <w:pPr>
              <w:pStyle w:val="19"/>
              <w:widowControl/>
              <w:spacing w:before="0" w:beforeAutospacing="0" w:after="0" w:afterAutospacing="0"/>
              <w:rPr>
                <w:color w:val="auto"/>
                <w:highlight w:val="none"/>
              </w:rPr>
            </w:pPr>
            <w:r>
              <w:rPr>
                <w:rFonts w:hint="eastAsia" w:ascii="宋体" w:hAnsi="宋体" w:cs="宋体"/>
                <w:color w:val="auto"/>
                <w:highlight w:val="none"/>
              </w:rPr>
              <w:t>②可读介质（</w:t>
            </w:r>
            <w:r>
              <w:rPr>
                <w:rFonts w:ascii="Times New Roman" w:hAnsi="Times New Roman"/>
                <w:color w:val="auto"/>
                <w:highlight w:val="none"/>
              </w:rPr>
              <w:t>U</w:t>
            </w:r>
            <w:r>
              <w:rPr>
                <w:rFonts w:hint="eastAsia" w:ascii="宋体" w:hAnsi="宋体" w:cs="宋体"/>
                <w:color w:val="auto"/>
                <w:highlight w:val="none"/>
              </w:rPr>
              <w:t>盘）</w:t>
            </w:r>
            <w:r>
              <w:rPr>
                <w:rFonts w:hint="eastAsia" w:ascii="宋体" w:hAnsi="宋体" w:cs="宋体"/>
                <w:color w:val="auto"/>
                <w:highlight w:val="none"/>
                <w:u w:val="single"/>
              </w:rPr>
              <w:t>1</w:t>
            </w:r>
            <w:r>
              <w:rPr>
                <w:rFonts w:hint="eastAsia" w:ascii="宋体" w:hAnsi="宋体" w:cs="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3</w:t>
            </w:r>
          </w:p>
        </w:tc>
        <w:tc>
          <w:tcPr>
            <w:tcW w:w="1832"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Fonts w:hint="eastAsia" w:ascii="宋体" w:hAnsi="宋体" w:cs="宋体"/>
                <w:color w:val="auto"/>
                <w:highlight w:val="none"/>
              </w:rPr>
              <w:t>10.5-（</w:t>
            </w:r>
            <w:r>
              <w:rPr>
                <w:rFonts w:ascii="Times New Roman" w:hAnsi="Times New Roman"/>
                <w:color w:val="auto"/>
                <w:highlight w:val="none"/>
              </w:rPr>
              <w:t>2</w:t>
            </w:r>
            <w:r>
              <w:rPr>
                <w:rFonts w:hint="eastAsia" w:ascii="宋体" w:hAnsi="宋体" w:cs="宋体"/>
                <w:color w:val="auto"/>
                <w:highlight w:val="none"/>
              </w:rPr>
              <w:t>）</w:t>
            </w:r>
            <w:r>
              <w:rPr>
                <w:rFonts w:ascii="Times New Roman" w:hAnsi="Times New Roman"/>
                <w:color w:val="auto"/>
                <w:highlight w:val="none"/>
              </w:rPr>
              <w:t>-</w:t>
            </w:r>
            <w:r>
              <w:rPr>
                <w:rFonts w:hint="eastAsia" w:ascii="宋体" w:hAnsi="宋体" w:cs="宋体"/>
                <w:color w:val="auto"/>
                <w:highlight w:val="none"/>
              </w:rPr>
              <w:t>③</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允许散装或活页装订的内容或材料：</w:t>
            </w:r>
          </w:p>
          <w:p>
            <w:pPr>
              <w:pStyle w:val="19"/>
              <w:widowControl/>
              <w:spacing w:before="0" w:beforeAutospacing="0" w:after="0" w:afterAutospacing="0"/>
              <w:rPr>
                <w:color w:val="auto"/>
                <w:highlight w:val="none"/>
              </w:rPr>
            </w:pPr>
            <w:r>
              <w:rPr>
                <w:rFonts w:hint="eastAsia" w:ascii="宋体" w:hAnsi="宋体" w:cs="宋体"/>
                <w:color w:val="auto"/>
                <w:highlight w:val="none"/>
              </w:rPr>
              <w:t>（1）投标文件的补充、修改或撤回；</w:t>
            </w:r>
          </w:p>
          <w:p>
            <w:pPr>
              <w:pStyle w:val="19"/>
              <w:widowControl/>
              <w:spacing w:before="0" w:beforeAutospacing="0" w:after="0" w:afterAutospacing="0"/>
              <w:rPr>
                <w:color w:val="auto"/>
                <w:highlight w:val="none"/>
              </w:rPr>
            </w:pPr>
            <w:r>
              <w:rPr>
                <w:rFonts w:hint="eastAsia" w:ascii="宋体" w:hAnsi="宋体" w:cs="宋体"/>
                <w:color w:val="auto"/>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4</w:t>
            </w:r>
          </w:p>
        </w:tc>
        <w:tc>
          <w:tcPr>
            <w:tcW w:w="1832"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Fonts w:hint="eastAsia" w:ascii="宋体" w:hAnsi="宋体" w:cs="宋体"/>
                <w:color w:val="auto"/>
                <w:highlight w:val="none"/>
              </w:rPr>
              <w:t> 10.7-（</w:t>
            </w:r>
            <w:r>
              <w:rPr>
                <w:rFonts w:ascii="Times New Roman" w:hAnsi="Times New Roman"/>
                <w:color w:val="auto"/>
                <w:highlight w:val="none"/>
              </w:rPr>
              <w:t>1</w:t>
            </w:r>
            <w:r>
              <w:rPr>
                <w:rFonts w:hint="eastAsia" w:ascii="宋体" w:hAnsi="宋体" w:cs="宋体"/>
                <w:color w:val="auto"/>
                <w:highlight w:val="none"/>
              </w:rPr>
              <w:t>）</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是否允许中标人将本项目的非主体、非关键性工作进行分包：</w:t>
            </w:r>
          </w:p>
          <w:p>
            <w:pPr>
              <w:pStyle w:val="19"/>
              <w:widowControl/>
              <w:spacing w:before="0" w:beforeAutospacing="0" w:after="0" w:afterAutospacing="0"/>
              <w:rPr>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5</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10.8-（</w:t>
            </w:r>
            <w:r>
              <w:rPr>
                <w:rFonts w:cs="Calibri"/>
                <w:color w:val="auto"/>
                <w:highlight w:val="none"/>
              </w:rPr>
              <w:t>1</w:t>
            </w:r>
            <w:r>
              <w:rPr>
                <w:rFonts w:hint="eastAsia" w:ascii="宋体" w:hAnsi="宋体" w:cs="宋体"/>
                <w:color w:val="auto"/>
                <w:highlight w:val="none"/>
              </w:rPr>
              <w:t>）</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投标有效期</w:t>
            </w:r>
            <w:r>
              <w:rPr>
                <w:rFonts w:hint="eastAsia" w:ascii="宋体" w:hAnsi="宋体" w:cs="宋体"/>
                <w:color w:val="auto"/>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6</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10.10-（</w:t>
            </w:r>
            <w:r>
              <w:rPr>
                <w:rFonts w:cs="Calibri"/>
                <w:color w:val="auto"/>
                <w:highlight w:val="none"/>
              </w:rPr>
              <w:t>2</w:t>
            </w:r>
            <w:r>
              <w:rPr>
                <w:rFonts w:hint="eastAsia" w:ascii="宋体" w:hAnsi="宋体" w:cs="宋体"/>
                <w:color w:val="auto"/>
                <w:highlight w:val="none"/>
              </w:rPr>
              <w:t>）</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密封及其标记的具体形式：</w:t>
            </w:r>
          </w:p>
          <w:p>
            <w:pPr>
              <w:pStyle w:val="19"/>
              <w:widowControl/>
              <w:spacing w:before="0" w:beforeAutospacing="0" w:after="0" w:afterAutospacing="0"/>
              <w:rPr>
                <w:color w:val="auto"/>
                <w:highlight w:val="none"/>
              </w:rPr>
            </w:pPr>
            <w:r>
              <w:rPr>
                <w:rFonts w:hint="eastAsia" w:ascii="宋体" w:hAnsi="宋体" w:cs="宋体"/>
                <w:color w:val="auto"/>
                <w:highlight w:val="none"/>
              </w:rPr>
              <w:t>（1）全部纸质投标文件（包括正本、副本及可读介质）均应密封，否则</w:t>
            </w:r>
            <w:r>
              <w:rPr>
                <w:rStyle w:val="27"/>
                <w:rFonts w:hint="eastAsia" w:ascii="宋体" w:hAnsi="宋体" w:cs="宋体"/>
                <w:color w:val="auto"/>
                <w:highlight w:val="none"/>
              </w:rPr>
              <w:t>投标将被拒绝。</w:t>
            </w:r>
          </w:p>
          <w:p>
            <w:pPr>
              <w:pStyle w:val="19"/>
              <w:widowControl/>
              <w:spacing w:before="0" w:beforeAutospacing="0" w:after="0" w:afterAutospacing="0"/>
              <w:rPr>
                <w:color w:val="auto"/>
                <w:highlight w:val="none"/>
              </w:rPr>
            </w:pPr>
            <w:r>
              <w:rPr>
                <w:rFonts w:hint="eastAsia" w:ascii="宋体" w:hAnsi="宋体" w:cs="宋体"/>
                <w:color w:val="auto"/>
                <w:highlight w:val="none"/>
              </w:rPr>
              <w:t>（2）密封的外包装应至少标记“项目名称、项目编号、所投采购包、投标人的全称”等内容，否则造成投标文件误投、遗漏或提前拆封的，</w:t>
            </w:r>
            <w:r>
              <w:rPr>
                <w:rFonts w:hint="eastAsia" w:ascii="宋体" w:hAnsi="宋体" w:cs="宋体"/>
                <w:color w:val="auto"/>
                <w:highlight w:val="none"/>
                <w:u w:val="single"/>
              </w:rPr>
              <w:t>福建榕卫招标有限公司</w:t>
            </w:r>
            <w:r>
              <w:rPr>
                <w:rFonts w:hint="eastAsia" w:ascii="宋体" w:hAnsi="宋体" w:cs="宋体"/>
                <w:color w:val="auto"/>
                <w:highlight w:val="none"/>
              </w:rPr>
              <w:t>不承担责任。</w:t>
            </w:r>
          </w:p>
          <w:p>
            <w:pPr>
              <w:pStyle w:val="19"/>
              <w:widowControl/>
              <w:spacing w:before="0" w:beforeAutospacing="0" w:after="0" w:afterAutospacing="0"/>
              <w:rPr>
                <w:rFonts w:ascii="宋体" w:hAnsi="宋体" w:cs="宋体"/>
                <w:color w:val="auto"/>
                <w:highlight w:val="none"/>
              </w:rPr>
            </w:pPr>
            <w:r>
              <w:rPr>
                <w:rFonts w:hint="eastAsia" w:ascii="宋体" w:hAnsi="宋体" w:cs="宋体"/>
                <w:color w:val="auto"/>
                <w:highlight w:val="none"/>
              </w:rPr>
              <w:t>（3）</w:t>
            </w:r>
            <w:bookmarkStart w:id="6" w:name="OLE_LINK2"/>
            <w:r>
              <w:rPr>
                <w:rFonts w:hint="eastAsia" w:ascii="宋体" w:hAnsi="宋体" w:cs="宋体"/>
                <w:color w:val="auto"/>
                <w:highlight w:val="none"/>
              </w:rPr>
              <w:t>报价部分、资格及资信证明部分、技术商务部分正本用A4幅面纸张打印，必须用胶装(为永久性、无破坏不可拆分)装订成册，在封面盖公章，并加盖骑缝章或每页盖公章(非报价专用章或业务章，以下同)。副本可用正本的完整复印件并胶装成册，并在封面标明“正本”、“副本”字样。</w:t>
            </w:r>
          </w:p>
          <w:p>
            <w:pPr>
              <w:pStyle w:val="19"/>
              <w:widowControl/>
              <w:spacing w:before="0" w:beforeAutospacing="0" w:after="0" w:afterAutospacing="0"/>
              <w:rPr>
                <w:rFonts w:ascii="宋体" w:hAnsi="宋体" w:cs="宋体"/>
                <w:color w:val="auto"/>
                <w:highlight w:val="none"/>
              </w:rPr>
            </w:pPr>
            <w:r>
              <w:rPr>
                <w:rFonts w:hint="eastAsia" w:ascii="宋体" w:hAnsi="宋体" w:cs="宋体"/>
                <w:color w:val="auto"/>
                <w:highlight w:val="none"/>
              </w:rPr>
              <w:t>（4）投标人必须将报价部分、资格及资信证明部分、技术商务部分单独装订，按照报价部分、资格及资信证明部分、技术商务部分三个部分分别密封。正本与副本如有不一致，则以正本为准。</w:t>
            </w:r>
          </w:p>
          <w:p>
            <w:pPr>
              <w:pStyle w:val="19"/>
              <w:widowControl/>
              <w:spacing w:before="0" w:beforeAutospacing="0" w:after="0" w:afterAutospacing="0"/>
              <w:rPr>
                <w:color w:val="auto"/>
                <w:highlight w:val="none"/>
              </w:rPr>
            </w:pPr>
            <w:r>
              <w:rPr>
                <w:rFonts w:hint="eastAsia" w:ascii="宋体" w:hAnsi="宋体" w:cs="宋体"/>
                <w:color w:val="auto"/>
                <w:highlight w:val="none"/>
              </w:rPr>
              <w:t>（5）投标人随投标文件一同提交的电子文件：含报价部分、资格及资信证明部分、技术商务部分的电子文件（</w:t>
            </w:r>
            <w:r>
              <w:rPr>
                <w:rFonts w:hint="eastAsia" w:ascii="宋体" w:hAnsi="宋体"/>
                <w:b/>
                <w:color w:val="auto"/>
                <w:highlight w:val="none"/>
              </w:rPr>
              <w:t>投标文件按招标文件规定签字并加盖公章后制作成PDF格式存放在U盘或其它闪存介质中</w:t>
            </w:r>
            <w:r>
              <w:rPr>
                <w:rFonts w:hint="eastAsia" w:ascii="宋体" w:hAnsi="宋体" w:cs="宋体"/>
                <w:color w:val="auto"/>
                <w:highlight w:val="none"/>
              </w:rPr>
              <w:t>，无病毒），其中所有文件不留密码。</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7</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12.1</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yellow"/>
              </w:rPr>
            </w:pPr>
            <w:r>
              <w:rPr>
                <w:rFonts w:hint="eastAsia" w:ascii="宋体" w:hAnsi="宋体" w:cs="宋体"/>
                <w:color w:val="auto"/>
                <w:highlight w:val="none"/>
              </w:rPr>
              <w:t>本项目推荐采购包1中标候选人数为1家。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75" w:type="dxa"/>
              <w:left w:w="150" w:type="dxa"/>
              <w:bottom w:w="75" w:type="dxa"/>
              <w:right w:w="150" w:type="dxa"/>
            </w:tcMar>
            <w:vAlign w:val="center"/>
          </w:tcPr>
          <w:p>
            <w:pPr>
              <w:pStyle w:val="19"/>
              <w:widowControl/>
              <w:spacing w:before="0" w:beforeAutospacing="0" w:after="0" w:afterAutospacing="0"/>
              <w:rPr>
                <w:color w:val="auto"/>
                <w:highlight w:val="none"/>
              </w:rPr>
            </w:pPr>
            <w:r>
              <w:rPr>
                <w:color w:val="auto"/>
                <w:highlight w:val="none"/>
              </w:rPr>
              <w:t>  8</w:t>
            </w:r>
          </w:p>
        </w:tc>
        <w:tc>
          <w:tcPr>
            <w:tcW w:w="1832" w:type="dxa"/>
            <w:tcMar>
              <w:top w:w="75" w:type="dxa"/>
              <w:left w:w="150" w:type="dxa"/>
              <w:bottom w:w="75" w:type="dxa"/>
              <w:right w:w="150" w:type="dxa"/>
            </w:tcMar>
            <w:vAlign w:val="center"/>
          </w:tcPr>
          <w:p>
            <w:pPr>
              <w:pStyle w:val="19"/>
              <w:widowControl/>
              <w:spacing w:before="0" w:beforeAutospacing="0" w:after="0" w:afterAutospacing="0"/>
              <w:rPr>
                <w:color w:val="auto"/>
                <w:highlight w:val="none"/>
              </w:rPr>
            </w:pPr>
            <w:r>
              <w:rPr>
                <w:color w:val="auto"/>
                <w:highlight w:val="none"/>
              </w:rPr>
              <w:t>  </w:t>
            </w:r>
            <w:r>
              <w:rPr>
                <w:rFonts w:hint="eastAsia" w:ascii="宋体" w:hAnsi="宋体" w:cs="宋体"/>
                <w:color w:val="auto"/>
                <w:highlight w:val="none"/>
              </w:rPr>
              <w:t>12.2</w:t>
            </w:r>
          </w:p>
        </w:tc>
        <w:tc>
          <w:tcPr>
            <w:tcW w:w="7434" w:type="dxa"/>
            <w:tcMar>
              <w:top w:w="75" w:type="dxa"/>
              <w:left w:w="150" w:type="dxa"/>
              <w:bottom w:w="75" w:type="dxa"/>
              <w:right w:w="150"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本项目中标人的确定（以采购包为单位）：</w:t>
            </w:r>
          </w:p>
          <w:p>
            <w:pPr>
              <w:pStyle w:val="19"/>
              <w:widowControl/>
              <w:spacing w:before="0" w:beforeAutospacing="0" w:after="0" w:afterAutospacing="0"/>
              <w:rPr>
                <w:color w:val="auto"/>
                <w:highlight w:val="none"/>
              </w:rPr>
            </w:pPr>
            <w:r>
              <w:rPr>
                <w:rFonts w:hint="eastAsia" w:ascii="宋体" w:hAnsi="宋体" w:cs="宋体"/>
                <w:color w:val="auto"/>
                <w:highlight w:val="none"/>
              </w:rPr>
              <w:t>（1）采购人应在政府采购招投标管理办法规定的时限内确定中标人。</w:t>
            </w:r>
          </w:p>
          <w:p>
            <w:pPr>
              <w:pStyle w:val="19"/>
              <w:widowControl/>
              <w:spacing w:before="0" w:beforeAutospacing="0" w:after="0" w:afterAutospacing="0"/>
              <w:rPr>
                <w:color w:val="auto"/>
                <w:highlight w:val="none"/>
              </w:rPr>
            </w:pPr>
            <w:r>
              <w:rPr>
                <w:rFonts w:hint="eastAsia" w:ascii="宋体" w:hAnsi="宋体" w:cs="宋体"/>
                <w:color w:val="auto"/>
                <w:highlight w:val="none"/>
              </w:rPr>
              <w:t>（2）若出现中标候选人并列情形，则按照下列方式确定中标人：</w:t>
            </w:r>
          </w:p>
          <w:p>
            <w:pPr>
              <w:pStyle w:val="19"/>
              <w:widowControl/>
              <w:spacing w:before="0" w:beforeAutospacing="0" w:after="0" w:afterAutospacing="0"/>
              <w:rPr>
                <w:color w:val="auto"/>
                <w:highlight w:val="none"/>
              </w:rPr>
            </w:pPr>
            <w:r>
              <w:rPr>
                <w:rFonts w:hint="eastAsia" w:ascii="宋体" w:hAnsi="宋体" w:cs="宋体"/>
                <w:color w:val="auto"/>
                <w:highlight w:val="none"/>
              </w:rPr>
              <w:t>①招标文件规定的方式：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19"/>
              <w:widowControl/>
              <w:spacing w:before="0" w:beforeAutospacing="0" w:after="0" w:afterAutospacing="0"/>
              <w:rPr>
                <w:color w:val="auto"/>
                <w:highlight w:val="none"/>
              </w:rPr>
            </w:pPr>
            <w:r>
              <w:rPr>
                <w:rFonts w:hint="eastAsia" w:ascii="宋体" w:hAnsi="宋体" w:cs="宋体"/>
                <w:color w:val="auto"/>
                <w:highlight w:val="none"/>
              </w:rPr>
              <w:t>②若本款第①点规定方式为“无”，则按照下列方式确定：无。</w:t>
            </w:r>
          </w:p>
          <w:p>
            <w:pPr>
              <w:pStyle w:val="19"/>
              <w:widowControl/>
              <w:spacing w:before="0" w:beforeAutospacing="0" w:after="0" w:afterAutospacing="0"/>
              <w:rPr>
                <w:color w:val="auto"/>
                <w:highlight w:val="none"/>
              </w:rPr>
            </w:pPr>
            <w:r>
              <w:rPr>
                <w:rFonts w:hint="eastAsia" w:ascii="宋体" w:hAnsi="宋体" w:cs="宋体"/>
                <w:color w:val="auto"/>
                <w:highlight w:val="none"/>
              </w:rPr>
              <w:t>③若本款第①、②点规定方式均为“无”，则按照下列方式确定：随机抽取。</w:t>
            </w:r>
          </w:p>
          <w:p>
            <w:pPr>
              <w:pStyle w:val="19"/>
              <w:widowControl/>
              <w:spacing w:before="0" w:beforeAutospacing="0" w:after="0" w:afterAutospacing="0"/>
              <w:rPr>
                <w:color w:val="auto"/>
                <w:highlight w:val="none"/>
              </w:rPr>
            </w:pPr>
            <w:r>
              <w:rPr>
                <w:rFonts w:hint="eastAsia" w:ascii="宋体" w:hAnsi="宋体" w:cs="宋体"/>
                <w:color w:val="auto"/>
                <w:highlight w:val="none"/>
              </w:rPr>
              <w:t>（3）本项目确定的中标人家数：</w:t>
            </w:r>
          </w:p>
          <w:p>
            <w:pPr>
              <w:pStyle w:val="19"/>
              <w:widowControl/>
              <w:spacing w:before="0" w:beforeAutospacing="0" w:after="0" w:afterAutospacing="0"/>
              <w:rPr>
                <w:color w:val="auto"/>
                <w:highlight w:val="none"/>
              </w:rPr>
            </w:pPr>
            <w:r>
              <w:rPr>
                <w:rFonts w:hint="eastAsia" w:ascii="宋体" w:hAnsi="宋体" w:cs="宋体"/>
                <w:color w:val="auto"/>
                <w:highlight w:val="none"/>
              </w:rPr>
              <w:t>①本项目确定采购包1中标人数为1家；</w:t>
            </w:r>
          </w:p>
          <w:p>
            <w:pPr>
              <w:pStyle w:val="19"/>
              <w:widowControl/>
              <w:spacing w:before="0" w:beforeAutospacing="0" w:after="0" w:afterAutospacing="0"/>
              <w:rPr>
                <w:color w:val="auto"/>
                <w:highlight w:val="none"/>
              </w:rPr>
            </w:pPr>
            <w:r>
              <w:rPr>
                <w:rFonts w:hint="eastAsia" w:ascii="宋体" w:hAnsi="宋体" w:cs="宋体"/>
                <w:color w:val="auto"/>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9</w:t>
            </w:r>
          </w:p>
        </w:tc>
        <w:tc>
          <w:tcPr>
            <w:tcW w:w="1832"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Fonts w:hint="eastAsia" w:ascii="宋体" w:hAnsi="宋体" w:cs="宋体"/>
                <w:color w:val="auto"/>
                <w:highlight w:val="none"/>
              </w:rPr>
              <w:t> 15.1-（</w:t>
            </w:r>
            <w:r>
              <w:rPr>
                <w:rFonts w:ascii="Times New Roman" w:hAnsi="Times New Roman"/>
                <w:color w:val="auto"/>
                <w:highlight w:val="none"/>
              </w:rPr>
              <w:t>2</w:t>
            </w:r>
            <w:r>
              <w:rPr>
                <w:rFonts w:hint="eastAsia" w:ascii="宋体" w:hAnsi="宋体" w:cs="宋体"/>
                <w:color w:val="auto"/>
                <w:highlight w:val="none"/>
              </w:rPr>
              <w:t>）</w:t>
            </w:r>
          </w:p>
        </w:tc>
        <w:tc>
          <w:tcPr>
            <w:tcW w:w="7434" w:type="dxa"/>
            <w:tcMar>
              <w:top w:w="0" w:type="dxa"/>
              <w:left w:w="105" w:type="dxa"/>
              <w:bottom w:w="0" w:type="dxa"/>
              <w:right w:w="105" w:type="dxa"/>
            </w:tcMar>
            <w:vAlign w:val="center"/>
          </w:tcPr>
          <w:p>
            <w:pPr>
              <w:pStyle w:val="19"/>
              <w:widowControl/>
              <w:wordWrap w:val="0"/>
              <w:spacing w:before="0" w:beforeAutospacing="0" w:after="0" w:afterAutospacing="0"/>
              <w:rPr>
                <w:color w:val="auto"/>
                <w:highlight w:val="none"/>
              </w:rPr>
            </w:pPr>
            <w:r>
              <w:rPr>
                <w:rStyle w:val="27"/>
                <w:rFonts w:hint="eastAsia" w:ascii="宋体" w:hAnsi="宋体" w:cs="宋体"/>
                <w:color w:val="auto"/>
                <w:highlight w:val="none"/>
              </w:rPr>
              <w:t>质疑函原件应采用下列方式提交：</w:t>
            </w:r>
            <w:r>
              <w:rPr>
                <w:rFonts w:hint="eastAsia" w:ascii="宋体" w:hAnsi="宋体" w:cs="宋体"/>
                <w:color w:val="auto"/>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10</w:t>
            </w:r>
          </w:p>
        </w:tc>
        <w:tc>
          <w:tcPr>
            <w:tcW w:w="1832"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Fonts w:hint="eastAsia" w:ascii="宋体" w:hAnsi="宋体" w:cs="宋体"/>
                <w:color w:val="auto"/>
                <w:highlight w:val="none"/>
              </w:rPr>
              <w:t> </w:t>
            </w:r>
          </w:p>
          <w:p>
            <w:pPr>
              <w:pStyle w:val="19"/>
              <w:widowControl/>
              <w:spacing w:before="0" w:beforeAutospacing="0" w:after="0" w:afterAutospacing="0"/>
              <w:rPr>
                <w:color w:val="auto"/>
                <w:highlight w:val="none"/>
              </w:rPr>
            </w:pPr>
            <w:r>
              <w:rPr>
                <w:rFonts w:hint="eastAsia" w:ascii="宋体" w:hAnsi="宋体" w:cs="宋体"/>
                <w:color w:val="auto"/>
                <w:highlight w:val="none"/>
              </w:rPr>
              <w:t>   15.4</w:t>
            </w:r>
          </w:p>
          <w:p>
            <w:pPr>
              <w:pStyle w:val="19"/>
              <w:widowControl/>
              <w:spacing w:before="0" w:beforeAutospacing="0" w:after="0" w:afterAutospacing="0"/>
              <w:rPr>
                <w:color w:val="auto"/>
                <w:highlight w:val="none"/>
              </w:rPr>
            </w:pPr>
            <w:r>
              <w:rPr>
                <w:rFonts w:cs="Calibri"/>
                <w:color w:val="auto"/>
                <w:highlight w:val="none"/>
              </w:rPr>
              <w:t> </w:t>
            </w:r>
          </w:p>
          <w:p>
            <w:pPr>
              <w:pStyle w:val="19"/>
              <w:widowControl/>
              <w:spacing w:before="0" w:beforeAutospacing="0" w:after="0" w:afterAutospacing="0"/>
              <w:jc w:val="center"/>
              <w:rPr>
                <w:color w:val="auto"/>
                <w:highlight w:val="none"/>
              </w:rPr>
            </w:pPr>
            <w:r>
              <w:rPr>
                <w:rFonts w:cs="Calibri"/>
                <w:color w:val="auto"/>
                <w:highlight w:val="none"/>
              </w:rPr>
              <w:t> </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招标文件的质疑</w:t>
            </w:r>
          </w:p>
          <w:p>
            <w:pPr>
              <w:pStyle w:val="19"/>
              <w:widowControl/>
              <w:spacing w:before="0" w:beforeAutospacing="0" w:after="0" w:afterAutospacing="0"/>
              <w:rPr>
                <w:color w:val="auto"/>
                <w:highlight w:val="none"/>
              </w:rPr>
            </w:pPr>
            <w:r>
              <w:rPr>
                <w:rFonts w:hint="eastAsia" w:ascii="宋体" w:hAnsi="宋体" w:cs="宋体"/>
                <w:color w:val="auto"/>
                <w:highlight w:val="none"/>
              </w:rPr>
              <w:t>（1）潜在投标人可在质疑时效期间内对招标文件以书面形式提出质疑。</w:t>
            </w:r>
            <w:r>
              <w:rPr>
                <w:rStyle w:val="52"/>
                <w:rFonts w:ascii="宋体" w:hAnsi="宋体"/>
                <w:b/>
                <w:bCs/>
                <w:color w:val="auto"/>
                <w:highlight w:val="none"/>
              </w:rPr>
              <w:t>在法定质疑期内质疑人须一次性提出针对同一采购程序环节的质疑，二（多）次质疑不予受理。</w:t>
            </w:r>
          </w:p>
          <w:p>
            <w:pPr>
              <w:pStyle w:val="19"/>
              <w:widowControl/>
              <w:spacing w:before="0" w:beforeAutospacing="0" w:after="0" w:afterAutospacing="0"/>
              <w:rPr>
                <w:color w:val="auto"/>
                <w:highlight w:val="none"/>
              </w:rPr>
            </w:pPr>
            <w:r>
              <w:rPr>
                <w:rFonts w:hint="eastAsia" w:ascii="宋体" w:hAnsi="宋体" w:cs="宋体"/>
                <w:color w:val="auto"/>
                <w:highlight w:val="none"/>
              </w:rPr>
              <w:t>（2）质疑时效期间：自投标人登记购买招标文件之日起</w:t>
            </w:r>
            <w:r>
              <w:rPr>
                <w:rFonts w:ascii="Times New Roman" w:hAnsi="Times New Roman"/>
                <w:color w:val="auto"/>
                <w:highlight w:val="none"/>
              </w:rPr>
              <w:t>7</w:t>
            </w:r>
            <w:r>
              <w:rPr>
                <w:rFonts w:hint="eastAsia" w:ascii="宋体" w:hAnsi="宋体" w:cs="宋体"/>
                <w:color w:val="auto"/>
                <w:highlight w:val="none"/>
              </w:rPr>
              <w:t>个工作日内向</w:t>
            </w:r>
            <w:r>
              <w:rPr>
                <w:rFonts w:hint="eastAsia" w:ascii="宋体" w:hAnsi="宋体" w:cs="宋体"/>
                <w:color w:val="auto"/>
                <w:highlight w:val="none"/>
                <w:u w:val="single"/>
              </w:rPr>
              <w:t>福建榕卫招标有限公司</w:t>
            </w:r>
            <w:r>
              <w:rPr>
                <w:rFonts w:hint="eastAsia" w:ascii="宋体" w:hAnsi="宋体" w:cs="宋体"/>
                <w:color w:val="auto"/>
                <w:highlight w:val="none"/>
              </w:rPr>
              <w:t>提出。</w:t>
            </w:r>
          </w:p>
          <w:p>
            <w:pPr>
              <w:pStyle w:val="19"/>
              <w:widowControl/>
              <w:spacing w:before="0" w:beforeAutospacing="0" w:after="0" w:afterAutospacing="0"/>
              <w:rPr>
                <w:color w:val="auto"/>
                <w:highlight w:val="none"/>
              </w:rPr>
            </w:pPr>
            <w:r>
              <w:rPr>
                <w:rStyle w:val="27"/>
                <w:rFonts w:hint="eastAsia" w:ascii="宋体" w:hAnsi="宋体" w:cs="宋体"/>
                <w:color w:val="auto"/>
                <w:highlight w:val="none"/>
              </w:rPr>
              <w:t>※除上述规定外，对招标文件提出的质疑还应符合招标文件第三章第</w:t>
            </w:r>
            <w:r>
              <w:rPr>
                <w:rStyle w:val="27"/>
                <w:rFonts w:ascii="Times New Roman" w:hAnsi="Times New Roman"/>
                <w:color w:val="auto"/>
                <w:highlight w:val="none"/>
              </w:rPr>
              <w:t>15.1</w:t>
            </w:r>
            <w:r>
              <w:rPr>
                <w:rStyle w:val="27"/>
                <w:rFonts w:hint="eastAsia" w:ascii="宋体" w:hAnsi="宋体" w:cs="宋体"/>
                <w:color w:val="auto"/>
                <w:highlight w:val="none"/>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11</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16.1</w:t>
            </w:r>
          </w:p>
        </w:tc>
        <w:tc>
          <w:tcPr>
            <w:tcW w:w="7434" w:type="dxa"/>
            <w:tcMar>
              <w:top w:w="0" w:type="dxa"/>
              <w:left w:w="105" w:type="dxa"/>
              <w:bottom w:w="0" w:type="dxa"/>
              <w:right w:w="105" w:type="dxa"/>
            </w:tcMar>
            <w:vAlign w:val="center"/>
          </w:tcPr>
          <w:p>
            <w:pPr>
              <w:pStyle w:val="19"/>
              <w:widowControl/>
              <w:spacing w:before="0" w:beforeAutospacing="0" w:after="0" w:afterAutospacing="0"/>
              <w:rPr>
                <w:color w:val="auto"/>
                <w:highlight w:val="none"/>
              </w:rPr>
            </w:pPr>
            <w:r>
              <w:rPr>
                <w:rStyle w:val="27"/>
                <w:rFonts w:hint="eastAsia" w:ascii="宋体" w:hAnsi="宋体" w:cs="宋体"/>
                <w:color w:val="auto"/>
                <w:highlight w:val="none"/>
              </w:rPr>
              <w:t>监督管理部门：</w:t>
            </w:r>
            <w:r>
              <w:rPr>
                <w:rStyle w:val="27"/>
                <w:rFonts w:hint="eastAsia" w:ascii="宋体" w:hAnsi="宋体" w:cs="宋体"/>
                <w:b w:val="0"/>
                <w:bCs/>
                <w:color w:val="auto"/>
                <w:highlight w:val="none"/>
                <w:lang w:eastAsia="zh-CN"/>
              </w:rPr>
              <w:t>福建省立医院</w:t>
            </w:r>
            <w:r>
              <w:rPr>
                <w:rStyle w:val="27"/>
                <w:rFonts w:hint="eastAsia" w:ascii="宋体" w:hAnsi="宋体" w:cs="宋体"/>
                <w:b w:val="0"/>
                <w:bCs/>
                <w:color w:val="auto"/>
                <w:highlight w:val="none"/>
                <w:lang w:val="en-US" w:eastAsia="zh-CN"/>
              </w:rPr>
              <w:t>相关</w:t>
            </w:r>
            <w:r>
              <w:rPr>
                <w:rFonts w:hint="eastAsia"/>
                <w:color w:val="auto"/>
                <w:highlight w:val="none"/>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12</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18.1</w:t>
            </w:r>
          </w:p>
        </w:tc>
        <w:tc>
          <w:tcPr>
            <w:tcW w:w="7434" w:type="dxa"/>
            <w:tcMar>
              <w:top w:w="0" w:type="dxa"/>
              <w:left w:w="105" w:type="dxa"/>
              <w:bottom w:w="0" w:type="dxa"/>
              <w:right w:w="105" w:type="dxa"/>
            </w:tcMar>
            <w:vAlign w:val="center"/>
          </w:tcPr>
          <w:p>
            <w:pPr>
              <w:pStyle w:val="19"/>
              <w:widowControl/>
              <w:wordWrap w:val="0"/>
              <w:spacing w:before="0" w:beforeAutospacing="0" w:after="0" w:afterAutospacing="0"/>
              <w:rPr>
                <w:color w:val="auto"/>
                <w:highlight w:val="none"/>
              </w:rPr>
            </w:pPr>
            <w:r>
              <w:rPr>
                <w:rStyle w:val="27"/>
                <w:rFonts w:hint="eastAsia" w:ascii="宋体" w:hAnsi="宋体" w:cs="宋体"/>
                <w:color w:val="auto"/>
                <w:highlight w:val="none"/>
              </w:rPr>
              <w:t>财政部指定的政府采购信息发布媒体（以下简称：“指定媒体”）：</w:t>
            </w:r>
          </w:p>
          <w:p>
            <w:pPr>
              <w:pStyle w:val="19"/>
              <w:widowControl/>
              <w:wordWrap w:val="0"/>
              <w:spacing w:before="0" w:beforeAutospacing="0" w:after="0" w:afterAutospacing="0"/>
              <w:rPr>
                <w:color w:val="auto"/>
                <w:highlight w:val="none"/>
              </w:rPr>
            </w:pPr>
            <w:r>
              <w:rPr>
                <w:rFonts w:hint="eastAsia" w:ascii="宋体" w:hAnsi="宋体" w:cs="宋体"/>
                <w:color w:val="auto"/>
                <w:highlight w:val="none"/>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13</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color w:val="auto"/>
                <w:highlight w:val="none"/>
              </w:rPr>
            </w:pPr>
            <w:r>
              <w:rPr>
                <w:rFonts w:hint="eastAsia" w:ascii="宋体" w:hAnsi="宋体" w:cs="宋体"/>
                <w:color w:val="auto"/>
                <w:highlight w:val="none"/>
              </w:rPr>
              <w:t>19.2</w:t>
            </w:r>
          </w:p>
        </w:tc>
        <w:tc>
          <w:tcPr>
            <w:tcW w:w="7434" w:type="dxa"/>
            <w:tcMar>
              <w:top w:w="0" w:type="dxa"/>
              <w:left w:w="105" w:type="dxa"/>
              <w:bottom w:w="0" w:type="dxa"/>
              <w:right w:w="105" w:type="dxa"/>
            </w:tcMar>
            <w:vAlign w:val="center"/>
          </w:tcPr>
          <w:p>
            <w:pPr>
              <w:pStyle w:val="19"/>
              <w:widowControl/>
              <w:wordWrap w:val="0"/>
              <w:spacing w:before="0" w:beforeAutospacing="0" w:after="0" w:afterAutospacing="0"/>
              <w:rPr>
                <w:color w:val="auto"/>
                <w:highlight w:val="none"/>
              </w:rPr>
            </w:pPr>
            <w:r>
              <w:rPr>
                <w:rStyle w:val="27"/>
                <w:rFonts w:hint="eastAsia" w:ascii="宋体" w:hAnsi="宋体" w:cs="宋体"/>
                <w:color w:val="auto"/>
                <w:highlight w:val="none"/>
              </w:rPr>
              <w:t>其他事项：</w:t>
            </w:r>
          </w:p>
          <w:p>
            <w:pPr>
              <w:pStyle w:val="19"/>
              <w:widowControl/>
              <w:numPr>
                <w:ilvl w:val="0"/>
                <w:numId w:val="2"/>
              </w:numPr>
              <w:wordWrap w:val="0"/>
              <w:spacing w:before="0" w:beforeAutospacing="0" w:after="0" w:afterAutospacing="0"/>
              <w:rPr>
                <w:rFonts w:ascii="宋体" w:hAnsi="宋体"/>
                <w:b/>
                <w:color w:val="auto"/>
                <w:highlight w:val="none"/>
              </w:rPr>
            </w:pPr>
            <w:r>
              <w:rPr>
                <w:rStyle w:val="27"/>
                <w:rFonts w:hint="eastAsia" w:ascii="宋体" w:hAnsi="宋体" w:cs="宋体"/>
                <w:color w:val="auto"/>
                <w:highlight w:val="none"/>
              </w:rPr>
              <w:t>本项目代理服务费由</w:t>
            </w:r>
            <w:r>
              <w:rPr>
                <w:rFonts w:hint="eastAsia" w:ascii="宋体" w:hAnsi="宋体" w:cs="宋体"/>
                <w:b/>
                <w:bCs/>
                <w:color w:val="auto"/>
                <w:highlight w:val="none"/>
              </w:rPr>
              <w:t>中标人</w:t>
            </w:r>
            <w:r>
              <w:rPr>
                <w:rStyle w:val="27"/>
                <w:rFonts w:hint="eastAsia" w:ascii="宋体" w:hAnsi="宋体" w:cs="宋体"/>
                <w:color w:val="auto"/>
                <w:highlight w:val="none"/>
              </w:rPr>
              <w:t>支付。</w:t>
            </w:r>
          </w:p>
          <w:p>
            <w:pPr>
              <w:pStyle w:val="19"/>
              <w:widowControl/>
              <w:numPr>
                <w:ilvl w:val="0"/>
                <w:numId w:val="2"/>
              </w:numPr>
              <w:wordWrap w:val="0"/>
              <w:spacing w:before="0" w:beforeAutospacing="0" w:after="0" w:afterAutospacing="0"/>
              <w:rPr>
                <w:rFonts w:ascii="宋体" w:hAnsi="宋体" w:cs="宋体"/>
                <w:b/>
                <w:color w:val="auto"/>
                <w:highlight w:val="none"/>
              </w:rPr>
            </w:pPr>
            <w:r>
              <w:rPr>
                <w:rFonts w:hint="eastAsia" w:ascii="宋体" w:hAnsi="宋体"/>
                <w:b/>
                <w:color w:val="auto"/>
                <w:highlight w:val="none"/>
              </w:rPr>
              <w:t>其他：招标代理服务费收费标准:以采购包的</w:t>
            </w:r>
            <w:r>
              <w:rPr>
                <w:rFonts w:hint="eastAsia" w:ascii="宋体" w:hAnsi="宋体"/>
                <w:b/>
                <w:color w:val="auto"/>
                <w:highlight w:val="none"/>
                <w:lang w:val="en-US" w:eastAsia="zh-CN"/>
              </w:rPr>
              <w:t>预算金额</w:t>
            </w:r>
            <w:r>
              <w:rPr>
                <w:rFonts w:hint="eastAsia" w:ascii="宋体" w:hAnsi="宋体"/>
                <w:b/>
                <w:color w:val="auto"/>
                <w:highlight w:val="none"/>
              </w:rPr>
              <w:t>为计算基数，按差额定率累进法</w:t>
            </w:r>
            <w:r>
              <w:rPr>
                <w:rFonts w:hint="eastAsia" w:ascii="宋体" w:hAnsi="宋体"/>
                <w:b/>
                <w:color w:val="auto"/>
                <w:highlight w:val="none"/>
                <w:lang w:eastAsia="zh-CN"/>
              </w:rPr>
              <w:t>【</w:t>
            </w:r>
            <w:r>
              <w:rPr>
                <w:rFonts w:hint="eastAsia" w:ascii="宋体" w:hAnsi="宋体"/>
                <w:b/>
                <w:color w:val="auto"/>
                <w:highlight w:val="none"/>
                <w:lang w:val="en-US" w:eastAsia="zh-CN"/>
              </w:rPr>
              <w:t>100万元（含）以下部分费率1.5%；100-500万元部分费率为0.8%</w:t>
            </w:r>
            <w:r>
              <w:rPr>
                <w:rFonts w:hint="eastAsia" w:ascii="宋体" w:hAnsi="宋体"/>
                <w:b/>
                <w:color w:val="auto"/>
                <w:highlight w:val="none"/>
                <w:lang w:eastAsia="zh-CN"/>
              </w:rPr>
              <w:t>】</w:t>
            </w:r>
            <w:r>
              <w:rPr>
                <w:rFonts w:hint="eastAsia" w:ascii="宋体" w:hAnsi="宋体"/>
                <w:b/>
                <w:color w:val="auto"/>
                <w:highlight w:val="none"/>
              </w:rPr>
              <w:t>计算下浮30%后向中标人收取</w:t>
            </w:r>
            <w:r>
              <w:rPr>
                <w:rFonts w:hint="eastAsia" w:ascii="宋体" w:hAnsi="宋体" w:cs="宋体"/>
                <w:b/>
                <w:color w:val="auto"/>
                <w:highlight w:val="none"/>
              </w:rPr>
              <w:t>。</w:t>
            </w:r>
          </w:p>
          <w:p>
            <w:pPr>
              <w:pStyle w:val="19"/>
              <w:widowControl/>
              <w:wordWrap w:val="0"/>
              <w:spacing w:before="0" w:beforeAutospacing="0" w:after="0" w:afterAutospacing="0"/>
              <w:rPr>
                <w:rFonts w:ascii="宋体" w:hAnsi="宋体"/>
                <w:b/>
                <w:color w:val="auto"/>
                <w:highlight w:val="none"/>
              </w:rPr>
            </w:pPr>
            <w:r>
              <w:rPr>
                <w:rFonts w:hint="eastAsia" w:ascii="宋体" w:hAnsi="宋体"/>
                <w:b/>
                <w:color w:val="auto"/>
                <w:highlight w:val="none"/>
              </w:rPr>
              <w:t>（3）中标人须在领取中标通知书之前一次性向代理机构指定的账户缴纳招标代理服务费。</w:t>
            </w:r>
          </w:p>
          <w:p>
            <w:pPr>
              <w:pStyle w:val="19"/>
              <w:widowControl/>
              <w:wordWrap w:val="0"/>
              <w:spacing w:before="0" w:beforeAutospacing="0" w:after="0" w:afterAutospacing="0"/>
              <w:rPr>
                <w:b/>
                <w:bCs/>
                <w:color w:val="auto"/>
                <w:highlight w:val="none"/>
              </w:rPr>
            </w:pPr>
            <w:r>
              <w:rPr>
                <w:b/>
                <w:bCs/>
                <w:color w:val="auto"/>
                <w:highlight w:val="none"/>
              </w:rPr>
              <w:t>中标人缴交服务费专用账户：</w:t>
            </w:r>
          </w:p>
          <w:p>
            <w:pPr>
              <w:pStyle w:val="19"/>
              <w:widowControl/>
              <w:wordWrap w:val="0"/>
              <w:spacing w:before="0" w:beforeAutospacing="0" w:after="0" w:afterAutospacing="0"/>
              <w:rPr>
                <w:color w:val="auto"/>
                <w:highlight w:val="none"/>
              </w:rPr>
            </w:pPr>
            <w:r>
              <w:rPr>
                <w:color w:val="auto"/>
                <w:highlight w:val="none"/>
              </w:rPr>
              <w:t xml:space="preserve">    开户银行：</w:t>
            </w:r>
            <w:r>
              <w:rPr>
                <w:rFonts w:hint="eastAsia"/>
                <w:color w:val="auto"/>
                <w:highlight w:val="none"/>
              </w:rPr>
              <w:t>福建海峡银行股份有限公司福州鼓楼支行</w:t>
            </w:r>
            <w:r>
              <w:rPr>
                <w:color w:val="auto"/>
                <w:highlight w:val="none"/>
              </w:rPr>
              <w:t xml:space="preserve"> </w:t>
            </w:r>
          </w:p>
          <w:p>
            <w:pPr>
              <w:pStyle w:val="19"/>
              <w:widowControl/>
              <w:wordWrap w:val="0"/>
              <w:spacing w:before="0" w:beforeAutospacing="0" w:after="0" w:afterAutospacing="0"/>
              <w:rPr>
                <w:color w:val="auto"/>
                <w:highlight w:val="none"/>
              </w:rPr>
            </w:pPr>
            <w:r>
              <w:rPr>
                <w:color w:val="auto"/>
                <w:highlight w:val="none"/>
              </w:rPr>
              <w:t xml:space="preserve">    开户名称：福建榕卫招标有限公司</w:t>
            </w:r>
          </w:p>
          <w:p>
            <w:pPr>
              <w:pStyle w:val="19"/>
              <w:widowControl/>
              <w:wordWrap w:val="0"/>
              <w:spacing w:before="0" w:beforeAutospacing="0" w:after="0" w:afterAutospacing="0"/>
              <w:ind w:firstLine="480" w:firstLineChars="200"/>
              <w:rPr>
                <w:color w:val="auto"/>
                <w:highlight w:val="none"/>
              </w:rPr>
            </w:pPr>
            <w:r>
              <w:rPr>
                <w:rFonts w:hint="eastAsia"/>
                <w:color w:val="auto"/>
                <w:highlight w:val="none"/>
                <w:lang w:eastAsia="zh-CN"/>
              </w:rPr>
              <w:t>账</w:t>
            </w:r>
            <w:r>
              <w:rPr>
                <w:color w:val="auto"/>
                <w:highlight w:val="none"/>
              </w:rPr>
              <w:t xml:space="preserve">    号： 100028500520010001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19"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cs="宋体"/>
                <w:color w:val="auto"/>
                <w:highlight w:val="none"/>
              </w:rPr>
            </w:pPr>
            <w:r>
              <w:rPr>
                <w:rFonts w:hint="eastAsia" w:ascii="宋体" w:hAnsi="宋体" w:cs="宋体"/>
                <w:color w:val="auto"/>
                <w:highlight w:val="none"/>
              </w:rPr>
              <w:t>14</w:t>
            </w:r>
          </w:p>
        </w:tc>
        <w:tc>
          <w:tcPr>
            <w:tcW w:w="1832"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cs="宋体"/>
                <w:color w:val="auto"/>
                <w:highlight w:val="none"/>
              </w:rPr>
            </w:pPr>
            <w:r>
              <w:rPr>
                <w:rFonts w:hint="eastAsia" w:ascii="宋体" w:hAnsi="宋体" w:cs="宋体"/>
                <w:color w:val="auto"/>
                <w:highlight w:val="none"/>
              </w:rPr>
              <w:t>10.9</w:t>
            </w:r>
          </w:p>
        </w:tc>
        <w:tc>
          <w:tcPr>
            <w:tcW w:w="7434" w:type="dxa"/>
            <w:tcMar>
              <w:top w:w="0" w:type="dxa"/>
              <w:left w:w="105" w:type="dxa"/>
              <w:bottom w:w="0" w:type="dxa"/>
              <w:right w:w="105" w:type="dxa"/>
            </w:tcMar>
            <w:vAlign w:val="center"/>
          </w:tcPr>
          <w:p>
            <w:pPr>
              <w:rPr>
                <w:rFonts w:ascii="宋体" w:hAnsi="宋体"/>
                <w:b/>
                <w:color w:val="auto"/>
                <w:sz w:val="24"/>
                <w:highlight w:val="none"/>
              </w:rPr>
            </w:pPr>
            <w:r>
              <w:rPr>
                <w:rFonts w:hint="eastAsia" w:ascii="宋体" w:hAnsi="宋体"/>
                <w:b/>
                <w:color w:val="auto"/>
                <w:sz w:val="24"/>
                <w:highlight w:val="none"/>
              </w:rPr>
              <w:t>投标保证金：</w:t>
            </w:r>
          </w:p>
          <w:p>
            <w:pPr>
              <w:ind w:firstLine="472" w:firstLineChars="196"/>
              <w:rPr>
                <w:rFonts w:ascii="宋体" w:hAnsi="宋体"/>
                <w:color w:val="auto"/>
                <w:sz w:val="24"/>
                <w:highlight w:val="none"/>
              </w:rPr>
            </w:pPr>
            <w:r>
              <w:rPr>
                <w:rFonts w:hint="eastAsia" w:ascii="宋体" w:hAnsi="宋体"/>
                <w:b/>
                <w:color w:val="auto"/>
                <w:sz w:val="24"/>
                <w:highlight w:val="none"/>
              </w:rPr>
              <w:t>1）投标保证金金额：</w:t>
            </w:r>
            <w:r>
              <w:rPr>
                <w:rFonts w:hint="eastAsia" w:ascii="宋体" w:hAnsi="宋体"/>
                <w:color w:val="auto"/>
                <w:sz w:val="24"/>
                <w:highlight w:val="none"/>
              </w:rPr>
              <w:t>详见《采购标的一览表》</w:t>
            </w:r>
          </w:p>
          <w:p>
            <w:pPr>
              <w:ind w:firstLine="472" w:firstLineChars="196"/>
              <w:rPr>
                <w:rFonts w:ascii="宋体" w:hAnsi="宋体" w:cs="宋体"/>
                <w:color w:val="auto"/>
                <w:highlight w:val="none"/>
              </w:rPr>
            </w:pPr>
            <w:r>
              <w:rPr>
                <w:rFonts w:hint="eastAsia" w:ascii="宋体" w:hAnsi="宋体"/>
                <w:b/>
                <w:color w:val="auto"/>
                <w:sz w:val="24"/>
                <w:highlight w:val="none"/>
              </w:rPr>
              <w:t>2）投标保证金的提交：</w:t>
            </w:r>
            <w:r>
              <w:rPr>
                <w:rFonts w:hint="eastAsia" w:ascii="宋体" w:hAnsi="宋体"/>
                <w:color w:val="auto"/>
                <w:sz w:val="24"/>
                <w:highlight w:val="none"/>
              </w:rPr>
              <w:t>投标人应以银行转账等</w:t>
            </w:r>
            <w:r>
              <w:rPr>
                <w:rFonts w:hint="eastAsia" w:ascii="宋体" w:hAnsi="宋体"/>
                <w:b/>
                <w:color w:val="auto"/>
                <w:sz w:val="24"/>
                <w:highlight w:val="none"/>
              </w:rPr>
              <w:t>公对公（非现金）形式</w:t>
            </w:r>
            <w:r>
              <w:rPr>
                <w:rFonts w:hint="eastAsia" w:ascii="宋体" w:hAnsi="宋体"/>
                <w:color w:val="auto"/>
                <w:sz w:val="24"/>
                <w:highlight w:val="none"/>
              </w:rPr>
              <w:t>向我司提交投标保证金，并保证于</w:t>
            </w:r>
            <w:r>
              <w:rPr>
                <w:rFonts w:hint="eastAsia" w:ascii="宋体" w:hAnsi="宋体"/>
                <w:b/>
                <w:color w:val="auto"/>
                <w:sz w:val="24"/>
                <w:highlight w:val="none"/>
                <w:u w:val="single"/>
              </w:rPr>
              <w:t>投标截止时间之前</w:t>
            </w:r>
            <w:r>
              <w:rPr>
                <w:rFonts w:hint="eastAsia" w:ascii="宋体" w:hAnsi="宋体"/>
                <w:color w:val="auto"/>
                <w:sz w:val="24"/>
                <w:highlight w:val="none"/>
              </w:rPr>
              <w:t>到达我司指定账户上，我司将以开户银行提供的投标保证金到账时间为依据进行确认。</w:t>
            </w:r>
            <w:r>
              <w:rPr>
                <w:rFonts w:hint="eastAsia" w:ascii="宋体" w:hAnsi="宋体"/>
                <w:b/>
                <w:color w:val="auto"/>
                <w:sz w:val="24"/>
                <w:highlight w:val="none"/>
              </w:rPr>
              <w:t>（请在投标保证金转账单上注明“</w:t>
            </w:r>
            <w:r>
              <w:rPr>
                <w:rFonts w:hint="eastAsia" w:ascii="宋体" w:hAnsi="宋体"/>
                <w:b/>
                <w:color w:val="auto"/>
                <w:sz w:val="24"/>
                <w:highlight w:val="none"/>
                <w:lang w:eastAsia="zh-CN"/>
              </w:rPr>
              <w:t>RWZB-2023-309</w:t>
            </w:r>
            <w:r>
              <w:rPr>
                <w:rFonts w:hint="eastAsia" w:ascii="宋体" w:hAnsi="宋体"/>
                <w:b/>
                <w:color w:val="auto"/>
                <w:sz w:val="24"/>
                <w:highlight w:val="none"/>
              </w:rPr>
              <w:t xml:space="preserve"> 投标保证金”等有关项目信息的类似字样。）</w:t>
            </w:r>
          </w:p>
        </w:tc>
      </w:tr>
    </w:tbl>
    <w:p>
      <w:pPr>
        <w:rPr>
          <w:color w:val="auto"/>
          <w:highlight w:val="none"/>
        </w:rPr>
      </w:pPr>
      <w:bookmarkStart w:id="7" w:name="_Toc51057748"/>
      <w:r>
        <w:rPr>
          <w:rFonts w:hint="eastAsia"/>
          <w:color w:val="auto"/>
          <w:highlight w:val="none"/>
        </w:rPr>
        <w:br w:type="page"/>
      </w:r>
    </w:p>
    <w:p>
      <w:pPr>
        <w:pStyle w:val="2"/>
        <w:jc w:val="center"/>
        <w:rPr>
          <w:color w:val="auto"/>
          <w:highlight w:val="none"/>
        </w:rPr>
      </w:pPr>
      <w:bookmarkStart w:id="8" w:name="_Toc593"/>
      <w:r>
        <w:rPr>
          <w:rFonts w:hint="eastAsia"/>
          <w:color w:val="auto"/>
          <w:highlight w:val="none"/>
        </w:rPr>
        <w:t>第三章 投标人须知</w:t>
      </w:r>
      <w:bookmarkEnd w:id="7"/>
      <w:bookmarkEnd w:id="8"/>
    </w:p>
    <w:p>
      <w:pPr>
        <w:pStyle w:val="3"/>
        <w:rPr>
          <w:color w:val="auto"/>
          <w:highlight w:val="none"/>
        </w:rPr>
      </w:pPr>
      <w:bookmarkStart w:id="9" w:name="_Toc16557"/>
      <w:bookmarkStart w:id="10" w:name="_Toc14147"/>
      <w:bookmarkStart w:id="11" w:name="_Toc51057749"/>
      <w:r>
        <w:rPr>
          <w:rStyle w:val="27"/>
          <w:rFonts w:hint="eastAsia" w:ascii="宋体" w:hAnsi="宋体" w:cs="宋体"/>
          <w:b w:val="0"/>
          <w:color w:val="auto"/>
          <w:highlight w:val="none"/>
        </w:rPr>
        <w:t>一、总则</w:t>
      </w:r>
      <w:bookmarkEnd w:id="9"/>
      <w:bookmarkEnd w:id="10"/>
      <w:bookmarkEnd w:id="11"/>
    </w:p>
    <w:p>
      <w:pPr>
        <w:pStyle w:val="19"/>
        <w:widowControl/>
        <w:spacing w:before="75" w:beforeAutospacing="0" w:after="75" w:afterAutospacing="0"/>
        <w:rPr>
          <w:color w:val="auto"/>
          <w:highlight w:val="none"/>
        </w:rPr>
      </w:pPr>
      <w:r>
        <w:rPr>
          <w:rFonts w:hint="eastAsia" w:ascii="宋体" w:hAnsi="宋体" w:cs="宋体"/>
          <w:color w:val="auto"/>
          <w:highlight w:val="none"/>
        </w:rPr>
        <w:t>1、适用范围</w:t>
      </w:r>
    </w:p>
    <w:p>
      <w:pPr>
        <w:pStyle w:val="19"/>
        <w:widowControl/>
        <w:spacing w:before="75" w:beforeAutospacing="0" w:after="75" w:afterAutospacing="0"/>
        <w:rPr>
          <w:color w:val="auto"/>
          <w:highlight w:val="none"/>
        </w:rPr>
      </w:pPr>
      <w:r>
        <w:rPr>
          <w:rFonts w:hint="eastAsia" w:ascii="宋体" w:hAnsi="宋体" w:cs="宋体"/>
          <w:color w:val="auto"/>
          <w:highlight w:val="none"/>
        </w:rPr>
        <w:t>1.1适用于招标文件载明项目的采购活动（以下简称：“本次采购活动”）。</w:t>
      </w:r>
    </w:p>
    <w:p>
      <w:pPr>
        <w:pStyle w:val="19"/>
        <w:widowControl/>
        <w:spacing w:before="75" w:beforeAutospacing="0" w:after="75" w:afterAutospacing="0"/>
        <w:rPr>
          <w:color w:val="auto"/>
          <w:highlight w:val="none"/>
        </w:rPr>
      </w:pPr>
      <w:r>
        <w:rPr>
          <w:rFonts w:hint="eastAsia" w:ascii="宋体" w:hAnsi="宋体" w:cs="宋体"/>
          <w:color w:val="auto"/>
          <w:highlight w:val="none"/>
        </w:rPr>
        <w:t>2、定义</w:t>
      </w:r>
    </w:p>
    <w:p>
      <w:pPr>
        <w:pStyle w:val="19"/>
        <w:widowControl/>
        <w:spacing w:before="75" w:beforeAutospacing="0" w:after="75" w:afterAutospacing="0"/>
        <w:rPr>
          <w:color w:val="auto"/>
          <w:highlight w:val="none"/>
        </w:rPr>
      </w:pPr>
      <w:r>
        <w:rPr>
          <w:rFonts w:hint="eastAsia" w:ascii="宋体" w:hAnsi="宋体" w:cs="宋体"/>
          <w:color w:val="auto"/>
          <w:highlight w:val="none"/>
        </w:rPr>
        <w:t>2.1“采购标的”指招标文件载明的需要采购的货物或服务。</w:t>
      </w:r>
    </w:p>
    <w:p>
      <w:pPr>
        <w:pStyle w:val="19"/>
        <w:widowControl/>
        <w:spacing w:before="75" w:beforeAutospacing="0" w:after="75" w:afterAutospacing="0"/>
        <w:rPr>
          <w:color w:val="auto"/>
          <w:highlight w:val="none"/>
        </w:rPr>
      </w:pPr>
      <w:r>
        <w:rPr>
          <w:rFonts w:hint="eastAsia" w:ascii="宋体" w:hAnsi="宋体" w:cs="宋体"/>
          <w:color w:val="auto"/>
          <w:highlight w:val="none"/>
        </w:rPr>
        <w:t>2.2“潜在投标人”指按照招标文件第一章第</w:t>
      </w:r>
      <w:r>
        <w:rPr>
          <w:rFonts w:cs="Calibri"/>
          <w:color w:val="auto"/>
          <w:highlight w:val="none"/>
        </w:rPr>
        <w:t>7</w:t>
      </w:r>
      <w:r>
        <w:rPr>
          <w:rFonts w:hint="eastAsia" w:ascii="宋体" w:hAnsi="宋体" w:cs="宋体"/>
          <w:color w:val="auto"/>
          <w:highlight w:val="none"/>
        </w:rPr>
        <w:t>条规定进行报名且有意向参加本项目投标的供应商。</w:t>
      </w:r>
    </w:p>
    <w:p>
      <w:pPr>
        <w:pStyle w:val="19"/>
        <w:widowControl/>
        <w:spacing w:before="75" w:beforeAutospacing="0" w:after="75" w:afterAutospacing="0"/>
        <w:rPr>
          <w:color w:val="auto"/>
          <w:highlight w:val="none"/>
        </w:rPr>
      </w:pPr>
      <w:r>
        <w:rPr>
          <w:rFonts w:hint="eastAsia" w:ascii="宋体" w:hAnsi="宋体" w:cs="宋体"/>
          <w:color w:val="auto"/>
          <w:highlight w:val="none"/>
        </w:rPr>
        <w:t>2.3“投标人”指按照招标文件第一章第</w:t>
      </w:r>
      <w:r>
        <w:rPr>
          <w:rFonts w:cs="Calibri"/>
          <w:color w:val="auto"/>
          <w:highlight w:val="none"/>
        </w:rPr>
        <w:t>7</w:t>
      </w:r>
      <w:r>
        <w:rPr>
          <w:rFonts w:hint="eastAsia" w:ascii="宋体" w:hAnsi="宋体" w:cs="宋体"/>
          <w:color w:val="auto"/>
          <w:highlight w:val="none"/>
        </w:rPr>
        <w:t>条规定进行报名并参加本项目投标的供应商。</w:t>
      </w:r>
    </w:p>
    <w:p>
      <w:pPr>
        <w:pStyle w:val="19"/>
        <w:widowControl/>
        <w:spacing w:before="75" w:beforeAutospacing="0" w:after="75" w:afterAutospacing="0"/>
        <w:rPr>
          <w:color w:val="auto"/>
          <w:highlight w:val="none"/>
        </w:rPr>
      </w:pPr>
      <w:r>
        <w:rPr>
          <w:rFonts w:hint="eastAsia" w:ascii="宋体" w:hAnsi="宋体" w:cs="宋体"/>
          <w:color w:val="auto"/>
          <w:highlight w:val="none"/>
        </w:rPr>
        <w:t>2.4“单位负责人”指单位法定代表人或法律、法规规定代表单位行使职权的主要负责人。</w:t>
      </w:r>
    </w:p>
    <w:p>
      <w:pPr>
        <w:pStyle w:val="19"/>
        <w:widowControl/>
        <w:spacing w:before="75" w:beforeAutospacing="0" w:after="75" w:afterAutospacing="0"/>
        <w:rPr>
          <w:color w:val="auto"/>
          <w:highlight w:val="none"/>
        </w:rPr>
      </w:pPr>
      <w:r>
        <w:rPr>
          <w:rFonts w:hint="eastAsia" w:ascii="宋体" w:hAnsi="宋体" w:cs="宋体"/>
          <w:color w:val="auto"/>
          <w:highlight w:val="none"/>
        </w:rPr>
        <w:t>2.5“投标人代表”指投标人的单位负责人或“单位负责人授权书”中载明的接受授权方。</w:t>
      </w:r>
    </w:p>
    <w:p>
      <w:pPr>
        <w:pStyle w:val="19"/>
        <w:widowControl/>
        <w:spacing w:before="75" w:beforeAutospacing="0" w:after="75" w:afterAutospacing="0"/>
        <w:rPr>
          <w:color w:val="auto"/>
          <w:highlight w:val="none"/>
        </w:rPr>
      </w:pPr>
      <w:r>
        <w:rPr>
          <w:rFonts w:hint="eastAsia" w:ascii="宋体" w:hAnsi="宋体" w:cs="宋体"/>
          <w:color w:val="auto"/>
          <w:highlight w:val="none"/>
        </w:rPr>
        <w:t> </w:t>
      </w:r>
    </w:p>
    <w:p>
      <w:pPr>
        <w:pStyle w:val="3"/>
        <w:rPr>
          <w:color w:val="auto"/>
          <w:highlight w:val="none"/>
        </w:rPr>
      </w:pPr>
      <w:bookmarkStart w:id="12" w:name="_Toc820"/>
      <w:bookmarkStart w:id="13" w:name="_Toc51057750"/>
      <w:bookmarkStart w:id="14" w:name="_Toc21056"/>
      <w:r>
        <w:rPr>
          <w:rStyle w:val="27"/>
          <w:rFonts w:hint="eastAsia" w:ascii="宋体" w:hAnsi="宋体" w:cs="宋体"/>
          <w:b w:val="0"/>
          <w:color w:val="auto"/>
          <w:highlight w:val="none"/>
        </w:rPr>
        <w:t>二、投标人</w:t>
      </w:r>
      <w:bookmarkEnd w:id="12"/>
      <w:bookmarkEnd w:id="13"/>
      <w:bookmarkEnd w:id="14"/>
    </w:p>
    <w:p>
      <w:pPr>
        <w:pStyle w:val="19"/>
        <w:widowControl/>
        <w:spacing w:before="75" w:beforeAutospacing="0" w:after="75" w:afterAutospacing="0"/>
        <w:rPr>
          <w:color w:val="auto"/>
          <w:highlight w:val="none"/>
        </w:rPr>
      </w:pPr>
      <w:r>
        <w:rPr>
          <w:rFonts w:hint="eastAsia" w:ascii="宋体" w:hAnsi="宋体" w:cs="宋体"/>
          <w:color w:val="auto"/>
          <w:highlight w:val="none"/>
        </w:rPr>
        <w:t>3、合格投标人</w:t>
      </w:r>
    </w:p>
    <w:p>
      <w:pPr>
        <w:pStyle w:val="19"/>
        <w:widowControl/>
        <w:spacing w:before="75" w:beforeAutospacing="0" w:after="75" w:afterAutospacing="0"/>
        <w:rPr>
          <w:color w:val="auto"/>
          <w:highlight w:val="none"/>
        </w:rPr>
      </w:pPr>
      <w:r>
        <w:rPr>
          <w:rFonts w:hint="eastAsia" w:ascii="宋体" w:hAnsi="宋体" w:cs="宋体"/>
          <w:color w:val="auto"/>
          <w:highlight w:val="none"/>
        </w:rPr>
        <w:t>3.1一般规定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（1）投标人应遵守政府采购法及实施条例、政府采购招投标管理办法、政府采购质疑和投诉办法及财政部有关政府采购文件的规定，同时还应遵守有关法律、法规和规章的强制性规定。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（2）投标人的资格要求：详见招标文件第一章。</w:t>
      </w:r>
    </w:p>
    <w:p>
      <w:pPr>
        <w:pStyle w:val="19"/>
        <w:widowControl/>
        <w:spacing w:before="75" w:beforeAutospacing="0" w:after="75" w:afterAutospacing="0"/>
        <w:rPr>
          <w:color w:val="auto"/>
          <w:highlight w:val="none"/>
        </w:rPr>
      </w:pPr>
      <w:r>
        <w:rPr>
          <w:rFonts w:hint="eastAsia" w:ascii="宋体" w:hAnsi="宋体" w:cs="宋体"/>
          <w:color w:val="auto"/>
          <w:highlight w:val="none"/>
        </w:rPr>
        <w:t>4、投标费用</w:t>
      </w:r>
    </w:p>
    <w:p>
      <w:pPr>
        <w:pStyle w:val="19"/>
        <w:widowControl/>
        <w:spacing w:before="75" w:beforeAutospacing="0" w:after="75" w:afterAutospacing="0"/>
        <w:rPr>
          <w:color w:val="auto"/>
          <w:highlight w:val="none"/>
        </w:rPr>
      </w:pPr>
      <w:r>
        <w:rPr>
          <w:rFonts w:hint="eastAsia" w:ascii="宋体" w:hAnsi="宋体" w:cs="宋体"/>
          <w:color w:val="auto"/>
          <w:highlight w:val="none"/>
        </w:rPr>
        <w:t>4.1除招标文件另有规定外，投标人应自行承担其参加本项目投标所涉及的一切费用。</w:t>
      </w:r>
    </w:p>
    <w:p>
      <w:pPr>
        <w:pStyle w:val="19"/>
        <w:widowControl/>
        <w:spacing w:before="75" w:beforeAutospacing="0" w:after="75" w:afterAutospacing="0"/>
        <w:rPr>
          <w:color w:val="auto"/>
          <w:highlight w:val="none"/>
        </w:rPr>
      </w:pPr>
      <w:r>
        <w:rPr>
          <w:rFonts w:hint="eastAsia" w:ascii="宋体" w:hAnsi="宋体" w:cs="宋体"/>
          <w:color w:val="auto"/>
          <w:highlight w:val="none"/>
        </w:rPr>
        <w:t> </w:t>
      </w:r>
    </w:p>
    <w:p>
      <w:pPr>
        <w:pStyle w:val="3"/>
        <w:rPr>
          <w:color w:val="auto"/>
          <w:highlight w:val="none"/>
        </w:rPr>
      </w:pPr>
      <w:bookmarkStart w:id="15" w:name="_Toc12984"/>
      <w:bookmarkStart w:id="16" w:name="_Toc51057751"/>
      <w:bookmarkStart w:id="17" w:name="_Toc28544"/>
      <w:r>
        <w:rPr>
          <w:rStyle w:val="27"/>
          <w:rFonts w:hint="eastAsia" w:ascii="宋体" w:hAnsi="宋体" w:cs="宋体"/>
          <w:b w:val="0"/>
          <w:color w:val="auto"/>
          <w:highlight w:val="none"/>
        </w:rPr>
        <w:t>三、招标</w:t>
      </w:r>
      <w:bookmarkEnd w:id="15"/>
      <w:bookmarkEnd w:id="16"/>
      <w:bookmarkEnd w:id="17"/>
    </w:p>
    <w:p>
      <w:pPr>
        <w:pStyle w:val="19"/>
        <w:widowControl/>
        <w:spacing w:before="75" w:beforeAutospacing="0" w:after="75" w:afterAutospacing="0"/>
        <w:rPr>
          <w:color w:val="auto"/>
          <w:highlight w:val="none"/>
        </w:rPr>
      </w:pPr>
      <w:r>
        <w:rPr>
          <w:rFonts w:hint="eastAsia" w:ascii="宋体" w:hAnsi="宋体" w:cs="宋体"/>
          <w:color w:val="auto"/>
          <w:highlight w:val="none"/>
        </w:rPr>
        <w:t>5、招标文件</w:t>
      </w:r>
    </w:p>
    <w:p>
      <w:pPr>
        <w:pStyle w:val="19"/>
        <w:widowControl/>
        <w:spacing w:before="75" w:beforeAutospacing="0" w:after="75" w:afterAutospacing="0"/>
        <w:rPr>
          <w:color w:val="auto"/>
          <w:highlight w:val="none"/>
        </w:rPr>
      </w:pPr>
      <w:r>
        <w:rPr>
          <w:rFonts w:hint="eastAsia" w:ascii="宋体" w:hAnsi="宋体" w:cs="宋体"/>
          <w:color w:val="auto"/>
          <w:highlight w:val="none"/>
        </w:rPr>
        <w:t>5.1招标文件由下述部分组成：</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（1）投标邀请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（2）投标人须知前附表（表</w:t>
      </w:r>
      <w:r>
        <w:rPr>
          <w:rFonts w:cs="Calibri"/>
          <w:color w:val="auto"/>
          <w:highlight w:val="none"/>
        </w:rPr>
        <w:t>1</w:t>
      </w:r>
      <w:r>
        <w:rPr>
          <w:rFonts w:hint="eastAsia" w:ascii="宋体" w:hAnsi="宋体" w:cs="宋体"/>
          <w:color w:val="auto"/>
          <w:highlight w:val="none"/>
        </w:rPr>
        <w:t>、</w:t>
      </w:r>
      <w:r>
        <w:rPr>
          <w:rFonts w:cs="Calibri"/>
          <w:color w:val="auto"/>
          <w:highlight w:val="none"/>
        </w:rPr>
        <w:t>2</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（3）投标人须知</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（4）资格审查与评标</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（5）招标内容及要求</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（6）采购合同（参考文本）</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（7）投标文件格式</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（8）按照招标文件规定作为招标文件组成部分的其他内容（若有）</w:t>
      </w:r>
    </w:p>
    <w:p>
      <w:pPr>
        <w:pStyle w:val="19"/>
        <w:widowControl/>
        <w:spacing w:before="75" w:beforeAutospacing="0" w:after="75" w:afterAutospacing="0"/>
        <w:rPr>
          <w:color w:val="auto"/>
          <w:highlight w:val="none"/>
        </w:rPr>
      </w:pPr>
      <w:r>
        <w:rPr>
          <w:rFonts w:hint="eastAsia" w:ascii="宋体" w:hAnsi="宋体" w:cs="宋体"/>
          <w:color w:val="auto"/>
          <w:highlight w:val="none"/>
        </w:rPr>
        <w:t>5.2招标文件的澄清或修改</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w:t>
      </w:r>
      <w:r>
        <w:rPr>
          <w:rFonts w:hint="eastAsia"/>
          <w:color w:val="auto"/>
          <w:highlight w:val="none"/>
          <w:u w:val="single"/>
        </w:rPr>
        <w:t>福建榕卫招标有限公司</w:t>
      </w:r>
      <w:r>
        <w:rPr>
          <w:rFonts w:hint="eastAsia" w:ascii="宋体" w:hAnsi="宋体" w:cs="宋体"/>
          <w:color w:val="auto"/>
          <w:highlight w:val="none"/>
        </w:rPr>
        <w:t>可对已发出的招标文件进行必要的澄清或修改，但不得对招标文件载明的采购标的和投标人的资格要求进行改变。</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（2）除本章第</w:t>
      </w:r>
      <w:r>
        <w:rPr>
          <w:rFonts w:cs="Calibri"/>
          <w:color w:val="auto"/>
          <w:highlight w:val="none"/>
        </w:rPr>
        <w:t>5.2</w:t>
      </w:r>
      <w:r>
        <w:rPr>
          <w:rFonts w:hint="eastAsia" w:ascii="宋体" w:hAnsi="宋体" w:cs="宋体"/>
          <w:color w:val="auto"/>
          <w:highlight w:val="none"/>
        </w:rPr>
        <w:t>条第（</w:t>
      </w:r>
      <w:r>
        <w:rPr>
          <w:rFonts w:cs="Calibri"/>
          <w:color w:val="auto"/>
          <w:highlight w:val="none"/>
        </w:rPr>
        <w:t>3</w:t>
      </w:r>
      <w:r>
        <w:rPr>
          <w:rFonts w:hint="eastAsia" w:ascii="宋体" w:hAnsi="宋体" w:cs="宋体"/>
          <w:color w:val="auto"/>
          <w:highlight w:val="none"/>
        </w:rPr>
        <w:t>）款规定情形外，澄清或修改的内容可能影响投标文件编制的，</w:t>
      </w:r>
      <w:r>
        <w:rPr>
          <w:rFonts w:hint="eastAsia" w:ascii="宋体" w:hAnsi="宋体" w:cs="宋体"/>
          <w:color w:val="auto"/>
          <w:highlight w:val="none"/>
          <w:u w:val="single"/>
        </w:rPr>
        <w:t>福建榕卫招标有限公司</w:t>
      </w:r>
      <w:r>
        <w:rPr>
          <w:rFonts w:hint="eastAsia" w:ascii="宋体" w:hAnsi="宋体" w:cs="宋体"/>
          <w:color w:val="auto"/>
          <w:highlight w:val="none"/>
        </w:rPr>
        <w:t>将在投标截止时间至少15个日历日前，在招标文件载明的指定媒体以更正公告的形式发布澄清或修改的内容。不足</w:t>
      </w:r>
      <w:r>
        <w:rPr>
          <w:rFonts w:cs="Calibri"/>
          <w:color w:val="auto"/>
          <w:highlight w:val="none"/>
        </w:rPr>
        <w:t>15</w:t>
      </w:r>
      <w:r>
        <w:rPr>
          <w:rFonts w:hint="eastAsia" w:ascii="宋体" w:hAnsi="宋体" w:cs="宋体"/>
          <w:color w:val="auto"/>
          <w:highlight w:val="none"/>
        </w:rPr>
        <w:t>个日历日的，</w:t>
      </w:r>
      <w:r>
        <w:rPr>
          <w:rFonts w:hint="eastAsia" w:ascii="宋体" w:hAnsi="宋体" w:cs="宋体"/>
          <w:color w:val="auto"/>
          <w:highlight w:val="none"/>
          <w:u w:val="single"/>
        </w:rPr>
        <w:t>福建榕卫招标有限公司</w:t>
      </w:r>
      <w:r>
        <w:rPr>
          <w:rFonts w:hint="eastAsia" w:ascii="宋体" w:hAnsi="宋体" w:cs="宋体"/>
          <w:color w:val="auto"/>
          <w:highlight w:val="none"/>
        </w:rPr>
        <w:t>将顺延投标截止时间及开标时间，</w:t>
      </w:r>
      <w:r>
        <w:rPr>
          <w:rFonts w:hint="eastAsia" w:ascii="宋体" w:hAnsi="宋体" w:cs="宋体"/>
          <w:color w:val="auto"/>
          <w:highlight w:val="none"/>
          <w:u w:val="single"/>
        </w:rPr>
        <w:t>福建榕卫招标有限公司</w:t>
      </w:r>
      <w:r>
        <w:rPr>
          <w:rFonts w:hint="eastAsia" w:ascii="宋体" w:hAnsi="宋体" w:cs="宋体"/>
          <w:color w:val="auto"/>
          <w:highlight w:val="none"/>
        </w:rPr>
        <w:t>和投标人受原投标截止时间及开标时间制约的所有权利和义务均延长至新的投标截止时间及开标时间。</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w:t>
      </w:r>
      <w:r>
        <w:rPr>
          <w:rFonts w:hint="eastAsia" w:ascii="宋体" w:hAnsi="宋体" w:cs="宋体"/>
          <w:color w:val="auto"/>
          <w:highlight w:val="none"/>
          <w:u w:val="single"/>
        </w:rPr>
        <w:t>福建榕卫招标有限公司</w:t>
      </w:r>
      <w:r>
        <w:rPr>
          <w:rFonts w:hint="eastAsia" w:ascii="宋体" w:hAnsi="宋体" w:cs="宋体"/>
          <w:color w:val="auto"/>
          <w:highlight w:val="none"/>
        </w:rPr>
        <w:t>将依法组织后续采购活动（包括但不限于：重新招标、采用其他方式采购等）。</w:t>
      </w:r>
    </w:p>
    <w:p>
      <w:pPr>
        <w:pStyle w:val="19"/>
        <w:widowControl/>
        <w:spacing w:before="75" w:beforeAutospacing="0" w:after="75" w:afterAutospacing="0"/>
        <w:rPr>
          <w:color w:val="auto"/>
          <w:highlight w:val="none"/>
        </w:rPr>
      </w:pPr>
      <w:r>
        <w:rPr>
          <w:rFonts w:hint="eastAsia" w:ascii="宋体" w:hAnsi="宋体" w:cs="宋体"/>
          <w:color w:val="auto"/>
          <w:highlight w:val="none"/>
        </w:rPr>
        <w:t>6、现场考察或开标前答疑会</w:t>
      </w:r>
    </w:p>
    <w:p>
      <w:pPr>
        <w:pStyle w:val="19"/>
        <w:widowControl/>
        <w:spacing w:before="75" w:beforeAutospacing="0" w:after="75" w:afterAutospacing="0"/>
        <w:rPr>
          <w:color w:val="auto"/>
          <w:highlight w:val="none"/>
        </w:rPr>
      </w:pPr>
      <w:r>
        <w:rPr>
          <w:rFonts w:hint="eastAsia" w:ascii="宋体" w:hAnsi="宋体" w:cs="宋体"/>
          <w:color w:val="auto"/>
          <w:highlight w:val="none"/>
        </w:rPr>
        <w:t>6.1是否组织现场考察或召开开标前答疑会：详见招标文件第二章。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7、更正公告</w:t>
      </w:r>
    </w:p>
    <w:p>
      <w:pPr>
        <w:pStyle w:val="19"/>
        <w:widowControl/>
        <w:spacing w:before="75" w:beforeAutospacing="0" w:after="75" w:afterAutospacing="0"/>
        <w:rPr>
          <w:color w:val="auto"/>
          <w:highlight w:val="none"/>
        </w:rPr>
      </w:pPr>
      <w:r>
        <w:rPr>
          <w:rFonts w:hint="eastAsia" w:ascii="宋体" w:hAnsi="宋体" w:cs="宋体"/>
          <w:color w:val="auto"/>
          <w:highlight w:val="none"/>
        </w:rPr>
        <w:t>7.1若</w:t>
      </w:r>
      <w:r>
        <w:rPr>
          <w:rFonts w:hint="eastAsia" w:ascii="宋体" w:hAnsi="宋体" w:cs="宋体"/>
          <w:color w:val="auto"/>
          <w:highlight w:val="none"/>
          <w:u w:val="single"/>
        </w:rPr>
        <w:t>福建榕卫招标有限公司</w:t>
      </w:r>
      <w:r>
        <w:rPr>
          <w:rFonts w:hint="eastAsia" w:ascii="宋体" w:hAnsi="宋体" w:cs="宋体"/>
          <w:color w:val="auto"/>
          <w:highlight w:val="none"/>
        </w:rPr>
        <w:t>发布更正公告，则更正公告及其所发布的内容或信息（包括但不限于：招标文件的澄清或修改、现场考察或答疑会的有关事宜等）</w:t>
      </w:r>
      <w:r>
        <w:rPr>
          <w:rStyle w:val="27"/>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pPr>
        <w:pStyle w:val="19"/>
        <w:widowControl/>
        <w:spacing w:before="75" w:beforeAutospacing="0" w:after="75" w:afterAutospacing="0"/>
        <w:rPr>
          <w:color w:val="auto"/>
          <w:highlight w:val="none"/>
        </w:rPr>
      </w:pPr>
      <w:r>
        <w:rPr>
          <w:rFonts w:hint="eastAsia" w:ascii="宋体" w:hAnsi="宋体" w:cs="宋体"/>
          <w:color w:val="auto"/>
          <w:highlight w:val="none"/>
        </w:rPr>
        <w:t>7.2更正公告作为</w:t>
      </w:r>
      <w:r>
        <w:rPr>
          <w:rFonts w:hint="eastAsia" w:ascii="宋体" w:hAnsi="宋体" w:cs="宋体"/>
          <w:color w:val="auto"/>
          <w:highlight w:val="none"/>
          <w:u w:val="single"/>
        </w:rPr>
        <w:t>福建榕卫招标有限公司</w:t>
      </w:r>
      <w:r>
        <w:rPr>
          <w:rFonts w:hint="eastAsia" w:ascii="宋体" w:hAnsi="宋体" w:cs="宋体"/>
          <w:color w:val="auto"/>
          <w:highlight w:val="none"/>
        </w:rPr>
        <w:t>通知所有潜在投标人的书面形式。</w:t>
      </w:r>
    </w:p>
    <w:p>
      <w:pPr>
        <w:pStyle w:val="19"/>
        <w:widowControl/>
        <w:spacing w:before="75" w:beforeAutospacing="0" w:after="75" w:afterAutospacing="0"/>
        <w:rPr>
          <w:color w:val="auto"/>
          <w:highlight w:val="none"/>
        </w:rPr>
      </w:pPr>
      <w:r>
        <w:rPr>
          <w:rFonts w:hint="eastAsia" w:ascii="宋体" w:hAnsi="宋体" w:cs="宋体"/>
          <w:color w:val="auto"/>
          <w:highlight w:val="none"/>
        </w:rPr>
        <w:t>8、终止公告</w:t>
      </w:r>
    </w:p>
    <w:p>
      <w:pPr>
        <w:pStyle w:val="19"/>
        <w:widowControl/>
        <w:spacing w:before="75" w:beforeAutospacing="0" w:after="75" w:afterAutospacing="0"/>
        <w:rPr>
          <w:color w:val="auto"/>
          <w:highlight w:val="none"/>
        </w:rPr>
      </w:pPr>
      <w:r>
        <w:rPr>
          <w:rFonts w:hint="eastAsia" w:ascii="宋体" w:hAnsi="宋体" w:cs="宋体"/>
          <w:color w:val="auto"/>
          <w:highlight w:val="none"/>
        </w:rPr>
        <w:t>8.1若出现因重大变故导致采购任务取消情形，福建榕卫招标有限公司可终止招标并发布终止公告。</w:t>
      </w:r>
    </w:p>
    <w:p>
      <w:pPr>
        <w:pStyle w:val="19"/>
        <w:widowControl/>
        <w:spacing w:before="75" w:beforeAutospacing="0" w:after="75" w:afterAutospacing="0"/>
        <w:rPr>
          <w:color w:val="auto"/>
          <w:highlight w:val="none"/>
        </w:rPr>
      </w:pPr>
      <w:r>
        <w:rPr>
          <w:rFonts w:hint="eastAsia" w:ascii="宋体" w:hAnsi="宋体" w:cs="宋体"/>
          <w:color w:val="auto"/>
          <w:highlight w:val="none"/>
        </w:rPr>
        <w:t>8.2终止公告作为福建榕卫招标有限公司通知所有潜在投标人的书面形式。</w:t>
      </w:r>
    </w:p>
    <w:p>
      <w:pPr>
        <w:pStyle w:val="19"/>
        <w:widowControl/>
        <w:spacing w:before="75" w:beforeAutospacing="0" w:after="75" w:afterAutospacing="0"/>
        <w:rPr>
          <w:color w:val="auto"/>
          <w:highlight w:val="none"/>
        </w:rPr>
      </w:pPr>
      <w:r>
        <w:rPr>
          <w:rFonts w:hint="eastAsia" w:ascii="宋体" w:hAnsi="宋体" w:cs="宋体"/>
          <w:color w:val="auto"/>
          <w:highlight w:val="none"/>
        </w:rPr>
        <w:t> </w:t>
      </w:r>
    </w:p>
    <w:p>
      <w:pPr>
        <w:pStyle w:val="3"/>
        <w:rPr>
          <w:color w:val="auto"/>
          <w:highlight w:val="none"/>
        </w:rPr>
      </w:pPr>
      <w:bookmarkStart w:id="18" w:name="_Toc51057752"/>
      <w:bookmarkStart w:id="19" w:name="_Toc29971"/>
      <w:bookmarkStart w:id="20" w:name="_Toc14860"/>
      <w:r>
        <w:rPr>
          <w:rStyle w:val="27"/>
          <w:rFonts w:hint="eastAsia" w:ascii="宋体" w:hAnsi="宋体" w:cs="宋体"/>
          <w:b w:val="0"/>
          <w:color w:val="auto"/>
          <w:highlight w:val="none"/>
        </w:rPr>
        <w:t>四、投标</w:t>
      </w:r>
      <w:bookmarkEnd w:id="18"/>
      <w:bookmarkEnd w:id="19"/>
      <w:bookmarkEnd w:id="20"/>
    </w:p>
    <w:p>
      <w:pPr>
        <w:pStyle w:val="19"/>
        <w:widowControl/>
        <w:spacing w:before="75" w:beforeAutospacing="0" w:after="75" w:afterAutospacing="0"/>
        <w:rPr>
          <w:color w:val="auto"/>
          <w:highlight w:val="none"/>
        </w:rPr>
      </w:pPr>
      <w:r>
        <w:rPr>
          <w:rFonts w:hint="eastAsia" w:ascii="宋体" w:hAnsi="宋体" w:cs="宋体"/>
          <w:color w:val="auto"/>
          <w:highlight w:val="none"/>
        </w:rPr>
        <w:t>9、投标</w:t>
      </w:r>
    </w:p>
    <w:p>
      <w:pPr>
        <w:pStyle w:val="19"/>
        <w:widowControl/>
        <w:spacing w:before="75" w:beforeAutospacing="0" w:after="75" w:afterAutospacing="0"/>
        <w:rPr>
          <w:color w:val="auto"/>
          <w:highlight w:val="none"/>
        </w:rPr>
      </w:pPr>
      <w:r>
        <w:rPr>
          <w:rFonts w:hint="eastAsia" w:ascii="宋体" w:hAnsi="宋体" w:cs="宋体"/>
          <w:color w:val="auto"/>
          <w:highlight w:val="none"/>
        </w:rPr>
        <w:t>9.1投标人可对招标文件载明的全部或部分采购包进行投标。</w:t>
      </w:r>
    </w:p>
    <w:p>
      <w:pPr>
        <w:pStyle w:val="19"/>
        <w:widowControl/>
        <w:spacing w:before="75" w:beforeAutospacing="0" w:after="75" w:afterAutospacing="0"/>
        <w:rPr>
          <w:color w:val="auto"/>
          <w:highlight w:val="none"/>
        </w:rPr>
      </w:pPr>
      <w:r>
        <w:rPr>
          <w:rFonts w:hint="eastAsia" w:ascii="宋体" w:hAnsi="宋体" w:cs="宋体"/>
          <w:color w:val="auto"/>
          <w:highlight w:val="none"/>
        </w:rPr>
        <w:t>9.2投标人应对同一个采购包内的所有内容进行完整投标，否则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rPr>
          <w:color w:val="auto"/>
          <w:highlight w:val="none"/>
        </w:rPr>
      </w:pPr>
      <w:r>
        <w:rPr>
          <w:rFonts w:hint="eastAsia" w:ascii="宋体" w:hAnsi="宋体" w:cs="宋体"/>
          <w:color w:val="auto"/>
          <w:highlight w:val="none"/>
        </w:rPr>
        <w:t>9.3投标人代表只能接受一个投标人的授权参加投标，否则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rPr>
          <w:color w:val="auto"/>
          <w:highlight w:val="none"/>
        </w:rPr>
      </w:pPr>
      <w:r>
        <w:rPr>
          <w:rFonts w:hint="eastAsia" w:ascii="宋体" w:hAnsi="宋体" w:cs="宋体"/>
          <w:color w:val="auto"/>
          <w:highlight w:val="none"/>
        </w:rPr>
        <w:t>9.4单位负责人为同一人或存在直接控股、管理关系的不同供应商，不得同时参加同一合同项下的投标，否则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rPr>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rPr>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rPr>
          <w:color w:val="auto"/>
          <w:highlight w:val="none"/>
        </w:rPr>
      </w:pPr>
      <w:r>
        <w:rPr>
          <w:rFonts w:hint="eastAsia" w:ascii="宋体" w:hAnsi="宋体" w:cs="宋体"/>
          <w:color w:val="auto"/>
          <w:highlight w:val="none"/>
        </w:rPr>
        <w:t>9.7有下列情形之一的，视为投标人串通投标，</w:t>
      </w:r>
      <w:r>
        <w:rPr>
          <w:rStyle w:val="27"/>
          <w:rFonts w:hint="eastAsia" w:ascii="宋体" w:hAnsi="宋体" w:cs="宋体"/>
          <w:color w:val="auto"/>
          <w:highlight w:val="none"/>
        </w:rPr>
        <w:t>其投标无效：</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（1）不同投标人的投标文件由同一单位或个人编制；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（2）不同投标人委托同一单位或个人办理投标事宜；</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（3）不同投标人的投标文件载明的项目管理成员或联系人员为同一人；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（4）不同投标人的投标文件异常一致或投标报价呈规律性差异；</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（5）不同投标人的投标文件相互混装；</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（6）不同投标人的投标保证金从同一单位或个人的账户转出；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（7）有关法律、法规和规章及招标文件规定的其他串通投标情形。</w:t>
      </w:r>
    </w:p>
    <w:p>
      <w:pPr>
        <w:pStyle w:val="19"/>
        <w:widowControl/>
        <w:spacing w:before="75" w:beforeAutospacing="0" w:after="75" w:afterAutospacing="0"/>
        <w:rPr>
          <w:color w:val="auto"/>
          <w:highlight w:val="none"/>
        </w:rPr>
      </w:pPr>
      <w:r>
        <w:rPr>
          <w:rFonts w:hint="eastAsia" w:ascii="宋体" w:hAnsi="宋体" w:cs="宋体"/>
          <w:color w:val="auto"/>
          <w:highlight w:val="none"/>
        </w:rPr>
        <w:t>10、投标文件</w:t>
      </w:r>
    </w:p>
    <w:p>
      <w:pPr>
        <w:pStyle w:val="19"/>
        <w:widowControl/>
        <w:spacing w:before="75" w:beforeAutospacing="0" w:after="75" w:afterAutospacing="0"/>
        <w:rPr>
          <w:color w:val="auto"/>
          <w:highlight w:val="none"/>
        </w:rPr>
      </w:pPr>
      <w:r>
        <w:rPr>
          <w:rFonts w:hint="eastAsia" w:ascii="宋体" w:hAnsi="宋体" w:cs="宋体"/>
          <w:color w:val="auto"/>
          <w:highlight w:val="none"/>
        </w:rPr>
        <w:t>10.1投标文件的编制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（1）投标人应先仔细阅读招标文件的全部内容后，再进行投标文件的编制。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（2）投标文件应按照本章第</w:t>
      </w:r>
      <w:r>
        <w:rPr>
          <w:rFonts w:cs="Calibri"/>
          <w:color w:val="auto"/>
          <w:highlight w:val="none"/>
        </w:rPr>
        <w:t>10.2</w:t>
      </w:r>
      <w:r>
        <w:rPr>
          <w:rFonts w:hint="eastAsia" w:ascii="宋体" w:hAnsi="宋体" w:cs="宋体"/>
          <w:color w:val="auto"/>
          <w:highlight w:val="none"/>
        </w:rPr>
        <w:t>条规定编制其组成部分。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9"/>
        <w:widowControl/>
        <w:spacing w:before="75" w:beforeAutospacing="0" w:after="75" w:afterAutospacing="0"/>
        <w:rPr>
          <w:color w:val="auto"/>
          <w:highlight w:val="none"/>
        </w:rPr>
      </w:pPr>
      <w:r>
        <w:rPr>
          <w:rFonts w:hint="eastAsia" w:ascii="宋体" w:hAnsi="宋体" w:cs="宋体"/>
          <w:color w:val="auto"/>
          <w:highlight w:val="none"/>
        </w:rPr>
        <w:t>10.2投标文件由下述部分组成：</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（1）资格及资信证明部分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①投标函</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②投标人的资格及资信证明文件</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③投标保证金</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④退回投标保证金的申请函</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⑤招标代理服务费承诺书</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（2）报价部分</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①开标一览表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②投标分项报价表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③招标文件规定的价格扣除证明材料（若有）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④招标文件规定的加分证明材料（若有）</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（3）技术商务部分</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①标的说明一览表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②技术和服务要求响应表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③商务条件响应表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④技术商务部分评分内容对应表</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⑤投标人提交的其他资料（若有）</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⑥招标文件规定作为投标文件组成部分的其他内容（若有）</w:t>
      </w:r>
    </w:p>
    <w:p>
      <w:pPr>
        <w:pStyle w:val="19"/>
        <w:widowControl/>
        <w:spacing w:before="75" w:beforeAutospacing="0" w:after="75" w:afterAutospacing="0"/>
        <w:rPr>
          <w:color w:val="auto"/>
          <w:highlight w:val="none"/>
        </w:rPr>
      </w:pPr>
      <w:r>
        <w:rPr>
          <w:rFonts w:hint="eastAsia" w:ascii="宋体" w:hAnsi="宋体" w:cs="宋体"/>
          <w:color w:val="auto"/>
          <w:highlight w:val="none"/>
        </w:rPr>
        <w:t>10.3投标文件的语言</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（1）除招标文件另有规定外，投标文件应使用中文文本，若有不同文本，以中文文本为准。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9"/>
        <w:widowControl/>
        <w:spacing w:before="75" w:beforeAutospacing="0" w:after="75" w:afterAutospacing="0"/>
        <w:rPr>
          <w:color w:val="auto"/>
          <w:highlight w:val="none"/>
        </w:rPr>
      </w:pPr>
      <w:r>
        <w:rPr>
          <w:rFonts w:hint="eastAsia" w:ascii="宋体" w:hAnsi="宋体" w:cs="宋体"/>
          <w:color w:val="auto"/>
          <w:highlight w:val="none"/>
        </w:rPr>
        <w:t>10.4投标文件的份数：详见招标文件第二章。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10.5投标文件的格式</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（1）除招标文件另有规定外，投标文件应使用招标文件第七章规定的格式。</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（2）除招标文件另有规定外，投标文件的正本和全部副本均应使用不能擦去的墨料或墨水打印、书写或复印，其中：</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①正本应用</w:t>
      </w:r>
      <w:r>
        <w:rPr>
          <w:rFonts w:cs="Calibri"/>
          <w:color w:val="auto"/>
          <w:highlight w:val="none"/>
        </w:rPr>
        <w:t>A4</w:t>
      </w:r>
      <w:r>
        <w:rPr>
          <w:rFonts w:hint="eastAsia" w:ascii="宋体" w:hAnsi="宋体" w:cs="宋体"/>
          <w:color w:val="auto"/>
          <w:highlight w:val="none"/>
        </w:rPr>
        <w:t>幅面纸张打印装订，编制封面（封面标明“正本”字样）、索引、页码，并用胶装装订成册。</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②副本应用</w:t>
      </w:r>
      <w:r>
        <w:rPr>
          <w:rFonts w:cs="Calibri"/>
          <w:color w:val="auto"/>
          <w:highlight w:val="none"/>
        </w:rPr>
        <w:t>A4</w:t>
      </w:r>
      <w:r>
        <w:rPr>
          <w:rFonts w:hint="eastAsia" w:ascii="宋体" w:hAnsi="宋体" w:cs="宋体"/>
          <w:color w:val="auto"/>
          <w:highlight w:val="none"/>
        </w:rPr>
        <w:t>幅面纸张打印装订，编制封面（封面标明“副本”字样）、索引、页码，并用胶装装订成册；副本可用正本的完整复印件，并与正本保持一致（若不一致，以正本为准）。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③允许散装或活页装订的内容或材料：详见招标文件第二章。</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※除本章第</w:t>
      </w:r>
      <w:r>
        <w:rPr>
          <w:rStyle w:val="27"/>
          <w:rFonts w:cs="Calibri"/>
          <w:color w:val="auto"/>
          <w:highlight w:val="none"/>
        </w:rPr>
        <w:t>10.5</w:t>
      </w:r>
      <w:r>
        <w:rPr>
          <w:rStyle w:val="27"/>
          <w:rFonts w:hint="eastAsia" w:ascii="宋体" w:hAnsi="宋体" w:cs="宋体"/>
          <w:color w:val="auto"/>
          <w:highlight w:val="none"/>
        </w:rPr>
        <w:t>条第（</w:t>
      </w:r>
      <w:r>
        <w:rPr>
          <w:rStyle w:val="27"/>
          <w:rFonts w:cs="Calibri"/>
          <w:color w:val="auto"/>
          <w:highlight w:val="none"/>
        </w:rPr>
        <w:t>2</w:t>
      </w:r>
      <w:r>
        <w:rPr>
          <w:rStyle w:val="27"/>
          <w:rFonts w:hint="eastAsia" w:ascii="宋体" w:hAnsi="宋体" w:cs="宋体"/>
          <w:color w:val="auto"/>
          <w:highlight w:val="none"/>
        </w:rPr>
        <w:t>）款第③点规定情形外，投标文件散装或活页装订将导致投标无效。</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（3）除招标文件另有规定外，投标文件应使用人民币作为计量货币。</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（4）除招标文件另有规定外，签署、盖章应遵守下列规定：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①投标文件应由投标人代表签字并加盖投标人的单位公章。若投标人代表为单位负责人授权的委托代理人，应提供“单位负责人授权书”。</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②投标文件应没有涂改或行间插字，除非这些改动是根据</w:t>
      </w:r>
      <w:r>
        <w:rPr>
          <w:rFonts w:hint="eastAsia" w:ascii="宋体" w:hAnsi="宋体" w:cs="宋体"/>
          <w:color w:val="auto"/>
          <w:highlight w:val="none"/>
          <w:u w:val="single"/>
        </w:rPr>
        <w:t>福建榕卫招标有限公司</w:t>
      </w:r>
      <w:r>
        <w:rPr>
          <w:rFonts w:hint="eastAsia" w:ascii="宋体" w:hAnsi="宋体" w:cs="宋体"/>
          <w:color w:val="auto"/>
          <w:highlight w:val="none"/>
        </w:rPr>
        <w:t>的指示进行的，或是为改正投标人造成的应修改的错误而进行的。若有前述改动，应按照下列规定之一对改动处进行处理：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a.投标人代表签字确认；</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b.加盖投标人的单位公章或校正章。</w:t>
      </w:r>
    </w:p>
    <w:p>
      <w:pPr>
        <w:pStyle w:val="19"/>
        <w:widowControl/>
        <w:spacing w:before="75" w:beforeAutospacing="0" w:after="75" w:afterAutospacing="0"/>
        <w:rPr>
          <w:color w:val="auto"/>
          <w:highlight w:val="none"/>
        </w:rPr>
      </w:pPr>
      <w:r>
        <w:rPr>
          <w:rFonts w:hint="eastAsia" w:ascii="宋体" w:hAnsi="宋体" w:cs="宋体"/>
          <w:color w:val="auto"/>
          <w:highlight w:val="none"/>
        </w:rPr>
        <w:t>10.6投标报价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（1）投标报价超出最高限价将导致</w:t>
      </w:r>
      <w:r>
        <w:rPr>
          <w:rStyle w:val="27"/>
          <w:rFonts w:hint="eastAsia" w:ascii="宋体" w:hAnsi="宋体" w:cs="宋体"/>
          <w:color w:val="auto"/>
          <w:highlight w:val="none"/>
        </w:rPr>
        <w:t>投标无效。</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（2）最高限价由采购人根据价格测算情况，在预算金额的额度内合理设定。最高限价不得超出预算金额。</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（3）除招标文件另有规定外，投标文件不能出现任何选择性的投标报价，即每一个采购包和品目号的采购标的都只能有一个投标报价。任何选择性的投标报价将导致</w:t>
      </w:r>
      <w:r>
        <w:rPr>
          <w:rStyle w:val="27"/>
          <w:rFonts w:hint="eastAsia" w:ascii="宋体" w:hAnsi="宋体" w:cs="宋体"/>
          <w:color w:val="auto"/>
          <w:highlight w:val="none"/>
        </w:rPr>
        <w:t>投标无效。</w:t>
      </w:r>
    </w:p>
    <w:p>
      <w:pPr>
        <w:pStyle w:val="19"/>
        <w:widowControl/>
        <w:spacing w:before="75" w:beforeAutospacing="0" w:after="75" w:afterAutospacing="0"/>
        <w:rPr>
          <w:color w:val="auto"/>
          <w:highlight w:val="none"/>
        </w:rPr>
      </w:pPr>
      <w:r>
        <w:rPr>
          <w:rFonts w:hint="eastAsia" w:ascii="宋体" w:hAnsi="宋体" w:cs="宋体"/>
          <w:color w:val="auto"/>
          <w:highlight w:val="none"/>
        </w:rPr>
        <w:t>10.7分包</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（1）是否允许中标人将本项目的非主体、非关键性工作进行分包：详见招标文件第二章。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①投标文件中未载明分包承担主体；</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②投标文件载明的分包承担主体不具备相应资质条件；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③投标文件载明的分包承担主体拟再次分包。</w:t>
      </w:r>
    </w:p>
    <w:p>
      <w:pPr>
        <w:pStyle w:val="19"/>
        <w:widowControl/>
        <w:spacing w:before="75" w:beforeAutospacing="0" w:after="75" w:afterAutospacing="0"/>
        <w:rPr>
          <w:color w:val="auto"/>
          <w:highlight w:val="none"/>
        </w:rPr>
      </w:pPr>
      <w:r>
        <w:rPr>
          <w:rFonts w:hint="eastAsia" w:ascii="宋体" w:hAnsi="宋体" w:cs="宋体"/>
          <w:color w:val="auto"/>
          <w:highlight w:val="none"/>
        </w:rPr>
        <w:t>10.8投标有效期</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（1）招标文件载明的投标有效期：详见招标文件第二章。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（2）投标文件承诺的投标有效期不得少于招标文件载明的投标有效期，否则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（3）根据本次采购活动的需要，</w:t>
      </w:r>
      <w:r>
        <w:rPr>
          <w:rFonts w:hint="eastAsia" w:ascii="宋体" w:hAnsi="宋体" w:cs="宋体"/>
          <w:color w:val="auto"/>
          <w:highlight w:val="none"/>
          <w:u w:val="single"/>
        </w:rPr>
        <w:t>福建榕卫招标有限公司</w:t>
      </w:r>
      <w:r>
        <w:rPr>
          <w:rFonts w:hint="eastAsia" w:ascii="宋体" w:hAnsi="宋体" w:cs="宋体"/>
          <w:color w:val="auto"/>
          <w:highlight w:val="none"/>
        </w:rPr>
        <w:t>可于投标有效期届满之前书面要求投标人延长投标有效期，投标人应在</w:t>
      </w:r>
      <w:r>
        <w:rPr>
          <w:rFonts w:hint="eastAsia" w:ascii="宋体" w:hAnsi="宋体" w:cs="宋体"/>
          <w:color w:val="auto"/>
          <w:highlight w:val="none"/>
          <w:u w:val="single"/>
        </w:rPr>
        <w:t>福建榕卫招标有限公司</w:t>
      </w:r>
      <w:r>
        <w:rPr>
          <w:rFonts w:hint="eastAsia" w:ascii="宋体" w:hAnsi="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9"/>
        <w:widowControl/>
        <w:spacing w:before="75" w:beforeAutospacing="0" w:after="75" w:afterAutospacing="0"/>
        <w:rPr>
          <w:color w:val="auto"/>
          <w:highlight w:val="none"/>
        </w:rPr>
      </w:pPr>
      <w:r>
        <w:rPr>
          <w:rFonts w:hint="eastAsia" w:ascii="宋体" w:hAnsi="宋体" w:cs="宋体"/>
          <w:color w:val="auto"/>
          <w:highlight w:val="none"/>
        </w:rPr>
        <w:t>10.9投标保证金</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（1）投标保证金作为投标人按照招标文件规定履行相应投标责任、义务的约束及担保。</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（2）投标保证金的有效期应与投标文件承诺的投标有效期保持一致，否则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（3）提交</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①投标人应从其银行账户按照下列方式：</w:t>
      </w:r>
      <w:r>
        <w:rPr>
          <w:rStyle w:val="27"/>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向招标文件载明的投标保证金账户提交投标保证金，具体金额详见招标文件第一章。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②投标保证金应于投标截止时间前到达招标文件载明的投标保证金账户，否则视为投标保证金未提交；是否到达按照下列方式认定：</w:t>
      </w:r>
      <w:r>
        <w:rPr>
          <w:rFonts w:hint="eastAsia" w:ascii="宋体" w:hAnsi="宋体" w:cs="宋体"/>
          <w:color w:val="auto"/>
          <w:highlight w:val="none"/>
          <w:u w:val="single"/>
        </w:rPr>
        <w:t>福建榕卫招标有限公司保证金账号银行查询</w:t>
      </w:r>
      <w:r>
        <w:rPr>
          <w:rStyle w:val="27"/>
          <w:rFonts w:hint="eastAsia" w:ascii="宋体" w:hAnsi="宋体" w:cs="宋体"/>
          <w:color w:val="auto"/>
          <w:highlight w:val="none"/>
        </w:rPr>
        <w:t>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③若本项目接受联合体投标且投标人为联合体，则联合体中的牵头方应按照本章第</w:t>
      </w:r>
      <w:r>
        <w:rPr>
          <w:rFonts w:cs="Calibri"/>
          <w:color w:val="auto"/>
          <w:highlight w:val="none"/>
        </w:rPr>
        <w:t>10.9</w:t>
      </w:r>
      <w:r>
        <w:rPr>
          <w:rFonts w:hint="eastAsia" w:ascii="宋体" w:hAnsi="宋体" w:cs="宋体"/>
          <w:color w:val="auto"/>
          <w:highlight w:val="none"/>
        </w:rPr>
        <w:t>条第（</w:t>
      </w:r>
      <w:r>
        <w:rPr>
          <w:rFonts w:cs="Calibri"/>
          <w:color w:val="auto"/>
          <w:highlight w:val="none"/>
        </w:rPr>
        <w:t>3</w:t>
      </w:r>
      <w:r>
        <w:rPr>
          <w:rFonts w:hint="eastAsia" w:ascii="宋体" w:hAnsi="宋体" w:cs="宋体"/>
          <w:color w:val="auto"/>
          <w:highlight w:val="none"/>
        </w:rPr>
        <w:t>）款第①、②点规定提交投标保证金。</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※除招标文件另有规定外，未按照上述规定提交投标保证金将导致资格审查不合格。</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（4）退还</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①在投标截止时间前撤回已提交的投标文件的投标人，其投标保证金将在</w:t>
      </w:r>
      <w:r>
        <w:rPr>
          <w:rFonts w:hint="eastAsia" w:ascii="宋体" w:hAnsi="宋体" w:cs="宋体"/>
          <w:color w:val="auto"/>
          <w:highlight w:val="none"/>
          <w:u w:val="single"/>
        </w:rPr>
        <w:t>福建榕卫招标有限公司</w:t>
      </w:r>
      <w:r>
        <w:rPr>
          <w:rFonts w:hint="eastAsia" w:ascii="宋体" w:hAnsi="宋体" w:cs="宋体"/>
          <w:color w:val="auto"/>
          <w:highlight w:val="none"/>
        </w:rPr>
        <w:t>收到投标人书面撤回通知之日起5个工作日内退回原账户。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②未中标人的投标保证金将在中标通知书发出之日起</w:t>
      </w:r>
      <w:r>
        <w:rPr>
          <w:rFonts w:cs="Calibri"/>
          <w:color w:val="auto"/>
          <w:highlight w:val="none"/>
        </w:rPr>
        <w:t>5</w:t>
      </w:r>
      <w:r>
        <w:rPr>
          <w:rFonts w:hint="eastAsia" w:ascii="宋体" w:hAnsi="宋体" w:cs="宋体"/>
          <w:color w:val="auto"/>
          <w:highlight w:val="none"/>
        </w:rPr>
        <w:t>个工作日内退回原账户。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③中标人的投标保证金将在采购合同签订之日起</w:t>
      </w:r>
      <w:r>
        <w:rPr>
          <w:rFonts w:cs="Calibri"/>
          <w:color w:val="auto"/>
          <w:highlight w:val="none"/>
        </w:rPr>
        <w:t>5</w:t>
      </w:r>
      <w:r>
        <w:rPr>
          <w:rFonts w:hint="eastAsia" w:ascii="宋体" w:hAnsi="宋体" w:cs="宋体"/>
          <w:color w:val="auto"/>
          <w:highlight w:val="none"/>
        </w:rPr>
        <w:t>个工作日内退回原账户；合同签订之日按照下列方式认定：</w:t>
      </w:r>
      <w:r>
        <w:rPr>
          <w:rStyle w:val="27"/>
          <w:rFonts w:hint="eastAsia" w:ascii="宋体" w:hAnsi="宋体" w:cs="宋体"/>
          <w:color w:val="auto"/>
          <w:highlight w:val="none"/>
        </w:rPr>
        <w:t>以合同签订时间为准。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④终止招标的，</w:t>
      </w:r>
      <w:r>
        <w:rPr>
          <w:rFonts w:hint="eastAsia" w:ascii="宋体" w:hAnsi="宋体" w:cs="宋体"/>
          <w:color w:val="auto"/>
          <w:highlight w:val="none"/>
          <w:u w:val="single"/>
        </w:rPr>
        <w:t>福建榕卫招标有限公司</w:t>
      </w:r>
      <w:r>
        <w:rPr>
          <w:rFonts w:hint="eastAsia" w:ascii="宋体" w:hAnsi="宋体" w:cs="宋体"/>
          <w:color w:val="auto"/>
          <w:highlight w:val="none"/>
        </w:rPr>
        <w:t>将在终止公告发布之日起5个工作日内退回已收取的投标保证金及其在银行产生的孳息。</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※本章第</w:t>
      </w:r>
      <w:r>
        <w:rPr>
          <w:rStyle w:val="27"/>
          <w:rFonts w:cs="Calibri"/>
          <w:color w:val="auto"/>
          <w:highlight w:val="none"/>
        </w:rPr>
        <w:t>10.9</w:t>
      </w:r>
      <w:r>
        <w:rPr>
          <w:rStyle w:val="27"/>
          <w:rFonts w:hint="eastAsia" w:ascii="宋体" w:hAnsi="宋体" w:cs="宋体"/>
          <w:color w:val="auto"/>
          <w:highlight w:val="none"/>
        </w:rPr>
        <w:t>条第（</w:t>
      </w:r>
      <w:r>
        <w:rPr>
          <w:rStyle w:val="27"/>
          <w:rFonts w:cs="Calibri"/>
          <w:color w:val="auto"/>
          <w:highlight w:val="none"/>
        </w:rPr>
        <w:t>4</w:t>
      </w:r>
      <w:r>
        <w:rPr>
          <w:rStyle w:val="27"/>
          <w:rFonts w:hint="eastAsia" w:ascii="宋体" w:hAnsi="宋体" w:cs="宋体"/>
          <w:color w:val="auto"/>
          <w:highlight w:val="none"/>
        </w:rPr>
        <w:t>）款第①、②、③点规定的投标保证金退还时限不包括因投标人自身原因导致无法及时退还而增加的时间。</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（5）若出现本章第</w:t>
      </w:r>
      <w:r>
        <w:rPr>
          <w:rFonts w:cs="Calibri"/>
          <w:color w:val="auto"/>
          <w:highlight w:val="none"/>
        </w:rPr>
        <w:t>10.8</w:t>
      </w:r>
      <w:r>
        <w:rPr>
          <w:rFonts w:hint="eastAsia" w:ascii="宋体" w:hAnsi="宋体" w:cs="宋体"/>
          <w:color w:val="auto"/>
          <w:highlight w:val="none"/>
        </w:rPr>
        <w:t>条第（</w:t>
      </w:r>
      <w:r>
        <w:rPr>
          <w:rFonts w:cs="Calibri"/>
          <w:color w:val="auto"/>
          <w:highlight w:val="none"/>
        </w:rPr>
        <w:t>3</w:t>
      </w:r>
      <w:r>
        <w:rPr>
          <w:rFonts w:hint="eastAsia" w:ascii="宋体" w:hAnsi="宋体" w:cs="宋体"/>
          <w:color w:val="auto"/>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（6）有下列情形之一的，投标保证金将不予退还：</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①投标人串通投标；</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②投标人提供虚假材料；</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③投标人采取不正当手段诋毁、排挤其他投标人；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④投标截止时间后，投标人在投标有效期内撤销投标文件；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⑤投标人不接受评标委员会按照招标文件规定对投标报价错误之处进行修正；</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⑥投标人违反招标文件第三章第</w:t>
      </w:r>
      <w:r>
        <w:rPr>
          <w:rFonts w:cs="Calibri"/>
          <w:color w:val="auto"/>
          <w:highlight w:val="none"/>
        </w:rPr>
        <w:t>9.4</w:t>
      </w:r>
      <w:r>
        <w:rPr>
          <w:rFonts w:hint="eastAsia" w:ascii="宋体" w:hAnsi="宋体" w:cs="宋体"/>
          <w:color w:val="auto"/>
          <w:highlight w:val="none"/>
        </w:rPr>
        <w:t>、</w:t>
      </w:r>
      <w:r>
        <w:rPr>
          <w:rFonts w:cs="Calibri"/>
          <w:color w:val="auto"/>
          <w:highlight w:val="none"/>
        </w:rPr>
        <w:t>9.5</w:t>
      </w:r>
      <w:r>
        <w:rPr>
          <w:rFonts w:hint="eastAsia" w:ascii="宋体" w:hAnsi="宋体" w:cs="宋体"/>
          <w:color w:val="auto"/>
          <w:highlight w:val="none"/>
        </w:rPr>
        <w:t>、</w:t>
      </w:r>
      <w:r>
        <w:rPr>
          <w:rFonts w:cs="Calibri"/>
          <w:color w:val="auto"/>
          <w:highlight w:val="none"/>
        </w:rPr>
        <w:t>9.6</w:t>
      </w:r>
      <w:r>
        <w:rPr>
          <w:rFonts w:hint="eastAsia" w:ascii="宋体" w:hAnsi="宋体" w:cs="宋体"/>
          <w:color w:val="auto"/>
          <w:highlight w:val="none"/>
        </w:rPr>
        <w:t>条规定之一；</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⑦招标文件规定的其他不予退还情形；</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⑧中标人有下列情形之一的：</w:t>
      </w:r>
    </w:p>
    <w:p>
      <w:pPr>
        <w:pStyle w:val="19"/>
        <w:widowControl/>
        <w:spacing w:before="75" w:beforeAutospacing="0" w:after="75" w:afterAutospacing="0"/>
        <w:ind w:firstLine="480"/>
        <w:rPr>
          <w:color w:val="auto"/>
          <w:highlight w:val="none"/>
        </w:rPr>
      </w:pPr>
      <w:r>
        <w:rPr>
          <w:rFonts w:cs="Calibri"/>
          <w:color w:val="auto"/>
          <w:highlight w:val="none"/>
        </w:rPr>
        <w:t>a</w:t>
      </w:r>
      <w:r>
        <w:rPr>
          <w:rFonts w:hint="eastAsia" w:ascii="宋体" w:hAnsi="宋体" w:cs="宋体"/>
          <w:color w:val="auto"/>
          <w:highlight w:val="none"/>
        </w:rPr>
        <w:t>.除不可抗力外，因中标人自身原因未在中标通知书要求的期限内与采购人签订采购合同；</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b.未按照招标文件、投标文件的约定签订采购合同或提交履约保证金。</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※若上述投标保证金不予退还情形给采购人（采购代理机构）造成损失，则投标人还要承担相应的赔偿责任。</w:t>
      </w:r>
    </w:p>
    <w:p>
      <w:pPr>
        <w:pStyle w:val="19"/>
        <w:widowControl/>
        <w:spacing w:before="75" w:beforeAutospacing="0" w:after="75" w:afterAutospacing="0"/>
        <w:rPr>
          <w:color w:val="auto"/>
          <w:highlight w:val="none"/>
        </w:rPr>
      </w:pPr>
      <w:r>
        <w:rPr>
          <w:rFonts w:hint="eastAsia" w:ascii="宋体" w:hAnsi="宋体" w:cs="宋体"/>
          <w:color w:val="auto"/>
          <w:highlight w:val="none"/>
        </w:rPr>
        <w:t>10.10投标文件的提交</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（1）一个投标人只能提交一个投标文件，并按照招标文件第一章规定将其送达。</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（2）密封及其标记的具体形式：详见招标文件第二章。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10.11投标文件的补充、修改或撤回</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（1）投标截止时间前，投标人可对所提交的投标文件进行补充、修改或撤回，并书面通知</w:t>
      </w:r>
      <w:r>
        <w:rPr>
          <w:rFonts w:hint="eastAsia" w:ascii="宋体" w:hAnsi="宋体" w:cs="宋体"/>
          <w:color w:val="auto"/>
          <w:highlight w:val="none"/>
          <w:u w:val="single"/>
        </w:rPr>
        <w:t>福建榕卫招标有限公司</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（2）补充、修改的内容应按照本章第</w:t>
      </w:r>
      <w:r>
        <w:rPr>
          <w:rFonts w:cs="Calibri"/>
          <w:color w:val="auto"/>
          <w:highlight w:val="none"/>
        </w:rPr>
        <w:t>10.5</w:t>
      </w:r>
      <w:r>
        <w:rPr>
          <w:rFonts w:hint="eastAsia" w:ascii="宋体" w:hAnsi="宋体" w:cs="宋体"/>
          <w:color w:val="auto"/>
          <w:highlight w:val="none"/>
        </w:rPr>
        <w:t>条第（</w:t>
      </w:r>
      <w:r>
        <w:rPr>
          <w:rFonts w:cs="Calibri"/>
          <w:color w:val="auto"/>
          <w:highlight w:val="none"/>
        </w:rPr>
        <w:t>4</w:t>
      </w:r>
      <w:r>
        <w:rPr>
          <w:rFonts w:hint="eastAsia" w:ascii="宋体" w:hAnsi="宋体" w:cs="宋体"/>
          <w:color w:val="auto"/>
          <w:highlight w:val="none"/>
        </w:rPr>
        <w:t>）款规定进行签署、盖章，并按照本章第</w:t>
      </w:r>
      <w:r>
        <w:rPr>
          <w:rFonts w:cs="Calibri"/>
          <w:color w:val="auto"/>
          <w:highlight w:val="none"/>
        </w:rPr>
        <w:t>10.10</w:t>
      </w:r>
      <w:r>
        <w:rPr>
          <w:rFonts w:hint="eastAsia" w:ascii="宋体" w:hAnsi="宋体" w:cs="宋体"/>
          <w:color w:val="auto"/>
          <w:highlight w:val="none"/>
        </w:rPr>
        <w:t>条规定提交，</w:t>
      </w:r>
      <w:r>
        <w:rPr>
          <w:rStyle w:val="27"/>
          <w:rFonts w:hint="eastAsia" w:ascii="宋体" w:hAnsi="宋体" w:cs="宋体"/>
          <w:color w:val="auto"/>
          <w:highlight w:val="none"/>
        </w:rPr>
        <w:t>否则将被拒收。</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※按照上述规定提交的补充、修改内容作为投标文件组成部分。</w:t>
      </w:r>
    </w:p>
    <w:p>
      <w:pPr>
        <w:pStyle w:val="19"/>
        <w:widowControl/>
        <w:spacing w:before="75" w:beforeAutospacing="0" w:after="75" w:afterAutospacing="0"/>
        <w:rPr>
          <w:color w:val="auto"/>
          <w:highlight w:val="none"/>
        </w:rPr>
      </w:pPr>
      <w:r>
        <w:rPr>
          <w:rFonts w:hint="eastAsia" w:ascii="宋体" w:hAnsi="宋体" w:cs="宋体"/>
          <w:color w:val="auto"/>
          <w:highlight w:val="none"/>
        </w:rPr>
        <w:t>10.12除招标文件另有规定外，有下列情形之一的，</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（1）投标文件未按照招标文件要求签署、盖章；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（2）不符合招标文件中规定的资格要求；</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（3）投标报价超过招标文件中规定的预算金额或最高限价；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（4）投标文件含有采购人不能接受的附加条件；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（5）有关法律、法规和规章及招标文件规定的其他无效情形。</w:t>
      </w:r>
    </w:p>
    <w:p>
      <w:pPr>
        <w:pStyle w:val="3"/>
        <w:rPr>
          <w:color w:val="auto"/>
          <w:highlight w:val="none"/>
        </w:rPr>
      </w:pPr>
      <w:bookmarkStart w:id="21" w:name="_Toc51057753"/>
      <w:bookmarkStart w:id="22" w:name="_Toc27826"/>
      <w:bookmarkStart w:id="23" w:name="_Toc22712"/>
      <w:r>
        <w:rPr>
          <w:rStyle w:val="27"/>
          <w:rFonts w:hint="eastAsia" w:ascii="宋体" w:hAnsi="宋体" w:cs="宋体"/>
          <w:b w:val="0"/>
          <w:color w:val="auto"/>
          <w:highlight w:val="none"/>
        </w:rPr>
        <w:t>五、开标</w:t>
      </w:r>
      <w:bookmarkEnd w:id="21"/>
      <w:bookmarkEnd w:id="22"/>
      <w:bookmarkEnd w:id="23"/>
    </w:p>
    <w:p>
      <w:pPr>
        <w:pStyle w:val="19"/>
        <w:widowControl/>
        <w:spacing w:before="75" w:beforeAutospacing="0" w:after="75" w:afterAutospacing="0"/>
        <w:rPr>
          <w:color w:val="auto"/>
          <w:highlight w:val="none"/>
        </w:rPr>
      </w:pPr>
      <w:r>
        <w:rPr>
          <w:rFonts w:hint="eastAsia" w:ascii="宋体" w:hAnsi="宋体" w:cs="宋体"/>
          <w:color w:val="auto"/>
          <w:highlight w:val="none"/>
        </w:rPr>
        <w:t>11、开标</w:t>
      </w:r>
    </w:p>
    <w:p>
      <w:pPr>
        <w:pStyle w:val="19"/>
        <w:widowControl/>
        <w:spacing w:before="75" w:beforeAutospacing="0" w:after="75" w:afterAutospacing="0"/>
        <w:rPr>
          <w:color w:val="auto"/>
          <w:highlight w:val="none"/>
        </w:rPr>
      </w:pPr>
      <w:r>
        <w:rPr>
          <w:rFonts w:hint="eastAsia" w:ascii="宋体" w:hAnsi="宋体" w:cs="宋体"/>
          <w:color w:val="auto"/>
          <w:highlight w:val="none"/>
        </w:rPr>
        <w:t>11.1</w:t>
      </w:r>
      <w:r>
        <w:rPr>
          <w:rFonts w:hint="eastAsia" w:ascii="宋体" w:hAnsi="宋体" w:cs="宋体"/>
          <w:color w:val="auto"/>
          <w:highlight w:val="none"/>
          <w:u w:val="single"/>
        </w:rPr>
        <w:t>福建榕卫招标有限公司</w:t>
      </w:r>
      <w:r>
        <w:rPr>
          <w:rFonts w:hint="eastAsia" w:ascii="宋体" w:hAnsi="宋体" w:cs="宋体"/>
          <w:color w:val="auto"/>
          <w:highlight w:val="none"/>
        </w:rPr>
        <w:t>将在招标文件载明的开标时间及地点主持召开开标会，并邀请投标人参加。</w:t>
      </w:r>
    </w:p>
    <w:p>
      <w:pPr>
        <w:pStyle w:val="19"/>
        <w:widowControl/>
        <w:spacing w:before="75" w:beforeAutospacing="0" w:after="75" w:afterAutospacing="0"/>
        <w:rPr>
          <w:color w:val="auto"/>
          <w:highlight w:val="none"/>
        </w:rPr>
      </w:pPr>
      <w:r>
        <w:rPr>
          <w:rFonts w:hint="eastAsia" w:ascii="宋体" w:hAnsi="宋体" w:cs="宋体"/>
          <w:color w:val="auto"/>
          <w:highlight w:val="none"/>
        </w:rPr>
        <w:t>11.2开标会的主持人、唱标人、记录人及其他工作人员（若有）均由</w:t>
      </w:r>
      <w:r>
        <w:rPr>
          <w:rFonts w:hint="eastAsia" w:ascii="宋体" w:hAnsi="宋体" w:cs="宋体"/>
          <w:color w:val="auto"/>
          <w:highlight w:val="none"/>
          <w:u w:val="single"/>
        </w:rPr>
        <w:t>福建榕卫招标有限公司</w:t>
      </w:r>
      <w:r>
        <w:rPr>
          <w:rFonts w:hint="eastAsia" w:ascii="宋体" w:hAnsi="宋体" w:cs="宋体"/>
          <w:color w:val="auto"/>
          <w:highlight w:val="none"/>
        </w:rPr>
        <w:t>派出，现场监督人员（若有）可由有关方面派出。</w:t>
      </w:r>
    </w:p>
    <w:p>
      <w:pPr>
        <w:pStyle w:val="19"/>
        <w:widowControl/>
        <w:spacing w:before="75" w:beforeAutospacing="0" w:after="75" w:afterAutospacing="0"/>
        <w:rPr>
          <w:color w:val="auto"/>
          <w:highlight w:val="none"/>
        </w:rPr>
      </w:pPr>
      <w:r>
        <w:rPr>
          <w:rFonts w:hint="eastAsia" w:ascii="宋体" w:hAnsi="宋体" w:cs="宋体"/>
          <w:color w:val="auto"/>
          <w:highlight w:val="none"/>
        </w:rPr>
        <w:t>11.3参加开标会的投标人应签到，非投标人不参加开标会。</w:t>
      </w:r>
    </w:p>
    <w:p>
      <w:pPr>
        <w:pStyle w:val="19"/>
        <w:widowControl/>
        <w:spacing w:before="75" w:beforeAutospacing="0" w:after="75" w:afterAutospacing="0"/>
        <w:rPr>
          <w:color w:val="auto"/>
          <w:highlight w:val="none"/>
        </w:rPr>
      </w:pPr>
      <w:r>
        <w:rPr>
          <w:rFonts w:hint="eastAsia" w:ascii="宋体" w:hAnsi="宋体" w:cs="宋体"/>
          <w:color w:val="auto"/>
          <w:highlight w:val="none"/>
        </w:rPr>
        <w:t>11.4开标会应遵守下列规定：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（3）记录人对唱标人宣布的内容作开标记录。</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※若出现本章第</w:t>
      </w:r>
      <w:r>
        <w:rPr>
          <w:rStyle w:val="27"/>
          <w:rFonts w:cs="Calibri"/>
          <w:color w:val="auto"/>
          <w:highlight w:val="none"/>
        </w:rPr>
        <w:t>11.4</w:t>
      </w:r>
      <w:r>
        <w:rPr>
          <w:rStyle w:val="27"/>
          <w:rFonts w:hint="eastAsia" w:ascii="宋体" w:hAnsi="宋体" w:cs="宋体"/>
          <w:color w:val="auto"/>
          <w:highlight w:val="none"/>
        </w:rPr>
        <w:t>条第（</w:t>
      </w:r>
      <w:r>
        <w:rPr>
          <w:rStyle w:val="27"/>
          <w:rFonts w:cs="Calibri"/>
          <w:color w:val="auto"/>
          <w:highlight w:val="none"/>
        </w:rPr>
        <w:t>4</w:t>
      </w:r>
      <w:r>
        <w:rPr>
          <w:rStyle w:val="27"/>
          <w:rFonts w:hint="eastAsia" w:ascii="宋体" w:hAnsi="宋体" w:cs="宋体"/>
          <w:color w:val="auto"/>
          <w:highlight w:val="none"/>
        </w:rPr>
        <w:t>）、（</w:t>
      </w:r>
      <w:r>
        <w:rPr>
          <w:rStyle w:val="27"/>
          <w:rFonts w:cs="Calibri"/>
          <w:color w:val="auto"/>
          <w:highlight w:val="none"/>
        </w:rPr>
        <w:t>5</w:t>
      </w:r>
      <w:r>
        <w:rPr>
          <w:rStyle w:val="27"/>
          <w:rFonts w:hint="eastAsia" w:ascii="宋体" w:hAnsi="宋体" w:cs="宋体"/>
          <w:color w:val="auto"/>
          <w:highlight w:val="none"/>
        </w:rPr>
        <w:t>）、（</w:t>
      </w:r>
      <w:r>
        <w:rPr>
          <w:rStyle w:val="27"/>
          <w:rFonts w:cs="Calibri"/>
          <w:color w:val="auto"/>
          <w:highlight w:val="none"/>
        </w:rPr>
        <w:t>6</w:t>
      </w:r>
      <w:r>
        <w:rPr>
          <w:rStyle w:val="27"/>
          <w:rFonts w:hint="eastAsia" w:ascii="宋体" w:hAnsi="宋体" w:cs="宋体"/>
          <w:color w:val="auto"/>
          <w:highlight w:val="none"/>
        </w:rPr>
        <w:t>）款规定情形之一</w:t>
      </w:r>
      <w:r>
        <w:rPr>
          <w:rFonts w:hint="eastAsia" w:ascii="宋体" w:hAnsi="宋体" w:cs="宋体"/>
          <w:color w:val="auto"/>
          <w:highlight w:val="none"/>
        </w:rPr>
        <w:t>，</w:t>
      </w:r>
      <w:r>
        <w:rPr>
          <w:rStyle w:val="27"/>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u w:val="single"/>
        </w:rPr>
        <w:t>福建榕卫招标有限公司</w:t>
      </w:r>
      <w:r>
        <w:rPr>
          <w:rStyle w:val="27"/>
          <w:rFonts w:hint="eastAsia" w:ascii="宋体" w:hAnsi="宋体" w:cs="宋体"/>
          <w:color w:val="auto"/>
          <w:highlight w:val="none"/>
        </w:rPr>
        <w:t>提出任何疑义或要求（包括质疑）。</w:t>
      </w:r>
    </w:p>
    <w:p>
      <w:pPr>
        <w:pStyle w:val="19"/>
        <w:widowControl/>
        <w:spacing w:before="75" w:beforeAutospacing="0" w:after="75" w:afterAutospacing="0"/>
        <w:rPr>
          <w:color w:val="auto"/>
          <w:highlight w:val="none"/>
        </w:rPr>
      </w:pPr>
      <w:r>
        <w:rPr>
          <w:rFonts w:hint="eastAsia" w:ascii="宋体" w:hAnsi="宋体" w:cs="宋体"/>
          <w:color w:val="auto"/>
          <w:highlight w:val="none"/>
        </w:rPr>
        <w:t>11.5投标截止时间后，参加投标的投标人不足三家的，不进行开标。同时，本次采购活动结束，</w:t>
      </w:r>
      <w:r>
        <w:rPr>
          <w:rFonts w:hint="eastAsia" w:ascii="宋体" w:hAnsi="宋体" w:cs="宋体"/>
          <w:color w:val="auto"/>
          <w:highlight w:val="none"/>
          <w:u w:val="single"/>
        </w:rPr>
        <w:t>福建榕卫招标有限公司</w:t>
      </w:r>
      <w:r>
        <w:rPr>
          <w:rFonts w:hint="eastAsia" w:ascii="宋体" w:hAnsi="宋体" w:cs="宋体"/>
          <w:color w:val="auto"/>
          <w:highlight w:val="none"/>
        </w:rPr>
        <w:t>将依法组织后续采购活动（包括但不限于：重新招标、采用其他方式采购等）。</w:t>
      </w:r>
    </w:p>
    <w:p>
      <w:pPr>
        <w:pStyle w:val="19"/>
        <w:widowControl/>
        <w:spacing w:before="75" w:beforeAutospacing="0" w:after="75" w:afterAutospacing="0"/>
        <w:rPr>
          <w:color w:val="auto"/>
          <w:highlight w:val="none"/>
        </w:rPr>
      </w:pPr>
      <w:r>
        <w:rPr>
          <w:rFonts w:hint="eastAsia" w:ascii="宋体" w:hAnsi="宋体" w:cs="宋体"/>
          <w:color w:val="auto"/>
          <w:highlight w:val="none"/>
        </w:rPr>
        <w:t> </w:t>
      </w:r>
    </w:p>
    <w:p>
      <w:pPr>
        <w:pStyle w:val="3"/>
        <w:rPr>
          <w:color w:val="auto"/>
          <w:highlight w:val="none"/>
        </w:rPr>
      </w:pPr>
      <w:bookmarkStart w:id="24" w:name="_Toc5462"/>
      <w:bookmarkStart w:id="25" w:name="_Toc29264"/>
      <w:bookmarkStart w:id="26" w:name="_Toc51057754"/>
      <w:r>
        <w:rPr>
          <w:rStyle w:val="27"/>
          <w:rFonts w:hint="eastAsia" w:ascii="宋体" w:hAnsi="宋体" w:cs="宋体"/>
          <w:b w:val="0"/>
          <w:color w:val="auto"/>
          <w:highlight w:val="none"/>
        </w:rPr>
        <w:t>六、中标与采购合同</w:t>
      </w:r>
      <w:bookmarkEnd w:id="24"/>
      <w:bookmarkEnd w:id="25"/>
      <w:bookmarkEnd w:id="26"/>
    </w:p>
    <w:p>
      <w:pPr>
        <w:pStyle w:val="19"/>
        <w:widowControl/>
        <w:spacing w:before="75" w:beforeAutospacing="0" w:after="75" w:afterAutospacing="0"/>
        <w:rPr>
          <w:color w:val="auto"/>
          <w:highlight w:val="none"/>
        </w:rPr>
      </w:pPr>
      <w:r>
        <w:rPr>
          <w:rFonts w:hint="eastAsia" w:ascii="宋体" w:hAnsi="宋体" w:cs="宋体"/>
          <w:color w:val="auto"/>
          <w:highlight w:val="none"/>
        </w:rPr>
        <w:t>12、中标</w:t>
      </w:r>
    </w:p>
    <w:p>
      <w:pPr>
        <w:pStyle w:val="19"/>
        <w:widowControl/>
        <w:spacing w:before="75" w:beforeAutospacing="0" w:after="75" w:afterAutospacing="0"/>
        <w:rPr>
          <w:color w:val="auto"/>
          <w:highlight w:val="none"/>
        </w:rPr>
      </w:pPr>
      <w:r>
        <w:rPr>
          <w:rFonts w:hint="eastAsia" w:ascii="宋体" w:hAnsi="宋体" w:cs="宋体"/>
          <w:color w:val="auto"/>
          <w:highlight w:val="none"/>
        </w:rPr>
        <w:t>12.1本项目推荐的中标候选人家数：详见招标文件第二章。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12.2本项目中标人的确定：详见招标文件第二章。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12.3中标公告</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（1）中标人确定之日起</w:t>
      </w:r>
      <w:r>
        <w:rPr>
          <w:rFonts w:cs="Calibri"/>
          <w:color w:val="auto"/>
          <w:highlight w:val="none"/>
        </w:rPr>
        <w:t>2</w:t>
      </w:r>
      <w:r>
        <w:rPr>
          <w:rFonts w:hint="eastAsia" w:ascii="宋体" w:hAnsi="宋体" w:cs="宋体"/>
          <w:color w:val="auto"/>
          <w:highlight w:val="none"/>
        </w:rPr>
        <w:t>个工作日内，</w:t>
      </w:r>
      <w:r>
        <w:rPr>
          <w:rFonts w:hint="eastAsia" w:ascii="宋体" w:hAnsi="宋体" w:cs="宋体"/>
          <w:color w:val="auto"/>
          <w:highlight w:val="none"/>
          <w:u w:val="single"/>
        </w:rPr>
        <w:t>福建榕卫招标有限公司</w:t>
      </w:r>
      <w:r>
        <w:rPr>
          <w:rFonts w:hint="eastAsia" w:ascii="宋体" w:hAnsi="宋体" w:cs="宋体"/>
          <w:color w:val="auto"/>
          <w:highlight w:val="none"/>
        </w:rPr>
        <w:t>将在招标文件载明的指定媒体以中标公告的形式发布中标结果。</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（2）中标公告的公告期限为</w:t>
      </w:r>
      <w:r>
        <w:rPr>
          <w:rFonts w:cs="Calibri"/>
          <w:color w:val="auto"/>
          <w:highlight w:val="none"/>
        </w:rPr>
        <w:t>1</w:t>
      </w:r>
      <w:r>
        <w:rPr>
          <w:rFonts w:hint="eastAsia" w:ascii="宋体" w:hAnsi="宋体" w:cs="宋体"/>
          <w:color w:val="auto"/>
          <w:highlight w:val="none"/>
        </w:rPr>
        <w:t>个工作日。</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（3）中标公告同时作为</w:t>
      </w:r>
      <w:r>
        <w:rPr>
          <w:rFonts w:hint="eastAsia" w:ascii="宋体" w:hAnsi="宋体" w:cs="宋体"/>
          <w:color w:val="auto"/>
          <w:highlight w:val="none"/>
          <w:u w:val="single"/>
        </w:rPr>
        <w:t>福建榕卫招标有限公司</w:t>
      </w:r>
      <w:r>
        <w:rPr>
          <w:rFonts w:hint="eastAsia" w:ascii="宋体" w:hAnsi="宋体" w:cs="宋体"/>
          <w:color w:val="auto"/>
          <w:highlight w:val="none"/>
        </w:rPr>
        <w:t>通知除中标人外的其他投标人没有中标的书面形式。</w:t>
      </w:r>
    </w:p>
    <w:p>
      <w:pPr>
        <w:pStyle w:val="19"/>
        <w:widowControl/>
        <w:spacing w:before="75" w:beforeAutospacing="0" w:after="75" w:afterAutospacing="0"/>
        <w:rPr>
          <w:color w:val="auto"/>
          <w:highlight w:val="none"/>
        </w:rPr>
      </w:pPr>
      <w:r>
        <w:rPr>
          <w:rFonts w:hint="eastAsia" w:ascii="宋体" w:hAnsi="宋体" w:cs="宋体"/>
          <w:color w:val="auto"/>
          <w:highlight w:val="none"/>
        </w:rPr>
        <w:t>12.4中标通知书</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（1）中标公告发布的同时，</w:t>
      </w:r>
      <w:r>
        <w:rPr>
          <w:rFonts w:hint="eastAsia" w:ascii="宋体" w:hAnsi="宋体" w:cs="宋体"/>
          <w:color w:val="auto"/>
          <w:highlight w:val="none"/>
          <w:u w:val="single"/>
        </w:rPr>
        <w:t>福建榕卫招标有限公司</w:t>
      </w:r>
      <w:r>
        <w:rPr>
          <w:rFonts w:hint="eastAsia" w:ascii="宋体" w:hAnsi="宋体" w:cs="宋体"/>
          <w:color w:val="auto"/>
          <w:highlight w:val="none"/>
        </w:rPr>
        <w:t>将向中标人发出中标通知书。</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（2）中标通知书发出后，采购人不得违法改变中标结果，中标人无正当理由不得放弃中标。</w:t>
      </w:r>
    </w:p>
    <w:p>
      <w:pPr>
        <w:pStyle w:val="19"/>
        <w:widowControl/>
        <w:spacing w:before="75" w:beforeAutospacing="0" w:after="75" w:afterAutospacing="0"/>
        <w:rPr>
          <w:color w:val="auto"/>
          <w:highlight w:val="none"/>
        </w:rPr>
      </w:pPr>
      <w:r>
        <w:rPr>
          <w:rFonts w:hint="eastAsia" w:ascii="宋体" w:hAnsi="宋体" w:cs="宋体"/>
          <w:color w:val="auto"/>
          <w:highlight w:val="none"/>
        </w:rPr>
        <w:t>13、采购合同</w:t>
      </w:r>
    </w:p>
    <w:p>
      <w:pPr>
        <w:pStyle w:val="19"/>
        <w:widowControl/>
        <w:spacing w:before="75" w:beforeAutospacing="0" w:after="75" w:afterAutospacing="0"/>
        <w:rPr>
          <w:color w:val="auto"/>
          <w:highlight w:val="none"/>
        </w:rPr>
      </w:pPr>
      <w:r>
        <w:rPr>
          <w:rFonts w:hint="eastAsia" w:ascii="宋体" w:hAnsi="宋体" w:cs="宋体"/>
          <w:color w:val="auto"/>
          <w:highlight w:val="none"/>
        </w:rPr>
        <w:t>13.1签订采购合同应遵守政府采购法及实施条例的规定，不得对招标文件确定的事项和中标人的投标文件作实质性修改。采购人不得向中标人提出任何不合理的要求作为采购合同的签订条件。</w:t>
      </w:r>
    </w:p>
    <w:p>
      <w:pPr>
        <w:pStyle w:val="19"/>
        <w:widowControl/>
        <w:spacing w:before="75" w:beforeAutospacing="0" w:after="75" w:afterAutospacing="0"/>
        <w:rPr>
          <w:color w:val="auto"/>
          <w:highlight w:val="none"/>
        </w:rPr>
      </w:pPr>
      <w:r>
        <w:rPr>
          <w:rFonts w:hint="eastAsia" w:ascii="宋体" w:hAnsi="宋体" w:cs="宋体"/>
          <w:color w:val="auto"/>
          <w:highlight w:val="none"/>
        </w:rPr>
        <w:t>13.2签订时限：自中标通知书发出之日起</w:t>
      </w:r>
      <w:r>
        <w:rPr>
          <w:rFonts w:cs="Calibri"/>
          <w:color w:val="auto"/>
          <w:highlight w:val="none"/>
        </w:rPr>
        <w:t>30</w:t>
      </w:r>
      <w:r>
        <w:rPr>
          <w:rFonts w:hint="eastAsia" w:ascii="宋体" w:hAnsi="宋体" w:cs="宋体"/>
          <w:color w:val="auto"/>
          <w:highlight w:val="none"/>
        </w:rPr>
        <w:t>个日历日内。</w:t>
      </w:r>
    </w:p>
    <w:p>
      <w:pPr>
        <w:pStyle w:val="19"/>
        <w:widowControl/>
        <w:spacing w:before="75" w:beforeAutospacing="0" w:after="75" w:afterAutospacing="0"/>
        <w:rPr>
          <w:color w:val="auto"/>
          <w:highlight w:val="none"/>
        </w:rPr>
      </w:pPr>
      <w:r>
        <w:rPr>
          <w:rFonts w:hint="eastAsia" w:ascii="宋体" w:hAnsi="宋体" w:cs="宋体"/>
          <w:color w:val="auto"/>
          <w:highlight w:val="none"/>
        </w:rPr>
        <w:t>13.3采购合同的履行、违约责任和解决争议的方法等适用民法典。</w:t>
      </w:r>
    </w:p>
    <w:p>
      <w:pPr>
        <w:pStyle w:val="19"/>
        <w:widowControl/>
        <w:spacing w:before="75" w:beforeAutospacing="0" w:after="75" w:afterAutospacing="0"/>
        <w:rPr>
          <w:color w:val="auto"/>
          <w:highlight w:val="none"/>
        </w:rPr>
      </w:pPr>
      <w:r>
        <w:rPr>
          <w:rFonts w:hint="eastAsia" w:ascii="宋体" w:hAnsi="宋体" w:cs="宋体"/>
          <w:color w:val="auto"/>
          <w:highlight w:val="none"/>
        </w:rPr>
        <w:t>13.4采购人与中标人应根据采购合同的约定依法履行合同义务。</w:t>
      </w:r>
    </w:p>
    <w:p>
      <w:pPr>
        <w:pStyle w:val="19"/>
        <w:widowControl/>
        <w:spacing w:before="75" w:beforeAutospacing="0" w:after="75" w:afterAutospacing="0"/>
        <w:rPr>
          <w:color w:val="auto"/>
          <w:highlight w:val="none"/>
        </w:rPr>
      </w:pPr>
      <w:r>
        <w:rPr>
          <w:rFonts w:hint="eastAsia" w:ascii="宋体" w:hAnsi="宋体" w:cs="宋体"/>
          <w:color w:val="auto"/>
          <w:highlight w:val="none"/>
        </w:rPr>
        <w:t>13.5采购合同履行过程中，采购人若需追加与合同标的相同的货物或服务，则追加采购金额不得超过原合同采购金额的</w:t>
      </w:r>
      <w:r>
        <w:rPr>
          <w:rFonts w:cs="Calibri"/>
          <w:color w:val="auto"/>
          <w:highlight w:val="none"/>
        </w:rPr>
        <w:t>10%</w:t>
      </w:r>
      <w:r>
        <w:rPr>
          <w:rFonts w:hint="eastAsia" w:ascii="宋体" w:hAnsi="宋体" w:cs="宋体"/>
          <w:color w:val="auto"/>
          <w:highlight w:val="none"/>
        </w:rPr>
        <w:t>。</w:t>
      </w:r>
    </w:p>
    <w:p>
      <w:pPr>
        <w:pStyle w:val="19"/>
        <w:widowControl/>
        <w:spacing w:before="75" w:beforeAutospacing="0" w:after="75" w:afterAutospacing="0"/>
        <w:rPr>
          <w:rStyle w:val="27"/>
          <w:rFonts w:ascii="宋体" w:hAnsi="宋体" w:cs="宋体"/>
          <w:color w:val="auto"/>
          <w:highlight w:val="none"/>
        </w:rPr>
      </w:pPr>
      <w:r>
        <w:rPr>
          <w:rFonts w:hint="eastAsia" w:ascii="宋体" w:hAnsi="宋体" w:cs="宋体"/>
          <w:color w:val="auto"/>
          <w:highlight w:val="none"/>
        </w:rPr>
        <w:t>13.6中标人在采购合同履行过程中应遵守有关法律、法规和规章的强制性规定（即使前述强制性规定有可能在招标文件中未予列明）。</w:t>
      </w:r>
    </w:p>
    <w:p>
      <w:pPr>
        <w:pStyle w:val="3"/>
        <w:rPr>
          <w:color w:val="auto"/>
          <w:highlight w:val="none"/>
        </w:rPr>
      </w:pPr>
      <w:bookmarkStart w:id="27" w:name="_Toc51057755"/>
      <w:bookmarkStart w:id="28" w:name="_Toc19316"/>
      <w:bookmarkStart w:id="29" w:name="_Toc12740"/>
      <w:r>
        <w:rPr>
          <w:rStyle w:val="27"/>
          <w:rFonts w:hint="eastAsia" w:ascii="宋体" w:hAnsi="宋体" w:cs="宋体"/>
          <w:b w:val="0"/>
          <w:color w:val="auto"/>
          <w:highlight w:val="none"/>
        </w:rPr>
        <w:t>七、询问、质疑与投诉</w:t>
      </w:r>
      <w:bookmarkEnd w:id="27"/>
      <w:bookmarkEnd w:id="28"/>
      <w:bookmarkEnd w:id="29"/>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14、询问</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14.1潜在投标人或投标人对本次采购活动的有关事项若有疑问，可向福建榕卫招标有限公司提出询问，福建榕卫招标有限公司将按照政府采购法及实施条例的有关规定进行答复。</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15、质疑</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15.1针对同一采购程序环节的质疑应在政府采购法及实施条例规定的时限内一次性提出，并同时符合下列条件：</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（2）质疑人应按照招标文件第二章规定方式提交质疑函。</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（3）质疑函应包括下列主要内容：</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①质疑人的基本信息，至少包括：全称、地址、邮政编码等；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②所质疑项目的基本信息，至少包括：项目编号、项目名称等；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③所质疑的具体事项（以下简称：“质疑事项”）；</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⑤针对质疑事项导致质疑人自身权益受到损害的必要证明材料，至少包括：</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a.质疑人代表的身份证明材料：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a2若本项目接受自然人投标且质疑人为自然人的，提供本人的身份证复印件。</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b.其他证明材料（即事实依据和必要的法律依据）包括但不限于下列材料：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b1所质疑的具体事项是与自已有利害关系的证明材料；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b2质疑函所述事实存在的证明材料，如：采购文件、采购过程或中标结果违法违规或不符合采购文件要求等证明材料；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b3依法应终止采购程序的证明材料；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b4应重新采购的证明材料；</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b5采购文件、采购过程或中标、成交结果损害自已合法权益的证明材料等；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7"/>
          <w:rFonts w:hint="eastAsia" w:ascii="宋体" w:hAnsi="宋体" w:cs="宋体"/>
          <w:color w:val="auto"/>
          <w:highlight w:val="none"/>
        </w:rPr>
        <w:t>视为无效</w:t>
      </w:r>
      <w:r>
        <w:rPr>
          <w:rFonts w:hint="eastAsia" w:ascii="宋体" w:hAnsi="宋体" w:cs="宋体"/>
          <w:color w:val="auto"/>
          <w:highlight w:val="none"/>
        </w:rPr>
        <w:t>）。</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⑥质疑人代表及其联系方法的信息，至少包括：姓名、手机、电子信箱、邮寄地址等。</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⑦提出质疑的日期。</w:t>
      </w:r>
    </w:p>
    <w:p>
      <w:pPr>
        <w:pStyle w:val="19"/>
        <w:widowControl/>
        <w:spacing w:before="75" w:beforeAutospacing="0" w:after="75" w:afterAutospacing="0"/>
        <w:ind w:firstLine="480"/>
        <w:rPr>
          <w:rFonts w:ascii="宋体" w:hAnsi="宋体" w:cs="宋体"/>
          <w:b/>
          <w:bCs/>
          <w:color w:val="auto"/>
          <w:highlight w:val="none"/>
        </w:rPr>
      </w:pPr>
      <w:r>
        <w:rPr>
          <w:rFonts w:hint="eastAsia" w:ascii="宋体" w:hAnsi="宋体" w:cs="宋体"/>
          <w:b/>
          <w:bCs/>
          <w:color w:val="auto"/>
          <w:highlight w:val="none"/>
        </w:rPr>
        <w:t>※质疑人为法人或其他组织的，质疑函应由单位负责人或委托代理人签字或盖章，并加盖投标人的单位公章。质疑人为自然人的，质疑函应由本人签字。</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15.2对不符合本章第15.1条规定的质疑，将按照下列规定进行处理：</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（1）不符合其中第（1）、（2）条规定的，书面告知质疑人不予受理及其理由。</w:t>
      </w:r>
    </w:p>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（2）不符合其中第（3）条规定的，书面告知质疑人修改、补充后在规定时限内重新提交质疑函。</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15.3对符合本章第15.1条规定的质疑，将按照政府采购法及实施条例、政府采购质疑和投诉办法的有关规定进行答复。</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15.4招标文件的质疑：详见招标文件第二章。</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16、投诉</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16.2投诉应有明确的请求和必要的证明材料，投诉的事项不得超出已质疑事项的范围。</w:t>
      </w:r>
    </w:p>
    <w:p>
      <w:pPr>
        <w:rPr>
          <w:color w:val="auto"/>
          <w:highlight w:val="none"/>
        </w:rPr>
      </w:pPr>
      <w:bookmarkStart w:id="30" w:name="_Toc51057757"/>
    </w:p>
    <w:p>
      <w:pPr>
        <w:rPr>
          <w:color w:val="auto"/>
          <w:highlight w:val="none"/>
        </w:rPr>
      </w:pPr>
    </w:p>
    <w:p>
      <w:pPr>
        <w:pStyle w:val="3"/>
        <w:rPr>
          <w:rStyle w:val="27"/>
          <w:rFonts w:ascii="宋体" w:hAnsi="宋体" w:cs="宋体"/>
          <w:b w:val="0"/>
          <w:color w:val="auto"/>
          <w:highlight w:val="none"/>
        </w:rPr>
      </w:pPr>
      <w:bookmarkStart w:id="31" w:name="_Toc31231"/>
      <w:bookmarkStart w:id="32" w:name="_Toc11713"/>
      <w:bookmarkStart w:id="33" w:name="_Toc2772"/>
      <w:r>
        <w:rPr>
          <w:rStyle w:val="27"/>
          <w:rFonts w:hint="eastAsia" w:ascii="宋体" w:hAnsi="宋体" w:cs="宋体"/>
          <w:b w:val="0"/>
          <w:color w:val="auto"/>
          <w:highlight w:val="none"/>
        </w:rPr>
        <w:t>八、政府采购政策</w:t>
      </w:r>
      <w:bookmarkEnd w:id="31"/>
      <w:bookmarkEnd w:id="32"/>
      <w:bookmarkEnd w:id="33"/>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17.1进口产品指通过中国海关报关验放进入中国境内且产自关境外的产品，其中：</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3</w:t>
      </w:r>
      <w:r>
        <w:rPr>
          <w:rFonts w:hint="eastAsia" w:ascii="宋体" w:hAnsi="宋体" w:cs="宋体"/>
          <w:color w:val="auto"/>
          <w:highlight w:val="none"/>
        </w:rPr>
        <w:t>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（1）中小企业指符合下列条件的中型、小型、微型企业：</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②符合中小企业划分标准的个体工商户，在政府采购活动中视同中小企业。</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（2）在政府采购活动中，供应商提供的货物、工程或者服务符合下列情形的，享受本办法规定的中小企业扶持政策：</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①在货物采购项目中，货物由中小企业制造，即货物由中小企业生产且使用该中小企业商号或者注册商标；</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②在工程采购项目中，工程由中小企业承建，即工程施工单位为中小企业；</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③在服务采购项目中，服务由中小企业承接，即提供服务的人员为中小企业依照《中华人民共和国劳动合同法》订立劳动合同的从业人员。</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（3）投标人应当按照招标文件明确的采购标的对应行业的划分标准出具中小企业声明函。</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②监狱企业视同小型、微型企业。</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（5）残疾人福利性单位指同时符合下列条件的单位：</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①安置的残疾人占本单位在职职工人数的比例不低于25%（含25%），并且安置的残疾人人数不少于10人（含10人）；</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②依法与安置的每位残疾人签订了一年以上（含一年）的劳动合同或服务协议；</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9"/>
        <w:widowControl/>
        <w:spacing w:before="75" w:beforeAutospacing="0" w:after="75" w:afterAutospacing="0"/>
        <w:jc w:val="both"/>
        <w:rPr>
          <w:rFonts w:ascii="宋体" w:hAnsi="宋体" w:cs="宋体"/>
          <w:b/>
          <w:bCs/>
          <w:color w:val="auto"/>
          <w:highlight w:val="none"/>
        </w:rPr>
      </w:pPr>
      <w:r>
        <w:rPr>
          <w:rFonts w:hint="eastAsia" w:ascii="宋体" w:hAnsi="宋体" w:cs="宋体"/>
          <w:b/>
          <w:bCs/>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9"/>
        <w:widowControl/>
        <w:spacing w:before="75" w:beforeAutospacing="0" w:after="75" w:afterAutospacing="0"/>
        <w:jc w:val="both"/>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4</w:t>
      </w:r>
      <w:r>
        <w:rPr>
          <w:rFonts w:hint="eastAsia" w:ascii="宋体" w:hAnsi="宋体" w:cs="宋体"/>
          <w:color w:val="auto"/>
          <w:highlight w:val="none"/>
        </w:rPr>
        <w:t>信用记录指由财政部确定的有关网站提供的相关主体信用信息。信用记录的查询及使用应符合财政部文件（财库[2016]125号）规定。</w:t>
      </w:r>
    </w:p>
    <w:p>
      <w:pPr>
        <w:pStyle w:val="19"/>
        <w:widowControl/>
        <w:spacing w:before="75" w:beforeAutospacing="0" w:after="75" w:afterAutospacing="0"/>
        <w:jc w:val="both"/>
        <w:rPr>
          <w:rStyle w:val="27"/>
          <w:rFonts w:ascii="宋体" w:hAnsi="宋体" w:cs="宋体"/>
          <w:b w:val="0"/>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5</w:t>
      </w:r>
      <w:r>
        <w:rPr>
          <w:rFonts w:hint="eastAsia" w:ascii="宋体" w:hAnsi="宋体" w:cs="宋体"/>
          <w:color w:val="auto"/>
          <w:highlight w:val="none"/>
        </w:rPr>
        <w:t>为落实政府采购政策需满足的要求：详见招标文件第一章。</w:t>
      </w:r>
    </w:p>
    <w:p>
      <w:pPr>
        <w:pStyle w:val="3"/>
        <w:rPr>
          <w:color w:val="auto"/>
          <w:highlight w:val="none"/>
        </w:rPr>
      </w:pPr>
      <w:bookmarkStart w:id="34" w:name="_Toc6311"/>
      <w:bookmarkStart w:id="35" w:name="_Toc17671"/>
      <w:r>
        <w:rPr>
          <w:rStyle w:val="27"/>
          <w:rFonts w:hint="eastAsia" w:ascii="宋体" w:hAnsi="宋体" w:cs="宋体"/>
          <w:b w:val="0"/>
          <w:color w:val="auto"/>
          <w:highlight w:val="none"/>
        </w:rPr>
        <w:t>九、本项目的有关信息</w:t>
      </w:r>
      <w:bookmarkEnd w:id="30"/>
      <w:bookmarkEnd w:id="34"/>
      <w:bookmarkEnd w:id="35"/>
    </w:p>
    <w:p>
      <w:pPr>
        <w:pStyle w:val="19"/>
        <w:widowControl/>
        <w:spacing w:before="75" w:beforeAutospacing="0" w:after="75" w:afterAutospacing="0"/>
        <w:rPr>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9"/>
        <w:widowControl/>
        <w:spacing w:before="75" w:beforeAutospacing="0" w:after="75" w:afterAutospacing="0"/>
        <w:rPr>
          <w:color w:val="auto"/>
          <w:highlight w:val="none"/>
        </w:rPr>
      </w:pPr>
      <w:r>
        <w:rPr>
          <w:rFonts w:hint="eastAsia" w:ascii="宋体" w:hAnsi="宋体" w:cs="宋体"/>
          <w:color w:val="auto"/>
          <w:highlight w:val="none"/>
        </w:rPr>
        <w:t>18.1指定媒体：详见招标文件第二章。</w:t>
      </w:r>
    </w:p>
    <w:p>
      <w:pPr>
        <w:pStyle w:val="19"/>
        <w:widowControl/>
        <w:spacing w:before="75" w:beforeAutospacing="0" w:after="75" w:afterAutospacing="0"/>
        <w:rPr>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pPr>
        <w:pStyle w:val="19"/>
        <w:widowControl/>
        <w:spacing w:before="75" w:beforeAutospacing="0" w:after="75" w:afterAutospacing="0"/>
        <w:rPr>
          <w:color w:val="auto"/>
          <w:highlight w:val="none"/>
        </w:rPr>
      </w:pPr>
      <w:r>
        <w:rPr>
          <w:rFonts w:hint="eastAsia" w:ascii="宋体" w:hAnsi="宋体" w:cs="宋体"/>
          <w:color w:val="auto"/>
          <w:highlight w:val="none"/>
        </w:rPr>
        <w:t> </w:t>
      </w:r>
    </w:p>
    <w:p>
      <w:pPr>
        <w:pStyle w:val="3"/>
        <w:rPr>
          <w:color w:val="auto"/>
          <w:highlight w:val="none"/>
        </w:rPr>
      </w:pPr>
      <w:bookmarkStart w:id="36" w:name="_Toc5363"/>
      <w:bookmarkStart w:id="37" w:name="_Toc30025"/>
      <w:bookmarkStart w:id="38" w:name="_Toc51057758"/>
      <w:r>
        <w:rPr>
          <w:rStyle w:val="27"/>
          <w:rFonts w:hint="eastAsia" w:ascii="宋体" w:hAnsi="宋体" w:cs="宋体"/>
          <w:b w:val="0"/>
          <w:color w:val="auto"/>
          <w:highlight w:val="none"/>
        </w:rPr>
        <w:t>十、其他事项</w:t>
      </w:r>
      <w:bookmarkEnd w:id="36"/>
      <w:bookmarkEnd w:id="37"/>
      <w:bookmarkEnd w:id="38"/>
    </w:p>
    <w:p>
      <w:pPr>
        <w:pStyle w:val="19"/>
        <w:widowControl/>
        <w:spacing w:before="75" w:beforeAutospacing="0" w:after="75" w:afterAutospacing="0"/>
        <w:rPr>
          <w:rFonts w:ascii="宋体" w:hAnsi="宋体" w:cs="宋体"/>
          <w:color w:val="auto"/>
          <w:highlight w:val="none"/>
        </w:rPr>
      </w:pPr>
      <w:r>
        <w:rPr>
          <w:rFonts w:ascii="宋体" w:hAnsi="宋体" w:cs="宋体"/>
          <w:color w:val="auto"/>
          <w:highlight w:val="none"/>
        </w:rPr>
        <w:t>19、其他事项：</w:t>
      </w:r>
    </w:p>
    <w:p>
      <w:pPr>
        <w:pStyle w:val="19"/>
        <w:widowControl/>
        <w:spacing w:before="75" w:beforeAutospacing="0" w:after="75" w:afterAutospacing="0"/>
        <w:rPr>
          <w:rFonts w:ascii="宋体" w:hAnsi="宋体" w:cs="宋体"/>
          <w:color w:val="auto"/>
          <w:highlight w:val="none"/>
        </w:rPr>
      </w:pPr>
      <w:r>
        <w:rPr>
          <w:rFonts w:ascii="宋体" w:hAnsi="宋体" w:cs="宋体"/>
          <w:color w:val="auto"/>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9"/>
        <w:widowControl/>
        <w:spacing w:before="75" w:beforeAutospacing="0" w:after="75" w:afterAutospacing="0"/>
        <w:rPr>
          <w:rFonts w:ascii="宋体" w:hAnsi="宋体" w:cs="宋体"/>
          <w:color w:val="auto"/>
          <w:highlight w:val="none"/>
        </w:rPr>
      </w:pPr>
      <w:r>
        <w:rPr>
          <w:rFonts w:ascii="宋体" w:hAnsi="宋体" w:cs="宋体"/>
          <w:color w:val="auto"/>
          <w:highlight w:val="none"/>
        </w:rPr>
        <w:t>19.2其他：详见招标文件第二章。</w:t>
      </w:r>
    </w:p>
    <w:p>
      <w:pPr>
        <w:pStyle w:val="19"/>
        <w:widowControl/>
        <w:spacing w:before="75" w:beforeAutospacing="0" w:after="75" w:afterAutospacing="0"/>
        <w:rPr>
          <w:rFonts w:ascii="宋体" w:hAnsi="宋体" w:cs="宋体"/>
          <w:color w:val="auto"/>
          <w:highlight w:val="none"/>
        </w:rPr>
      </w:pPr>
    </w:p>
    <w:p>
      <w:pPr>
        <w:pStyle w:val="19"/>
        <w:widowControl/>
        <w:spacing w:before="75" w:beforeAutospacing="0" w:after="75" w:afterAutospacing="0"/>
        <w:rPr>
          <w:rFonts w:ascii="宋体" w:hAnsi="宋体" w:cs="宋体"/>
          <w:color w:val="auto"/>
          <w:highlight w:val="none"/>
        </w:rPr>
      </w:pPr>
    </w:p>
    <w:p>
      <w:pPr>
        <w:pStyle w:val="19"/>
        <w:widowControl/>
        <w:spacing w:before="75" w:beforeAutospacing="0" w:after="75" w:afterAutospacing="0"/>
        <w:rPr>
          <w:rFonts w:ascii="宋体" w:hAnsi="宋体" w:cs="宋体"/>
          <w:color w:val="auto"/>
          <w:highlight w:val="none"/>
        </w:rPr>
      </w:pPr>
    </w:p>
    <w:p>
      <w:pPr>
        <w:pStyle w:val="19"/>
        <w:widowControl/>
        <w:spacing w:before="75" w:beforeAutospacing="0" w:after="75" w:afterAutospacing="0"/>
        <w:jc w:val="center"/>
        <w:rPr>
          <w:rStyle w:val="27"/>
          <w:rFonts w:ascii="宋体" w:hAnsi="宋体" w:cs="宋体"/>
          <w:color w:val="auto"/>
          <w:sz w:val="31"/>
          <w:szCs w:val="31"/>
          <w:highlight w:val="none"/>
        </w:rPr>
      </w:pPr>
    </w:p>
    <w:p>
      <w:pPr>
        <w:pStyle w:val="3"/>
        <w:rPr>
          <w:color w:val="auto"/>
          <w:highlight w:val="none"/>
        </w:rPr>
      </w:pPr>
      <w:bookmarkStart w:id="39" w:name="_Toc51057759"/>
      <w:r>
        <w:rPr>
          <w:rStyle w:val="27"/>
          <w:rFonts w:ascii="宋体" w:hAnsi="宋体" w:cs="宋体"/>
          <w:b w:val="0"/>
          <w:color w:val="auto"/>
          <w:sz w:val="31"/>
          <w:szCs w:val="31"/>
          <w:highlight w:val="none"/>
        </w:rPr>
        <w:br w:type="page"/>
      </w:r>
      <w:bookmarkStart w:id="40" w:name="_Toc20291"/>
      <w:r>
        <w:rPr>
          <w:rStyle w:val="50"/>
          <w:rFonts w:hint="eastAsia"/>
          <w:b/>
          <w:bCs w:val="0"/>
          <w:color w:val="auto"/>
          <w:highlight w:val="none"/>
        </w:rPr>
        <w:t>第四章 资格审查与评标</w:t>
      </w:r>
      <w:bookmarkEnd w:id="39"/>
      <w:r>
        <w:rPr>
          <w:rStyle w:val="50"/>
          <w:b/>
          <w:bCs w:val="0"/>
          <w:color w:val="auto"/>
          <w:highlight w:val="none"/>
        </w:rPr>
        <w:t> </w:t>
      </w:r>
      <w:bookmarkEnd w:id="40"/>
    </w:p>
    <w:p>
      <w:pPr>
        <w:pStyle w:val="3"/>
        <w:rPr>
          <w:color w:val="auto"/>
          <w:highlight w:val="none"/>
        </w:rPr>
      </w:pPr>
      <w:bookmarkStart w:id="41" w:name="_Toc25766"/>
      <w:bookmarkStart w:id="42" w:name="_Toc51057760"/>
      <w:r>
        <w:rPr>
          <w:rStyle w:val="27"/>
          <w:rFonts w:hint="eastAsia" w:ascii="宋体" w:hAnsi="宋体" w:cs="宋体"/>
          <w:b w:val="0"/>
          <w:color w:val="auto"/>
          <w:highlight w:val="none"/>
        </w:rPr>
        <w:t>一、资格审查</w:t>
      </w:r>
      <w:bookmarkEnd w:id="41"/>
      <w:bookmarkEnd w:id="42"/>
    </w:p>
    <w:p>
      <w:pPr>
        <w:pStyle w:val="19"/>
        <w:widowControl/>
        <w:spacing w:before="75" w:beforeAutospacing="0" w:after="75" w:afterAutospacing="0"/>
        <w:rPr>
          <w:color w:val="auto"/>
          <w:highlight w:val="none"/>
        </w:rPr>
      </w:pPr>
      <w:r>
        <w:rPr>
          <w:rFonts w:hint="eastAsia" w:ascii="宋体" w:hAnsi="宋体" w:cs="宋体"/>
          <w:color w:val="auto"/>
          <w:highlight w:val="none"/>
        </w:rPr>
        <w:t>1、开标结束后，由</w:t>
      </w:r>
      <w:r>
        <w:rPr>
          <w:rFonts w:hint="eastAsia" w:ascii="宋体" w:hAnsi="宋体" w:cs="宋体"/>
          <w:color w:val="auto"/>
          <w:highlight w:val="none"/>
          <w:u w:val="single"/>
        </w:rPr>
        <w:t>福建榕卫招标有限公司</w:t>
      </w:r>
      <w:r>
        <w:rPr>
          <w:rFonts w:hint="eastAsia" w:ascii="宋体" w:hAnsi="宋体" w:cs="宋体"/>
          <w:color w:val="auto"/>
          <w:highlight w:val="none"/>
        </w:rPr>
        <w:t>负责资格审查小组的组建及资格审查工作的组织。</w:t>
      </w:r>
    </w:p>
    <w:p>
      <w:pPr>
        <w:pStyle w:val="19"/>
        <w:widowControl/>
        <w:spacing w:before="75" w:beforeAutospacing="0" w:after="75" w:afterAutospacing="0"/>
        <w:rPr>
          <w:rFonts w:ascii="宋体" w:hAnsi="宋体"/>
          <w:color w:val="auto"/>
          <w:highlight w:val="none"/>
        </w:rPr>
      </w:pPr>
      <w:r>
        <w:rPr>
          <w:rFonts w:hint="eastAsia" w:ascii="宋体" w:hAnsi="宋体" w:cs="宋体"/>
          <w:color w:val="auto"/>
          <w:highlight w:val="none"/>
        </w:rPr>
        <w:t>1.1</w:t>
      </w:r>
      <w:r>
        <w:rPr>
          <w:rFonts w:ascii="宋体" w:hAnsi="宋体"/>
          <w:color w:val="auto"/>
          <w:highlight w:val="none"/>
        </w:rPr>
        <w:t>资格审查小组由</w:t>
      </w:r>
      <w:r>
        <w:rPr>
          <w:rFonts w:ascii="宋体" w:hAnsi="宋体" w:cs="Calibri"/>
          <w:color w:val="auto"/>
          <w:highlight w:val="none"/>
        </w:rPr>
        <w:t>3</w:t>
      </w:r>
      <w:r>
        <w:rPr>
          <w:rFonts w:ascii="宋体" w:hAnsi="宋体"/>
          <w:color w:val="auto"/>
          <w:highlight w:val="none"/>
        </w:rPr>
        <w:t>人组成</w:t>
      </w:r>
      <w:r>
        <w:rPr>
          <w:rFonts w:hint="eastAsia" w:ascii="宋体" w:hAnsi="宋体"/>
          <w:color w:val="auto"/>
          <w:highlight w:val="none"/>
        </w:rPr>
        <w:t>，</w:t>
      </w:r>
      <w:r>
        <w:rPr>
          <w:rFonts w:hint="eastAsia" w:ascii="宋体" w:hAnsi="宋体" w:cs="宋体"/>
          <w:color w:val="auto"/>
          <w:highlight w:val="none"/>
        </w:rPr>
        <w:t>并负责具体审查事务，其中：由采购人派出的采购人代表至少</w:t>
      </w:r>
      <w:r>
        <w:rPr>
          <w:rFonts w:hint="eastAsia" w:ascii="宋体" w:hAnsi="宋体" w:cs="宋体"/>
          <w:color w:val="auto"/>
          <w:highlight w:val="none"/>
          <w:u w:val="single"/>
        </w:rPr>
        <w:t>1</w:t>
      </w:r>
      <w:r>
        <w:rPr>
          <w:rFonts w:hint="eastAsia" w:ascii="宋体" w:hAnsi="宋体" w:cs="宋体"/>
          <w:color w:val="auto"/>
          <w:highlight w:val="none"/>
        </w:rPr>
        <w:t>人，由</w:t>
      </w:r>
      <w:r>
        <w:rPr>
          <w:rFonts w:hint="eastAsia" w:ascii="宋体" w:hAnsi="宋体" w:cs="宋体"/>
          <w:color w:val="auto"/>
          <w:highlight w:val="none"/>
          <w:u w:val="single"/>
        </w:rPr>
        <w:t>福建榕卫招标有限公司</w:t>
      </w:r>
      <w:r>
        <w:rPr>
          <w:rFonts w:hint="eastAsia" w:ascii="宋体" w:hAnsi="宋体" w:cs="宋体"/>
          <w:color w:val="auto"/>
          <w:highlight w:val="none"/>
        </w:rPr>
        <w:t>派出的工作人员至少</w:t>
      </w:r>
      <w:r>
        <w:rPr>
          <w:rFonts w:hint="eastAsia" w:ascii="宋体" w:hAnsi="宋体" w:cs="宋体"/>
          <w:color w:val="auto"/>
          <w:highlight w:val="none"/>
          <w:u w:val="single"/>
        </w:rPr>
        <w:t>1</w:t>
      </w:r>
      <w:r>
        <w:rPr>
          <w:rFonts w:hint="eastAsia" w:ascii="宋体" w:hAnsi="宋体" w:cs="宋体"/>
          <w:color w:val="auto"/>
          <w:highlight w:val="none"/>
        </w:rPr>
        <w:t>人，其余</w:t>
      </w:r>
      <w:r>
        <w:rPr>
          <w:rFonts w:hint="eastAsia" w:ascii="宋体" w:hAnsi="宋体" w:cs="宋体"/>
          <w:color w:val="auto"/>
          <w:highlight w:val="none"/>
          <w:u w:val="single"/>
        </w:rPr>
        <w:t>1</w:t>
      </w:r>
      <w:r>
        <w:rPr>
          <w:rFonts w:hint="eastAsia" w:ascii="宋体" w:hAnsi="宋体" w:cs="宋体"/>
          <w:color w:val="auto"/>
          <w:highlight w:val="none"/>
        </w:rPr>
        <w:t>人可为采购人代表或</w:t>
      </w:r>
      <w:r>
        <w:rPr>
          <w:rFonts w:hint="eastAsia" w:ascii="宋体" w:hAnsi="宋体" w:cs="宋体"/>
          <w:color w:val="auto"/>
          <w:highlight w:val="none"/>
          <w:u w:val="single"/>
        </w:rPr>
        <w:t>福建榕卫招标有限公司</w:t>
      </w:r>
      <w:r>
        <w:rPr>
          <w:rFonts w:hint="eastAsia" w:ascii="宋体" w:hAnsi="宋体" w:cs="宋体"/>
          <w:color w:val="auto"/>
          <w:highlight w:val="none"/>
        </w:rPr>
        <w:t>的工作人员。</w:t>
      </w:r>
    </w:p>
    <w:p>
      <w:pPr>
        <w:pStyle w:val="19"/>
        <w:widowControl/>
        <w:spacing w:before="75" w:beforeAutospacing="0" w:after="75" w:afterAutospacing="0"/>
        <w:rPr>
          <w:color w:val="auto"/>
          <w:highlight w:val="none"/>
        </w:rPr>
      </w:pPr>
      <w:r>
        <w:rPr>
          <w:rFonts w:hint="eastAsia" w:ascii="宋体" w:hAnsi="宋体" w:cs="宋体"/>
          <w:color w:val="auto"/>
          <w:highlight w:val="none"/>
        </w:rPr>
        <w:t>1.2资格审查的依据是招标文件和投标文件。</w:t>
      </w:r>
    </w:p>
    <w:p>
      <w:pPr>
        <w:pStyle w:val="19"/>
        <w:widowControl/>
        <w:spacing w:before="0" w:beforeAutospacing="0" w:after="0" w:afterAutospacing="0"/>
        <w:rPr>
          <w:color w:val="auto"/>
          <w:highlight w:val="none"/>
        </w:rPr>
      </w:pPr>
      <w:r>
        <w:rPr>
          <w:rFonts w:hint="eastAsia" w:ascii="宋体" w:hAnsi="宋体" w:cs="宋体"/>
          <w:color w:val="auto"/>
          <w:highlight w:val="none"/>
        </w:rPr>
        <w:t>1.3资格审查的范围及内容：投标文件（资格及资信证明部分），具体如下：</w:t>
      </w:r>
    </w:p>
    <w:p>
      <w:pPr>
        <w:pStyle w:val="19"/>
        <w:widowControl/>
        <w:spacing w:before="0" w:beforeAutospacing="0" w:after="0" w:afterAutospacing="0"/>
        <w:rPr>
          <w:rFonts w:ascii="宋体" w:hAnsi="宋体" w:cs="宋体"/>
          <w:color w:val="auto"/>
          <w:highlight w:val="none"/>
        </w:rPr>
      </w:pPr>
      <w:r>
        <w:rPr>
          <w:rFonts w:hint="eastAsia" w:ascii="宋体" w:hAnsi="宋体" w:cs="宋体"/>
          <w:color w:val="auto"/>
          <w:highlight w:val="none"/>
        </w:rPr>
        <w:t>  （1）“投标函”；</w:t>
      </w:r>
    </w:p>
    <w:p>
      <w:pPr>
        <w:pStyle w:val="19"/>
        <w:widowControl/>
        <w:spacing w:before="0" w:beforeAutospacing="0" w:after="0" w:afterAutospacing="0"/>
        <w:rPr>
          <w:rFonts w:ascii="宋体" w:hAnsi="宋体" w:cs="宋体"/>
          <w:color w:val="auto"/>
          <w:highlight w:val="none"/>
        </w:rPr>
      </w:pPr>
      <w:r>
        <w:rPr>
          <w:rFonts w:hint="eastAsia" w:ascii="宋体" w:hAnsi="宋体" w:cs="宋体"/>
          <w:color w:val="auto"/>
          <w:highlight w:val="none"/>
        </w:rPr>
        <w:t>  （2）“投标人的资格及资信证明文件”</w:t>
      </w:r>
    </w:p>
    <w:p>
      <w:pPr>
        <w:pStyle w:val="19"/>
        <w:widowControl/>
        <w:spacing w:before="0" w:beforeAutospacing="0" w:after="0" w:afterAutospacing="0"/>
        <w:rPr>
          <w:color w:val="auto"/>
          <w:highlight w:val="none"/>
        </w:rPr>
      </w:pPr>
      <w:r>
        <w:rPr>
          <w:rFonts w:hint="eastAsia" w:ascii="宋体" w:hAnsi="宋体" w:cs="宋体"/>
          <w:color w:val="auto"/>
          <w:highlight w:val="none"/>
        </w:rPr>
        <w:t>   ①一般资格证明文件：</w:t>
      </w:r>
    </w:p>
    <w:tbl>
      <w:tblPr>
        <w:tblStyle w:val="24"/>
        <w:tblW w:w="9638"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13" w:type="dxa"/>
            <w:vAlign w:val="center"/>
          </w:tcPr>
          <w:p>
            <w:pPr>
              <w:widowControl/>
              <w:jc w:val="center"/>
              <w:rPr>
                <w:b/>
                <w:color w:val="auto"/>
                <w:highlight w:val="none"/>
              </w:rPr>
            </w:pPr>
            <w:r>
              <w:rPr>
                <w:rFonts w:ascii="宋体" w:hAnsi="宋体" w:cs="宋体"/>
                <w:b/>
                <w:color w:val="auto"/>
                <w:kern w:val="0"/>
                <w:sz w:val="24"/>
                <w:highlight w:val="none"/>
              </w:rPr>
              <w:t>明细</w:t>
            </w:r>
          </w:p>
        </w:tc>
        <w:tc>
          <w:tcPr>
            <w:tcW w:w="7725" w:type="dxa"/>
            <w:vAlign w:val="center"/>
          </w:tcPr>
          <w:p>
            <w:pPr>
              <w:widowControl/>
              <w:jc w:val="center"/>
              <w:rPr>
                <w:b/>
                <w:color w:val="auto"/>
                <w:highlight w:val="none"/>
              </w:rPr>
            </w:pPr>
            <w:r>
              <w:rPr>
                <w:rFonts w:ascii="宋体" w:hAnsi="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单位负责人授权书（若有）</w:t>
            </w:r>
          </w:p>
        </w:tc>
        <w:tc>
          <w:tcPr>
            <w:tcW w:w="7725" w:type="dxa"/>
            <w:vAlign w:val="center"/>
          </w:tcPr>
          <w:p>
            <w:pPr>
              <w:widowControl/>
              <w:jc w:val="left"/>
              <w:rPr>
                <w:color w:val="auto"/>
                <w:highlight w:val="none"/>
              </w:rPr>
            </w:pPr>
            <w:r>
              <w:rPr>
                <w:rFonts w:ascii="宋体" w:hAnsi="宋体" w:cs="宋体"/>
                <w:color w:val="auto"/>
                <w:kern w:val="0"/>
                <w:sz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w:t>
            </w:r>
            <w:r>
              <w:rPr>
                <w:rFonts w:hint="eastAsia" w:ascii="宋体" w:hAnsi="宋体" w:cs="宋体"/>
                <w:color w:val="auto"/>
                <w:kern w:val="0"/>
                <w:sz w:val="24"/>
                <w:highlight w:val="none"/>
              </w:rPr>
              <w:t>。5</w:t>
            </w:r>
            <w:r>
              <w:rPr>
                <w:rFonts w:ascii="宋体" w:hAnsi="宋体" w:cs="宋体"/>
                <w:color w:val="auto"/>
                <w:kern w:val="0"/>
                <w:sz w:val="24"/>
                <w:highlight w:val="none"/>
              </w:rPr>
              <w:t>、投标文件正本中的本授权书（若有）应为原件。※投标人应按照招标文件第七章规定提供。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营业执照等证明文件</w:t>
            </w:r>
          </w:p>
        </w:tc>
        <w:tc>
          <w:tcPr>
            <w:tcW w:w="7725" w:type="dxa"/>
            <w:vAlign w:val="center"/>
          </w:tcPr>
          <w:p>
            <w:pPr>
              <w:widowControl/>
              <w:jc w:val="left"/>
              <w:rPr>
                <w:color w:val="auto"/>
                <w:highlight w:val="none"/>
              </w:rPr>
            </w:pPr>
            <w:r>
              <w:rPr>
                <w:rFonts w:ascii="宋体" w:hAnsi="宋体" w:cs="宋体"/>
                <w:color w:val="auto"/>
                <w:kern w:val="0"/>
                <w:sz w:val="24"/>
                <w:highlight w:val="no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财务状况报告（财务报告、或资信证明）</w:t>
            </w:r>
          </w:p>
        </w:tc>
        <w:tc>
          <w:tcPr>
            <w:tcW w:w="7725" w:type="dxa"/>
            <w:vAlign w:val="center"/>
          </w:tcPr>
          <w:p>
            <w:pPr>
              <w:widowControl/>
              <w:jc w:val="left"/>
              <w:rPr>
                <w:color w:val="auto"/>
                <w:highlight w:val="none"/>
              </w:rPr>
            </w:pPr>
            <w:r>
              <w:rPr>
                <w:rFonts w:hint="eastAsia" w:ascii="宋体" w:hAnsi="宋体" w:cs="宋体"/>
                <w:color w:val="auto"/>
                <w:kern w:val="0"/>
                <w:sz w:val="24"/>
                <w:highlight w:val="none"/>
              </w:rPr>
              <w:t>1、投标人提供的财务报告复印件（成立年限按照投标截止时间推算）应符合下列规定：1.1成立年限满1年及以上的投标人，提供经审计的上一年的年度财务报告</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“上一年度”是指2022年度</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可选择提供开户银行出具的资信证明复印件</w:t>
            </w:r>
            <w:r>
              <w:rPr>
                <w:rFonts w:hint="eastAsia" w:ascii="宋体" w:hAnsi="宋体" w:cs="宋体"/>
                <w:b/>
                <w:bCs/>
                <w:color w:val="auto"/>
                <w:kern w:val="0"/>
                <w:sz w:val="24"/>
                <w:highlight w:val="none"/>
              </w:rPr>
              <w:t>（若资信证明中有标注“复印无效”等，投标人须在投标文件“资格及资信证明部分”正本中提供资信证明原件）</w:t>
            </w:r>
            <w:r>
              <w:rPr>
                <w:rFonts w:hint="eastAsia" w:ascii="宋体" w:hAnsi="宋体" w:cs="宋体"/>
                <w:color w:val="auto"/>
                <w:kern w:val="0"/>
                <w:sz w:val="24"/>
                <w:highlight w:val="none"/>
              </w:rPr>
              <w:t>。3、投标人提供的相应证明材料复印件均应符合：内容完整、清晰、整洁，并由投标人加盖其单位公章。※投标人应按照招标文件第七章规定提供。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依法缴纳税收证明材料</w:t>
            </w:r>
          </w:p>
        </w:tc>
        <w:tc>
          <w:tcPr>
            <w:tcW w:w="7725" w:type="dxa"/>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1、投标人提供的税收凭据复印件应符合下列规定：</w:t>
            </w:r>
            <w:r>
              <w:rPr>
                <w:rFonts w:hint="eastAsia" w:ascii="宋体" w:hAnsi="宋体" w:cs="宋体"/>
                <w:color w:val="auto"/>
                <w:kern w:val="0"/>
                <w:sz w:val="24"/>
                <w:highlight w:val="none"/>
              </w:rPr>
              <w:t>1.1投标截止时间前（不含投标截止时间的当月）已依法缴纳税收的投标人，提供投标截止时间前六个月（不含投标截止时间的当月）中任一月份的税收缴纳凭据复印件。</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1.2投标截止时间的当月成立的投标人，视同满足本项资格条件要求。</w:t>
            </w:r>
          </w:p>
          <w:p>
            <w:pPr>
              <w:widowControl/>
              <w:jc w:val="left"/>
              <w:rPr>
                <w:color w:val="auto"/>
                <w:highlight w:val="none"/>
              </w:rPr>
            </w:pPr>
            <w:r>
              <w:rPr>
                <w:rFonts w:hint="eastAsia" w:ascii="宋体" w:hAnsi="宋体" w:cs="宋体"/>
                <w:color w:val="auto"/>
                <w:kern w:val="0"/>
                <w:sz w:val="24"/>
                <w:highlight w:val="none"/>
              </w:rPr>
              <w:t>1.3若为依法免税范围的投标人，提供依法免税证明材料的，视同满足本项资格条件要求。2</w:t>
            </w:r>
            <w:r>
              <w:rPr>
                <w:rFonts w:ascii="宋体" w:hAnsi="宋体" w:cs="宋体"/>
                <w:color w:val="auto"/>
                <w:kern w:val="0"/>
                <w:sz w:val="24"/>
                <w:highlight w:val="none"/>
              </w:rPr>
              <w:t>、投标人提供的相应证明材料复印件均应符合：内容完整、清晰、整洁，并由投标人加盖其单位公章。※投标人应按照招标文件第七章规定提供。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依法缴纳社会保障资金证明材料</w:t>
            </w:r>
          </w:p>
        </w:tc>
        <w:tc>
          <w:tcPr>
            <w:tcW w:w="7725" w:type="dxa"/>
            <w:vAlign w:val="center"/>
          </w:tcPr>
          <w:p>
            <w:pPr>
              <w:widowControl/>
              <w:jc w:val="left"/>
              <w:rPr>
                <w:color w:val="auto"/>
                <w:highlight w:val="none"/>
              </w:rPr>
            </w:pPr>
            <w:r>
              <w:rPr>
                <w:rFonts w:ascii="宋体" w:hAnsi="宋体" w:cs="宋体"/>
                <w:color w:val="auto"/>
                <w:kern w:val="0"/>
                <w:sz w:val="24"/>
                <w:highlight w:val="none"/>
              </w:rPr>
              <w:t>1、投标人提供的社会保险凭据复印件应符合下列规定：</w:t>
            </w:r>
            <w:r>
              <w:rPr>
                <w:rFonts w:hint="eastAsia" w:ascii="宋体" w:hAnsi="宋体" w:cs="宋体"/>
                <w:color w:val="auto"/>
                <w:kern w:val="0"/>
                <w:sz w:val="24"/>
                <w:highlight w:val="none"/>
              </w:rPr>
              <w:t>1.1投标截止时间前（不含投标截止时间的当月）已依法缴纳社会保障资金的投标人，提供投标截止时间前六个月（不含投标截止时间的当月）中任一月份的社会保障资金缴纳凭据复印件。 1.2投标截止时间的当月成立的投标人，视同满足本项资格条件要求。 1.3若为依法不需要缴纳或暂缓缴纳社会保障资金的投标人，提供依法不需要缴纳或暂缓缴纳社会保障资金证明材料的，视同满足本项资格条件要求。2</w:t>
            </w:r>
            <w:r>
              <w:rPr>
                <w:rFonts w:ascii="宋体" w:hAnsi="宋体" w:cs="宋体"/>
                <w:color w:val="auto"/>
                <w:kern w:val="0"/>
                <w:sz w:val="24"/>
                <w:highlight w:val="none"/>
              </w:rPr>
              <w:t>、投标人提供的相应证明材料复印件均应符合：内容完整、清晰、整洁，并由投标人加盖其单位公章。※投标人应按照招标文件第七章规定提供。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具备履行合同所必需设备和专业技术能力的声明函</w:t>
            </w:r>
          </w:p>
        </w:tc>
        <w:tc>
          <w:tcPr>
            <w:tcW w:w="7725" w:type="dxa"/>
            <w:vAlign w:val="center"/>
          </w:tcPr>
          <w:p>
            <w:pPr>
              <w:widowControl/>
              <w:jc w:val="left"/>
              <w:rPr>
                <w:color w:val="auto"/>
                <w:highlight w:val="none"/>
              </w:rPr>
            </w:pPr>
            <w:r>
              <w:rPr>
                <w:rFonts w:ascii="宋体" w:hAnsi="宋体" w:cs="宋体"/>
                <w:color w:val="auto"/>
                <w:kern w:val="0"/>
                <w:sz w:val="24"/>
                <w:highlight w:val="none"/>
              </w:rPr>
              <w:t>投标人应提供本声明函。投标文件正本中的本声明函应为原件。※投标人应按照招标文件第七章规定提供。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参加采购活动前三年内在经营活动中没有重大违法记录书面声明</w:t>
            </w:r>
          </w:p>
        </w:tc>
        <w:tc>
          <w:tcPr>
            <w:tcW w:w="7725" w:type="dxa"/>
            <w:vAlign w:val="center"/>
          </w:tcPr>
          <w:p>
            <w:pPr>
              <w:widowControl/>
              <w:jc w:val="left"/>
              <w:rPr>
                <w:color w:val="auto"/>
                <w:highlight w:val="none"/>
              </w:rPr>
            </w:pPr>
            <w:r>
              <w:rPr>
                <w:rFonts w:hint="eastAsia" w:ascii="宋体" w:hAnsi="宋体" w:cs="宋体"/>
                <w:color w:val="auto"/>
                <w:kern w:val="0"/>
                <w:sz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②</w:t>
            </w:r>
            <w:r>
              <w:rPr>
                <w:rFonts w:ascii="宋体" w:hAnsi="宋体" w:cs="宋体"/>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13" w:type="dxa"/>
            <w:vAlign w:val="center"/>
          </w:tcPr>
          <w:p>
            <w:pPr>
              <w:widowControl/>
              <w:jc w:val="left"/>
              <w:rPr>
                <w:color w:val="auto"/>
                <w:highlight w:val="none"/>
              </w:rPr>
            </w:pPr>
            <w:r>
              <w:rPr>
                <w:rFonts w:ascii="宋体" w:hAnsi="宋体" w:cs="宋体"/>
                <w:color w:val="auto"/>
                <w:kern w:val="0"/>
                <w:sz w:val="24"/>
                <w:highlight w:val="none"/>
              </w:rPr>
              <w:t>信用记录查询结果</w:t>
            </w:r>
          </w:p>
        </w:tc>
        <w:tc>
          <w:tcPr>
            <w:tcW w:w="7725" w:type="dxa"/>
            <w:vAlign w:val="center"/>
          </w:tcPr>
          <w:p>
            <w:pPr>
              <w:widowControl/>
              <w:jc w:val="left"/>
              <w:rPr>
                <w:color w:val="auto"/>
                <w:highlight w:val="none"/>
              </w:rPr>
            </w:pPr>
            <w:r>
              <w:rPr>
                <w:rFonts w:hint="eastAsia" w:ascii="宋体" w:hAnsi="宋体" w:cs="宋体"/>
                <w:color w:val="auto"/>
                <w:kern w:val="0"/>
                <w:sz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pStyle w:val="56"/>
        <w:ind w:firstLine="480"/>
        <w:jc w:val="both"/>
        <w:rPr>
          <w:rFonts w:hint="default"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※备注说明</w:t>
      </w:r>
    </w:p>
    <w:p>
      <w:pPr>
        <w:pStyle w:val="56"/>
        <w:ind w:firstLine="480"/>
        <w:jc w:val="both"/>
        <w:rPr>
          <w:rFonts w:hint="default"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①投标人应根据自身实际情况提供上述资格要求的证明材料，格式可参考招标文件第七章提供。</w:t>
      </w:r>
    </w:p>
    <w:p>
      <w:pPr>
        <w:pStyle w:val="56"/>
        <w:ind w:firstLine="480"/>
        <w:jc w:val="both"/>
        <w:rPr>
          <w:rFonts w:hint="default"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②投标人提供的相应证明材料复印件均应符合：内容完整、清晰、整洁，并由投标人加盖其单位公章。</w:t>
      </w:r>
    </w:p>
    <w:p>
      <w:pPr>
        <w:widowControl/>
        <w:jc w:val="left"/>
        <w:rPr>
          <w:rFonts w:ascii="宋体" w:hAnsi="宋体" w:cs="宋体"/>
          <w:color w:val="auto"/>
          <w:kern w:val="0"/>
          <w:sz w:val="24"/>
          <w:highlight w:val="none"/>
        </w:rPr>
      </w:pPr>
    </w:p>
    <w:p>
      <w:pPr>
        <w:widowControl/>
        <w:jc w:val="left"/>
        <w:rPr>
          <w:color w:val="auto"/>
          <w:highlight w:val="none"/>
        </w:rPr>
      </w:pPr>
      <w:r>
        <w:rPr>
          <w:rFonts w:hint="eastAsia" w:ascii="宋体" w:hAnsi="宋体" w:cs="宋体"/>
          <w:color w:val="auto"/>
          <w:kern w:val="0"/>
          <w:sz w:val="24"/>
          <w:highlight w:val="none"/>
        </w:rPr>
        <w:t>   ②.其他资格证明文件：</w:t>
      </w:r>
    </w:p>
    <w:p>
      <w:pPr>
        <w:pStyle w:val="19"/>
        <w:widowControl/>
        <w:spacing w:before="75" w:beforeAutospacing="0" w:after="75" w:afterAutospacing="0"/>
        <w:rPr>
          <w:color w:val="auto"/>
          <w:highlight w:val="none"/>
        </w:rPr>
      </w:pPr>
      <w:r>
        <w:rPr>
          <w:rStyle w:val="27"/>
          <w:color w:val="auto"/>
          <w:highlight w:val="none"/>
        </w:rPr>
        <w:t>包：1</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vAlign w:val="center"/>
          </w:tcPr>
          <w:p>
            <w:pPr>
              <w:widowControl/>
              <w:jc w:val="left"/>
              <w:rPr>
                <w:rFonts w:hint="eastAsia"/>
                <w:b w:val="0"/>
                <w:bCs w:val="0"/>
                <w:color w:val="auto"/>
                <w:vertAlign w:val="baseline"/>
                <w:lang w:val="en-US" w:eastAsia="zh-CN"/>
              </w:rPr>
            </w:pPr>
            <w:r>
              <w:rPr>
                <w:rFonts w:ascii="宋体" w:hAnsi="宋体" w:eastAsia="宋体" w:cs="宋体"/>
                <w:b w:val="0"/>
                <w:bCs w:val="0"/>
                <w:color w:val="auto"/>
                <w:kern w:val="0"/>
                <w:sz w:val="24"/>
                <w:szCs w:val="24"/>
                <w:lang w:val="en-US" w:eastAsia="zh-CN" w:bidi="ar"/>
              </w:rPr>
              <w:t>其他资格证明</w:t>
            </w:r>
          </w:p>
        </w:tc>
        <w:tc>
          <w:tcPr>
            <w:tcW w:w="3853" w:type="pct"/>
            <w:vAlign w:val="center"/>
          </w:tcPr>
          <w:p>
            <w:pPr>
              <w:widowControl/>
              <w:jc w:val="left"/>
              <w:rPr>
                <w:rFonts w:hint="eastAsia"/>
                <w:b w:val="0"/>
                <w:bCs w:val="0"/>
                <w:color w:val="auto"/>
                <w:vertAlign w:val="baseline"/>
                <w:lang w:val="en-US" w:eastAsia="zh-CN"/>
              </w:rPr>
            </w:pPr>
            <w:r>
              <w:rPr>
                <w:rFonts w:hint="default" w:ascii="宋体" w:hAnsi="宋体" w:eastAsia="宋体" w:cs="宋体"/>
                <w:b w:val="0"/>
                <w:bCs w:val="0"/>
                <w:color w:val="auto"/>
                <w:kern w:val="0"/>
                <w:sz w:val="24"/>
                <w:szCs w:val="24"/>
                <w:highlight w:val="none"/>
                <w:lang w:val="en-US" w:eastAsia="zh-CN" w:bidi="ar"/>
              </w:rPr>
              <w:t>投标人须具备有效的</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食品生产许可证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或</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食品经营许可证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或</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食品流通许可证</w:t>
            </w:r>
            <w:r>
              <w:rPr>
                <w:rFonts w:hint="eastAsia" w:ascii="宋体" w:hAnsi="宋体" w:eastAsia="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，须提供有效证书复印件。</w:t>
            </w:r>
          </w:p>
        </w:tc>
      </w:tr>
    </w:tbl>
    <w:p>
      <w:pPr>
        <w:widowControl/>
        <w:jc w:val="left"/>
        <w:rPr>
          <w:rFonts w:hint="eastAsia" w:ascii="宋体" w:hAnsi="宋体" w:eastAsia="宋体" w:cs="宋体"/>
          <w:color w:val="auto"/>
          <w:kern w:val="0"/>
          <w:sz w:val="24"/>
          <w:highlight w:val="none"/>
          <w:lang w:val="en-US" w:eastAsia="zh-CN"/>
        </w:rPr>
      </w:pPr>
    </w:p>
    <w:p>
      <w:pPr>
        <w:widowControl/>
        <w:jc w:val="left"/>
        <w:rPr>
          <w:color w:val="auto"/>
          <w:highlight w:val="none"/>
        </w:rPr>
      </w:pPr>
      <w:r>
        <w:rPr>
          <w:rFonts w:hint="eastAsia" w:ascii="宋体" w:hAnsi="宋体" w:cs="宋体"/>
          <w:color w:val="auto"/>
          <w:kern w:val="0"/>
          <w:sz w:val="24"/>
          <w:highlight w:val="none"/>
        </w:rPr>
        <w:t>  （3）投标保证金。</w:t>
      </w:r>
    </w:p>
    <w:p>
      <w:pPr>
        <w:pStyle w:val="19"/>
        <w:widowControl/>
        <w:spacing w:before="75" w:beforeAutospacing="0" w:after="75" w:afterAutospacing="0"/>
        <w:rPr>
          <w:rStyle w:val="27"/>
          <w:rFonts w:ascii="宋体" w:hAnsi="宋体" w:cs="宋体"/>
          <w:color w:val="auto"/>
          <w:highlight w:val="none"/>
        </w:rPr>
      </w:pPr>
      <w:r>
        <w:rPr>
          <w:rFonts w:hint="eastAsia" w:ascii="宋体" w:hAnsi="宋体" w:cs="宋体"/>
          <w:color w:val="auto"/>
          <w:highlight w:val="none"/>
        </w:rPr>
        <w:t>1.4有下列情形之一的，</w:t>
      </w:r>
      <w:r>
        <w:rPr>
          <w:rStyle w:val="27"/>
          <w:rFonts w:hint="eastAsia" w:ascii="宋体" w:hAnsi="宋体" w:cs="宋体"/>
          <w:color w:val="auto"/>
          <w:highlight w:val="none"/>
        </w:rPr>
        <w:t>资格审查不合格：</w:t>
      </w:r>
    </w:p>
    <w:p>
      <w:pPr>
        <w:pStyle w:val="19"/>
        <w:widowControl/>
        <w:spacing w:before="75" w:beforeAutospacing="0" w:after="75" w:afterAutospacing="0"/>
        <w:rPr>
          <w:color w:val="auto"/>
          <w:highlight w:val="none"/>
        </w:rPr>
      </w:pPr>
      <w:r>
        <w:rPr>
          <w:rFonts w:hint="eastAsia" w:ascii="宋体" w:hAnsi="宋体" w:cs="宋体"/>
          <w:color w:val="auto"/>
          <w:highlight w:val="none"/>
        </w:rPr>
        <w:t>  （1）一般情形：</w:t>
      </w:r>
    </w:p>
    <w:tbl>
      <w:tblPr>
        <w:tblStyle w:val="24"/>
        <w:tblW w:w="963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blHeader/>
          <w:tblCellSpacing w:w="0" w:type="dxa"/>
          <w:jc w:val="center"/>
        </w:trPr>
        <w:tc>
          <w:tcPr>
            <w:tcW w:w="9638" w:type="dxa"/>
            <w:vAlign w:val="center"/>
          </w:tcPr>
          <w:p>
            <w:pPr>
              <w:widowControl/>
              <w:jc w:val="center"/>
              <w:rPr>
                <w:b/>
                <w:color w:val="auto"/>
                <w:highlight w:val="none"/>
              </w:rPr>
            </w:pPr>
            <w:r>
              <w:rPr>
                <w:rFonts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jc w:val="center"/>
        </w:trPr>
        <w:tc>
          <w:tcPr>
            <w:tcW w:w="9638" w:type="dxa"/>
            <w:vAlign w:val="center"/>
          </w:tcPr>
          <w:p>
            <w:pPr>
              <w:widowControl/>
              <w:jc w:val="left"/>
              <w:rPr>
                <w:color w:val="auto"/>
                <w:highlight w:val="none"/>
              </w:rPr>
            </w:pPr>
            <w:r>
              <w:rPr>
                <w:rFonts w:ascii="宋体" w:hAnsi="宋体" w:cs="宋体"/>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jc w:val="center"/>
        </w:trPr>
        <w:tc>
          <w:tcPr>
            <w:tcW w:w="9638" w:type="dxa"/>
            <w:vAlign w:val="center"/>
          </w:tcPr>
          <w:p>
            <w:pPr>
              <w:widowControl/>
              <w:jc w:val="left"/>
              <w:rPr>
                <w:color w:val="auto"/>
                <w:highlight w:val="none"/>
              </w:rPr>
            </w:pPr>
            <w:r>
              <w:rPr>
                <w:rFonts w:ascii="宋体" w:hAnsi="宋体" w:cs="宋体"/>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jc w:val="center"/>
        </w:trPr>
        <w:tc>
          <w:tcPr>
            <w:tcW w:w="9638" w:type="dxa"/>
            <w:vAlign w:val="center"/>
          </w:tcPr>
          <w:p>
            <w:pPr>
              <w:widowControl/>
              <w:jc w:val="left"/>
              <w:rPr>
                <w:color w:val="auto"/>
                <w:highlight w:val="none"/>
              </w:rPr>
            </w:pPr>
            <w:r>
              <w:rPr>
                <w:rFonts w:ascii="宋体" w:hAnsi="宋体" w:cs="宋体"/>
                <w:color w:val="auto"/>
                <w:kern w:val="0"/>
                <w:sz w:val="24"/>
                <w:highlight w:val="none"/>
              </w:rPr>
              <w:t>未按照招标文件规定提交投标保证金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blCellSpacing w:w="0" w:type="dxa"/>
          <w:jc w:val="center"/>
        </w:trPr>
        <w:tc>
          <w:tcPr>
            <w:tcW w:w="9638"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招标文件中规定其他无效情形</w:t>
            </w:r>
          </w:p>
        </w:tc>
      </w:tr>
    </w:tbl>
    <w:p>
      <w:pPr>
        <w:widowControl/>
        <w:jc w:val="left"/>
        <w:rPr>
          <w:rFonts w:ascii="宋体" w:hAnsi="宋体" w:cs="宋体"/>
          <w:color w:val="auto"/>
          <w:kern w:val="0"/>
          <w:sz w:val="24"/>
          <w:highlight w:val="none"/>
        </w:rPr>
      </w:pPr>
    </w:p>
    <w:p>
      <w:pPr>
        <w:widowControl/>
        <w:jc w:val="left"/>
        <w:rPr>
          <w:color w:val="auto"/>
          <w:highlight w:val="none"/>
        </w:rPr>
      </w:pPr>
      <w:r>
        <w:rPr>
          <w:rFonts w:hint="eastAsia" w:ascii="宋体" w:hAnsi="宋体" w:cs="宋体"/>
          <w:color w:val="auto"/>
          <w:kern w:val="0"/>
          <w:sz w:val="24"/>
          <w:highlight w:val="none"/>
        </w:rPr>
        <w:t>  （2）本项目规定的其他情形：</w:t>
      </w:r>
    </w:p>
    <w:p>
      <w:pPr>
        <w:pStyle w:val="19"/>
        <w:widowControl/>
        <w:rPr>
          <w:color w:val="auto"/>
          <w:highlight w:val="none"/>
        </w:rPr>
      </w:pPr>
      <w:r>
        <w:rPr>
          <w:rStyle w:val="27"/>
          <w:color w:val="auto"/>
          <w:highlight w:val="none"/>
        </w:rPr>
        <w:t>包：1</w:t>
      </w:r>
      <w:r>
        <w:rPr>
          <w:color w:val="auto"/>
          <w:highlight w:val="none"/>
        </w:rPr>
        <w:t> </w:t>
      </w:r>
    </w:p>
    <w:tbl>
      <w:tblPr>
        <w:tblStyle w:val="24"/>
        <w:tblW w:w="963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blHeader/>
          <w:tblCellSpacing w:w="0" w:type="dxa"/>
          <w:jc w:val="center"/>
        </w:trPr>
        <w:tc>
          <w:tcPr>
            <w:tcW w:w="9638" w:type="dxa"/>
            <w:vAlign w:val="center"/>
          </w:tcPr>
          <w:p>
            <w:pPr>
              <w:widowControl/>
              <w:jc w:val="center"/>
              <w:rPr>
                <w:b/>
                <w:color w:val="auto"/>
                <w:highlight w:val="none"/>
              </w:rPr>
            </w:pPr>
            <w:r>
              <w:rPr>
                <w:rFonts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blCellSpacing w:w="0" w:type="dxa"/>
          <w:jc w:val="center"/>
        </w:trPr>
        <w:tc>
          <w:tcPr>
            <w:tcW w:w="9638" w:type="dxa"/>
            <w:vAlign w:val="center"/>
          </w:tcPr>
          <w:p>
            <w:pPr>
              <w:widowControl/>
              <w:jc w:val="left"/>
              <w:rPr>
                <w:color w:val="auto"/>
                <w:highlight w:val="none"/>
              </w:rPr>
            </w:pPr>
            <w:r>
              <w:rPr>
                <w:rFonts w:hint="eastAsia" w:ascii="宋体" w:hAnsi="宋体" w:cs="宋体"/>
                <w:color w:val="auto"/>
                <w:kern w:val="0"/>
                <w:sz w:val="24"/>
                <w:highlight w:val="none"/>
              </w:rPr>
              <w:t>投标文件的资格及资信证明部分中出现报价部分的全部或部分的投标报价信息(或组成资料)。</w:t>
            </w:r>
          </w:p>
        </w:tc>
      </w:tr>
    </w:tbl>
    <w:p>
      <w:pPr>
        <w:pStyle w:val="19"/>
        <w:widowControl/>
        <w:spacing w:before="75" w:beforeAutospacing="0" w:after="75" w:afterAutospacing="0"/>
        <w:rPr>
          <w:rFonts w:ascii="宋体" w:hAnsi="宋体" w:cs="宋体"/>
          <w:color w:val="auto"/>
          <w:highlight w:val="none"/>
        </w:rPr>
      </w:pPr>
    </w:p>
    <w:p>
      <w:pPr>
        <w:pStyle w:val="19"/>
        <w:widowControl/>
        <w:spacing w:before="75" w:beforeAutospacing="0" w:after="75" w:afterAutospacing="0"/>
        <w:rPr>
          <w:color w:val="auto"/>
          <w:highlight w:val="none"/>
        </w:rPr>
      </w:pPr>
      <w:r>
        <w:rPr>
          <w:rFonts w:hint="eastAsia" w:ascii="宋体" w:hAnsi="宋体" w:cs="宋体"/>
          <w:color w:val="auto"/>
          <w:highlight w:val="none"/>
        </w:rPr>
        <w:t>1.5若本项目接受联合体投标且投标人为联合体，联合体中有同类资质的供应商按照联合体分工承担相同工作的，应先按照资质等级较低的供应商确定资质等级，再按照本章第</w:t>
      </w:r>
      <w:r>
        <w:rPr>
          <w:rFonts w:cs="Calibri"/>
          <w:color w:val="auto"/>
          <w:highlight w:val="none"/>
        </w:rPr>
        <w:t>1.2</w:t>
      </w:r>
      <w:r>
        <w:rPr>
          <w:rFonts w:hint="eastAsia" w:ascii="宋体" w:hAnsi="宋体" w:cs="宋体"/>
          <w:color w:val="auto"/>
          <w:highlight w:val="none"/>
        </w:rPr>
        <w:t>、</w:t>
      </w:r>
      <w:r>
        <w:rPr>
          <w:rFonts w:cs="Calibri"/>
          <w:color w:val="auto"/>
          <w:highlight w:val="none"/>
        </w:rPr>
        <w:t>1.3</w:t>
      </w:r>
      <w:r>
        <w:rPr>
          <w:rFonts w:hint="eastAsia" w:ascii="宋体" w:hAnsi="宋体" w:cs="宋体"/>
          <w:color w:val="auto"/>
          <w:highlight w:val="none"/>
        </w:rPr>
        <w:t>、</w:t>
      </w:r>
      <w:r>
        <w:rPr>
          <w:rFonts w:cs="Calibri"/>
          <w:color w:val="auto"/>
          <w:highlight w:val="none"/>
        </w:rPr>
        <w:t>1.4</w:t>
      </w:r>
      <w:r>
        <w:rPr>
          <w:rFonts w:hint="eastAsia" w:ascii="宋体" w:hAnsi="宋体" w:cs="宋体"/>
          <w:color w:val="auto"/>
          <w:highlight w:val="none"/>
        </w:rPr>
        <w:t>条规定进行资格审查。</w:t>
      </w:r>
    </w:p>
    <w:p>
      <w:pPr>
        <w:pStyle w:val="19"/>
        <w:widowControl/>
        <w:spacing w:before="75" w:beforeAutospacing="0" w:after="75" w:afterAutospacing="0"/>
        <w:rPr>
          <w:color w:val="auto"/>
          <w:highlight w:val="none"/>
        </w:rPr>
      </w:pPr>
      <w:r>
        <w:rPr>
          <w:rFonts w:hint="eastAsia" w:ascii="宋体" w:hAnsi="宋体" w:cs="宋体"/>
          <w:color w:val="auto"/>
          <w:highlight w:val="none"/>
        </w:rPr>
        <w:t>2、资格审查情况不得私自外泄，有关信息由</w:t>
      </w:r>
      <w:r>
        <w:rPr>
          <w:rFonts w:hint="eastAsia" w:ascii="宋体" w:hAnsi="宋体" w:cs="宋体"/>
          <w:color w:val="auto"/>
          <w:highlight w:val="none"/>
          <w:u w:val="single"/>
        </w:rPr>
        <w:t>福建榕卫招标有限公司</w:t>
      </w:r>
      <w:r>
        <w:rPr>
          <w:rFonts w:hint="eastAsia" w:ascii="宋体" w:hAnsi="宋体" w:cs="宋体"/>
          <w:color w:val="auto"/>
          <w:highlight w:val="none"/>
        </w:rPr>
        <w:t>统一对外发布。</w:t>
      </w:r>
    </w:p>
    <w:p>
      <w:pPr>
        <w:pStyle w:val="19"/>
        <w:widowControl/>
        <w:spacing w:before="75" w:beforeAutospacing="0" w:after="75" w:afterAutospacing="0"/>
        <w:rPr>
          <w:color w:val="auto"/>
          <w:highlight w:val="none"/>
        </w:rPr>
      </w:pPr>
      <w:r>
        <w:rPr>
          <w:rFonts w:hint="eastAsia" w:ascii="宋体" w:hAnsi="宋体" w:cs="宋体"/>
          <w:color w:val="auto"/>
          <w:highlight w:val="none"/>
        </w:rPr>
        <w:t>3、资格审查合格的投标人不足三家的，不进行评标。同时，本次采购活动结束，</w:t>
      </w:r>
      <w:r>
        <w:rPr>
          <w:rFonts w:hint="eastAsia" w:ascii="宋体" w:hAnsi="宋体" w:cs="宋体"/>
          <w:color w:val="auto"/>
          <w:highlight w:val="none"/>
          <w:u w:val="single"/>
        </w:rPr>
        <w:t>福建榕卫招标有限公司</w:t>
      </w:r>
      <w:r>
        <w:rPr>
          <w:rFonts w:hint="eastAsia" w:ascii="宋体" w:hAnsi="宋体" w:cs="宋体"/>
          <w:color w:val="auto"/>
          <w:highlight w:val="none"/>
        </w:rPr>
        <w:t>将依法组织后续采购活动（包括但不限于：重新招标、采用其他方式采购等）。</w:t>
      </w:r>
    </w:p>
    <w:p>
      <w:pPr>
        <w:pStyle w:val="19"/>
        <w:widowControl/>
        <w:spacing w:before="75" w:beforeAutospacing="0" w:after="75" w:afterAutospacing="0"/>
        <w:rPr>
          <w:color w:val="auto"/>
          <w:highlight w:val="none"/>
        </w:rPr>
      </w:pPr>
      <w:r>
        <w:rPr>
          <w:color w:val="auto"/>
          <w:highlight w:val="none"/>
        </w:rPr>
        <w:t> </w:t>
      </w:r>
    </w:p>
    <w:p>
      <w:pPr>
        <w:pStyle w:val="3"/>
        <w:rPr>
          <w:color w:val="auto"/>
          <w:highlight w:val="none"/>
        </w:rPr>
      </w:pPr>
      <w:bookmarkStart w:id="43" w:name="_Toc51057761"/>
      <w:bookmarkStart w:id="44" w:name="_Toc8636"/>
      <w:r>
        <w:rPr>
          <w:rStyle w:val="27"/>
          <w:rFonts w:hint="eastAsia" w:ascii="宋体" w:hAnsi="宋体" w:cs="宋体"/>
          <w:b w:val="0"/>
          <w:color w:val="auto"/>
          <w:highlight w:val="none"/>
        </w:rPr>
        <w:t>二、评标</w:t>
      </w:r>
      <w:bookmarkEnd w:id="43"/>
      <w:bookmarkEnd w:id="44"/>
    </w:p>
    <w:p>
      <w:pPr>
        <w:pStyle w:val="19"/>
        <w:widowControl/>
        <w:spacing w:before="75" w:beforeAutospacing="0" w:after="75" w:afterAutospacing="0"/>
        <w:rPr>
          <w:color w:val="auto"/>
          <w:highlight w:val="none"/>
        </w:rPr>
      </w:pPr>
      <w:r>
        <w:rPr>
          <w:rFonts w:hint="eastAsia" w:ascii="宋体" w:hAnsi="宋体" w:cs="宋体"/>
          <w:color w:val="auto"/>
          <w:highlight w:val="none"/>
        </w:rPr>
        <w:t>4、资格审查结束后，由福建榕卫招标有限公司负责评标委员会的组建及评标工作的组织。</w:t>
      </w:r>
    </w:p>
    <w:p>
      <w:pPr>
        <w:pStyle w:val="19"/>
        <w:widowControl/>
        <w:spacing w:before="75" w:beforeAutospacing="0" w:after="75" w:afterAutospacing="0"/>
        <w:rPr>
          <w:color w:val="auto"/>
          <w:highlight w:val="none"/>
        </w:rPr>
      </w:pPr>
      <w:r>
        <w:rPr>
          <w:rFonts w:hint="eastAsia" w:ascii="宋体" w:hAnsi="宋体" w:cs="宋体"/>
          <w:color w:val="auto"/>
          <w:highlight w:val="none"/>
        </w:rPr>
        <w:t>5、评标委员会</w:t>
      </w: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5.1由采购人代表和评审专家两部分共5人组成，其中评审专家4人，由采购人派出的采购人代表1人。</w:t>
      </w:r>
    </w:p>
    <w:p>
      <w:pPr>
        <w:pStyle w:val="19"/>
        <w:widowControl/>
        <w:spacing w:before="75" w:beforeAutospacing="0" w:after="75" w:afterAutospacing="0"/>
        <w:rPr>
          <w:color w:val="auto"/>
          <w:highlight w:val="none"/>
        </w:rPr>
      </w:pPr>
      <w:r>
        <w:rPr>
          <w:rFonts w:hint="eastAsia" w:ascii="宋体" w:hAnsi="宋体" w:cs="宋体"/>
          <w:color w:val="auto"/>
          <w:highlight w:val="none"/>
        </w:rPr>
        <w:t>5.2评标委员会负责具体评标事务，并按照下列原则依法独立履行有关职责：</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（1）评标应保护国家利益、社会公共利益和各方当事人合法权益，提高采购效益，保证项目质量。</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（2）评标应遵循公平、公正、科学、严谨和择优原则。</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（3）评标的依据是招标文件和投标文件。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（4）应按照招标文件规定推荐中标候选人或确定中标人。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（5）评标应遵守下列评标纪律：</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①评标情况不得私自外泄，有关信息由</w:t>
      </w:r>
      <w:r>
        <w:rPr>
          <w:rFonts w:hint="eastAsia" w:ascii="宋体" w:hAnsi="宋体" w:cs="宋体"/>
          <w:color w:val="auto"/>
          <w:highlight w:val="none"/>
          <w:u w:val="single"/>
        </w:rPr>
        <w:t>福建榕卫招标有限公司</w:t>
      </w:r>
      <w:r>
        <w:rPr>
          <w:rFonts w:hint="eastAsia" w:ascii="宋体" w:hAnsi="宋体" w:cs="宋体"/>
          <w:color w:val="auto"/>
          <w:highlight w:val="none"/>
        </w:rPr>
        <w:t>统一对外发布。</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②对</w:t>
      </w:r>
      <w:r>
        <w:rPr>
          <w:rFonts w:hint="eastAsia" w:ascii="宋体" w:hAnsi="宋体" w:cs="宋体"/>
          <w:color w:val="auto"/>
          <w:highlight w:val="none"/>
          <w:u w:val="single"/>
        </w:rPr>
        <w:t>福建榕卫招标有限公司</w:t>
      </w:r>
      <w:r>
        <w:rPr>
          <w:rFonts w:hint="eastAsia" w:ascii="宋体" w:hAnsi="宋体" w:cs="宋体"/>
          <w:color w:val="auto"/>
          <w:highlight w:val="none"/>
        </w:rPr>
        <w:t>或投标人提供的要求保密的资料，不得摘记翻印和外传。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③不得收受投标人或有关人员的任何礼物，不得串联鼓动其他人袒护某投标人。若与投标人存在利害关系，则应主动声明并回避。</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④全体评委应按照招标文件规定进行评标，一切认定事项应查有实据且不得弄虚作假。</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⑤评标中应充分发扬民主，推荐中标候选人或确定中标人后要服从评标报告。</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※对违反评标纪律的评委，将取消其评委资格，对评标工作造成严重损失者将予以通报批评乃至追究法律责任。</w:t>
      </w:r>
    </w:p>
    <w:p>
      <w:pPr>
        <w:pStyle w:val="19"/>
        <w:widowControl/>
        <w:spacing w:before="75" w:beforeAutospacing="0" w:after="75" w:afterAutospacing="0"/>
        <w:rPr>
          <w:color w:val="auto"/>
          <w:highlight w:val="none"/>
        </w:rPr>
      </w:pPr>
      <w:r>
        <w:rPr>
          <w:rFonts w:hint="eastAsia" w:ascii="宋体" w:hAnsi="宋体" w:cs="宋体"/>
          <w:color w:val="auto"/>
          <w:highlight w:val="none"/>
        </w:rPr>
        <w:t>6、评标程序</w:t>
      </w:r>
    </w:p>
    <w:p>
      <w:pPr>
        <w:pStyle w:val="19"/>
        <w:widowControl/>
        <w:spacing w:before="75" w:beforeAutospacing="0" w:after="75" w:afterAutospacing="0"/>
        <w:rPr>
          <w:color w:val="auto"/>
          <w:highlight w:val="none"/>
        </w:rPr>
      </w:pPr>
      <w:r>
        <w:rPr>
          <w:rFonts w:hint="eastAsia" w:ascii="宋体" w:hAnsi="宋体" w:cs="宋体"/>
          <w:color w:val="auto"/>
          <w:highlight w:val="none"/>
        </w:rPr>
        <w:t>6.1评标前的准备工作</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（1）全体评委应认真审阅招标文件，了解评委应履行或遵守的职责、义务和评标纪律。</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9"/>
        <w:widowControl/>
        <w:spacing w:before="75" w:beforeAutospacing="0" w:after="75" w:afterAutospacing="0"/>
        <w:rPr>
          <w:color w:val="auto"/>
          <w:highlight w:val="none"/>
        </w:rPr>
      </w:pPr>
      <w:r>
        <w:rPr>
          <w:rFonts w:hint="eastAsia" w:ascii="宋体" w:hAnsi="宋体" w:cs="宋体"/>
          <w:color w:val="auto"/>
          <w:highlight w:val="none"/>
        </w:rPr>
        <w:t>6.2符合性审查</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（1）评标委员会依据招标文件的实质性要求，对通过资格审查的投标文件进行符合性审查，以确定其是否满足招标文件的实质性要求。</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（2）满足招标文件的实质性要求指投标文件对招标文件实质性要求的响应不存在重大偏差或保留。</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（5）评标委员会对所有投标人都执行相同的程序和标准。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（6）有下列情形之一的，</w:t>
      </w:r>
      <w:r>
        <w:rPr>
          <w:rStyle w:val="27"/>
          <w:rFonts w:hint="eastAsia" w:ascii="宋体" w:hAnsi="宋体" w:cs="宋体"/>
          <w:color w:val="auto"/>
          <w:highlight w:val="none"/>
        </w:rPr>
        <w:t>符合性审查不合格：</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①一般情形：</w:t>
      </w:r>
    </w:p>
    <w:tbl>
      <w:tblPr>
        <w:tblStyle w:val="24"/>
        <w:tblW w:w="928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9287" w:type="dxa"/>
            <w:vAlign w:val="center"/>
          </w:tcPr>
          <w:p>
            <w:pPr>
              <w:widowControl/>
              <w:jc w:val="center"/>
              <w:rPr>
                <w:b/>
                <w:color w:val="auto"/>
                <w:highlight w:val="none"/>
              </w:rPr>
            </w:pPr>
            <w:r>
              <w:rPr>
                <w:rFonts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287" w:type="dxa"/>
            <w:vAlign w:val="center"/>
          </w:tcPr>
          <w:p>
            <w:pPr>
              <w:widowControl/>
              <w:jc w:val="left"/>
              <w:rPr>
                <w:color w:val="auto"/>
                <w:highlight w:val="none"/>
              </w:rPr>
            </w:pPr>
            <w:r>
              <w:rPr>
                <w:rFonts w:ascii="宋体" w:hAnsi="宋体" w:cs="宋体"/>
                <w:color w:val="auto"/>
                <w:kern w:val="0"/>
                <w:sz w:val="24"/>
                <w:highlight w:val="none"/>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287" w:type="dxa"/>
            <w:vAlign w:val="center"/>
          </w:tcPr>
          <w:p>
            <w:pPr>
              <w:widowControl/>
              <w:jc w:val="left"/>
              <w:rPr>
                <w:color w:val="auto"/>
                <w:highlight w:val="none"/>
              </w:rPr>
            </w:pPr>
            <w:r>
              <w:rPr>
                <w:rFonts w:ascii="宋体" w:hAnsi="宋体" w:cs="宋体"/>
                <w:color w:val="auto"/>
                <w:kern w:val="0"/>
                <w:sz w:val="24"/>
                <w:highlight w:val="none"/>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287" w:type="dxa"/>
            <w:vAlign w:val="center"/>
          </w:tcPr>
          <w:p>
            <w:pPr>
              <w:widowControl/>
              <w:jc w:val="left"/>
              <w:rPr>
                <w:color w:val="auto"/>
                <w:highlight w:val="none"/>
              </w:rPr>
            </w:pPr>
            <w:r>
              <w:rPr>
                <w:rFonts w:ascii="宋体" w:hAnsi="宋体" w:cs="宋体"/>
                <w:color w:val="auto"/>
                <w:kern w:val="0"/>
                <w:sz w:val="24"/>
                <w:highlight w:val="none"/>
              </w:rPr>
              <w:t>投标文件对招标文件实质性要求的响应存在重大偏离或保留。</w:t>
            </w:r>
          </w:p>
        </w:tc>
      </w:tr>
    </w:tbl>
    <w:p>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②本项目规定的其他情形：</w:t>
      </w:r>
    </w:p>
    <w:p>
      <w:pPr>
        <w:pStyle w:val="19"/>
        <w:widowControl/>
        <w:spacing w:before="60" w:beforeAutospacing="0" w:after="60" w:afterAutospacing="0"/>
        <w:ind w:firstLine="384"/>
        <w:rPr>
          <w:rFonts w:ascii="宋体" w:hAnsi="宋体" w:cs="宋体"/>
          <w:color w:val="auto"/>
          <w:highlight w:val="none"/>
        </w:rPr>
      </w:pPr>
      <w:r>
        <w:rPr>
          <w:rFonts w:hint="eastAsia" w:ascii="宋体" w:hAnsi="宋体" w:cs="宋体"/>
          <w:color w:val="auto"/>
          <w:highlight w:val="none"/>
        </w:rPr>
        <w:t>包：1</w:t>
      </w:r>
    </w:p>
    <w:p>
      <w:pPr>
        <w:pStyle w:val="19"/>
        <w:widowControl/>
        <w:spacing w:before="60" w:beforeAutospacing="0" w:after="60" w:afterAutospacing="0"/>
        <w:ind w:firstLine="384"/>
        <w:rPr>
          <w:rFonts w:ascii="宋体" w:hAnsi="宋体" w:cs="宋体"/>
          <w:color w:val="auto"/>
          <w:highlight w:val="none"/>
        </w:rPr>
      </w:pPr>
      <w:r>
        <w:rPr>
          <w:rFonts w:hint="eastAsia" w:ascii="宋体" w:hAnsi="宋体" w:cs="宋体"/>
          <w:color w:val="auto"/>
          <w:highlight w:val="none"/>
        </w:rPr>
        <w:t>包一般情形</w:t>
      </w:r>
    </w:p>
    <w:p>
      <w:pPr>
        <w:pStyle w:val="19"/>
        <w:widowControl/>
        <w:spacing w:before="60" w:beforeAutospacing="0" w:after="60" w:afterAutospacing="0"/>
        <w:ind w:firstLine="384"/>
        <w:rPr>
          <w:rFonts w:ascii="宋体" w:hAnsi="宋体" w:cs="宋体"/>
          <w:color w:val="auto"/>
          <w:highlight w:val="none"/>
        </w:rPr>
      </w:pPr>
      <w:r>
        <w:rPr>
          <w:rStyle w:val="27"/>
          <w:rFonts w:hint="eastAsia" w:ascii="宋体" w:hAnsi="宋体" w:cs="宋体"/>
          <w:bCs/>
          <w:color w:val="auto"/>
          <w:highlight w:val="none"/>
        </w:rPr>
        <w:t>         无</w:t>
      </w:r>
    </w:p>
    <w:p>
      <w:pPr>
        <w:widowControl/>
        <w:jc w:val="left"/>
        <w:rPr>
          <w:rFonts w:ascii="宋体" w:hAnsi="宋体" w:cs="宋体"/>
          <w:color w:val="auto"/>
          <w:kern w:val="0"/>
          <w:sz w:val="24"/>
          <w:highlight w:val="none"/>
        </w:rPr>
      </w:pPr>
    </w:p>
    <w:p>
      <w:pPr>
        <w:widowControl/>
        <w:jc w:val="left"/>
        <w:rPr>
          <w:rFonts w:ascii="宋体" w:hAnsi="宋体" w:cs="宋体"/>
          <w:color w:val="auto"/>
          <w:sz w:val="24"/>
          <w:highlight w:val="none"/>
        </w:rPr>
      </w:pPr>
      <w:r>
        <w:rPr>
          <w:rFonts w:hint="eastAsia" w:ascii="宋体" w:hAnsi="宋体" w:cs="宋体"/>
          <w:color w:val="auto"/>
          <w:kern w:val="0"/>
          <w:sz w:val="24"/>
          <w:highlight w:val="none"/>
        </w:rPr>
        <w:t>技术符合性</w:t>
      </w:r>
    </w:p>
    <w:tbl>
      <w:tblPr>
        <w:tblStyle w:val="24"/>
        <w:tblW w:w="5005"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0" w:type="dxa"/>
          <w:left w:w="0" w:type="dxa"/>
          <w:bottom w:w="0" w:type="dxa"/>
          <w:right w:w="0" w:type="dxa"/>
        </w:tblCellMar>
      </w:tblPr>
      <w:tblGrid>
        <w:gridCol w:w="9091"/>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cs="宋体"/>
                <w:b/>
                <w:bCs/>
                <w:color w:val="auto"/>
                <w:sz w:val="24"/>
                <w:highlight w:val="none"/>
              </w:rPr>
            </w:pPr>
            <w:r>
              <w:rPr>
                <w:rFonts w:hint="eastAsia" w:ascii="宋体" w:hAnsi="宋体" w:cs="宋体"/>
                <w:b/>
                <w:bCs/>
                <w:color w:val="auto"/>
                <w:kern w:val="0"/>
                <w:sz w:val="24"/>
                <w:highlight w:val="none"/>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按照闽财购〔2010〕28号文件规定，若投标供应商的技术部分实际得分少于招标文件设定的技术部分总分50%，即视为技术部分未实质性响应招标文件要求，按无效投标处理。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招标文件【第五章 招标内容及要求中“二、技术和服务要求”】：以“★”标示的内容为不允许负偏离的实质性要求，若负偏离则投标无效。</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技术部分中不得出现报价部分的全部或部分的投标报价信息（或组成资料），否则符合性审查不合格。（技术和服务要求中有特殊需求的除外）</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违反招标文件中载明“投标无效”条款的规定或不符合招标文件规定的其它实质性要求。</w:t>
            </w:r>
          </w:p>
        </w:tc>
      </w:tr>
    </w:tbl>
    <w:p>
      <w:pPr>
        <w:widowControl/>
        <w:jc w:val="left"/>
        <w:rPr>
          <w:rFonts w:ascii="宋体" w:hAnsi="宋体" w:cs="宋体"/>
          <w:color w:val="auto"/>
          <w:kern w:val="0"/>
          <w:sz w:val="24"/>
          <w:highlight w:val="none"/>
        </w:rPr>
      </w:pPr>
    </w:p>
    <w:p>
      <w:pPr>
        <w:widowControl/>
        <w:jc w:val="left"/>
        <w:rPr>
          <w:rFonts w:ascii="宋体" w:hAnsi="宋体" w:cs="宋体"/>
          <w:color w:val="auto"/>
          <w:sz w:val="24"/>
          <w:highlight w:val="none"/>
        </w:rPr>
      </w:pPr>
      <w:r>
        <w:rPr>
          <w:rFonts w:hint="eastAsia" w:ascii="宋体" w:hAnsi="宋体" w:cs="宋体"/>
          <w:color w:val="auto"/>
          <w:kern w:val="0"/>
          <w:sz w:val="24"/>
          <w:highlight w:val="none"/>
        </w:rPr>
        <w:t>商务符合性</w:t>
      </w:r>
    </w:p>
    <w:tbl>
      <w:tblPr>
        <w:tblStyle w:val="24"/>
        <w:tblW w:w="5000"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0" w:type="dxa"/>
          <w:left w:w="0" w:type="dxa"/>
          <w:bottom w:w="0" w:type="dxa"/>
          <w:right w:w="0" w:type="dxa"/>
        </w:tblCellMar>
      </w:tblPr>
      <w:tblGrid>
        <w:gridCol w:w="9082"/>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cs="宋体"/>
                <w:b/>
                <w:bCs/>
                <w:color w:val="auto"/>
                <w:sz w:val="24"/>
                <w:highlight w:val="none"/>
              </w:rPr>
            </w:pPr>
            <w:r>
              <w:rPr>
                <w:rFonts w:hint="eastAsia" w:ascii="宋体" w:hAnsi="宋体" w:cs="宋体"/>
                <w:b/>
                <w:bCs/>
                <w:color w:val="auto"/>
                <w:kern w:val="0"/>
                <w:sz w:val="24"/>
                <w:highlight w:val="none"/>
              </w:rPr>
              <w:t>明细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投标人的投标文件对招标文件“第五章 三、商务条件”中的任何一项要求存在负偏离或者未响应的，其投标无效。（本招标文件中有不一致的地方，以此条款为准）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商务部分中不得出现报价部分的全部或部分的投标报价信息（或组成资料），否则符合性审查不合格。</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违反招标文件中载明“投标无效”条款的规定或不符合招标文件规定的其它实质性要求。</w:t>
            </w:r>
          </w:p>
        </w:tc>
      </w:tr>
    </w:tbl>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附加符合性</w:t>
      </w:r>
    </w:p>
    <w:p>
      <w:pPr>
        <w:widowControl/>
        <w:jc w:val="left"/>
        <w:rPr>
          <w:rStyle w:val="27"/>
          <w:rFonts w:ascii="宋体" w:hAnsi="宋体" w:cs="宋体"/>
          <w:bCs/>
          <w:color w:val="auto"/>
          <w:kern w:val="0"/>
          <w:sz w:val="24"/>
          <w:highlight w:val="none"/>
        </w:rPr>
      </w:pPr>
      <w:r>
        <w:rPr>
          <w:rStyle w:val="27"/>
          <w:rFonts w:hint="eastAsia" w:ascii="宋体" w:hAnsi="宋体" w:cs="宋体"/>
          <w:bCs/>
          <w:color w:val="auto"/>
          <w:kern w:val="0"/>
          <w:sz w:val="24"/>
          <w:highlight w:val="none"/>
        </w:rPr>
        <w:t>         无</w:t>
      </w:r>
    </w:p>
    <w:p>
      <w:pPr>
        <w:pStyle w:val="31"/>
        <w:rPr>
          <w:color w:val="auto"/>
          <w:highlight w:val="none"/>
        </w:rPr>
      </w:pPr>
    </w:p>
    <w:p>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价格符合性</w:t>
      </w:r>
    </w:p>
    <w:p>
      <w:pPr>
        <w:pStyle w:val="19"/>
        <w:widowControl/>
        <w:spacing w:before="75" w:beforeAutospacing="0" w:after="75" w:afterAutospacing="0"/>
        <w:ind w:firstLine="2168" w:firstLineChars="900"/>
        <w:rPr>
          <w:rFonts w:ascii="宋体" w:hAnsi="宋体" w:cs="宋体"/>
          <w:color w:val="auto"/>
          <w:highlight w:val="none"/>
        </w:rPr>
      </w:pPr>
      <w:r>
        <w:rPr>
          <w:rStyle w:val="27"/>
          <w:rFonts w:hint="eastAsia" w:ascii="宋体" w:hAnsi="宋体" w:cs="宋体"/>
          <w:bCs/>
          <w:color w:val="auto"/>
          <w:highlight w:val="none"/>
        </w:rPr>
        <w:t>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6.3澄清有关问题</w:t>
      </w:r>
    </w:p>
    <w:p>
      <w:pPr>
        <w:pStyle w:val="19"/>
        <w:widowControl/>
        <w:spacing w:before="75" w:beforeAutospacing="0" w:after="75" w:afterAutospacing="0"/>
        <w:ind w:firstLine="420"/>
        <w:rPr>
          <w:color w:val="auto"/>
          <w:highlight w:val="none"/>
        </w:rPr>
      </w:pPr>
      <w:r>
        <w:rPr>
          <w:rFonts w:hint="eastAsia" w:ascii="宋体" w:hAnsi="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19"/>
        <w:widowControl/>
        <w:spacing w:before="75" w:beforeAutospacing="0" w:after="75" w:afterAutospacing="0"/>
        <w:ind w:firstLine="420"/>
        <w:rPr>
          <w:color w:val="auto"/>
          <w:highlight w:val="none"/>
        </w:rPr>
      </w:pPr>
      <w:r>
        <w:rPr>
          <w:rFonts w:hint="eastAsia" w:ascii="宋体" w:hAnsi="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（3）投标文件报价出现前后不一致的，除招标文件另有规定外，按照下列规定修正：</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①开标一览表内容与投标文件中相应内容不一致的，以开标一览表为准；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②大写金额和小写金额不一致的，以大写金额为准；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③单价金额小数点或百分比有明显错位的，以开标一览表的总价为准，并修改单价；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④总价金额与按照单价汇总金额不一致的，以单价金额计算结果为准。</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※同时出现两种以上不一致的，按照前款规定的顺序修正。修正后的报价应按照本章第</w:t>
      </w:r>
      <w:r>
        <w:rPr>
          <w:rStyle w:val="27"/>
          <w:rFonts w:cs="Calibri"/>
          <w:color w:val="auto"/>
          <w:highlight w:val="none"/>
        </w:rPr>
        <w:t>6.3</w:t>
      </w:r>
      <w:r>
        <w:rPr>
          <w:rStyle w:val="27"/>
          <w:rFonts w:hint="eastAsia" w:ascii="宋体" w:hAnsi="宋体" w:cs="宋体"/>
          <w:color w:val="auto"/>
          <w:highlight w:val="none"/>
        </w:rPr>
        <w:t>条第（</w:t>
      </w:r>
      <w:r>
        <w:rPr>
          <w:rStyle w:val="27"/>
          <w:rFonts w:cs="Calibri"/>
          <w:color w:val="auto"/>
          <w:highlight w:val="none"/>
        </w:rPr>
        <w:t>1</w:t>
      </w:r>
      <w:r>
        <w:rPr>
          <w:rStyle w:val="27"/>
          <w:rFonts w:hint="eastAsia" w:ascii="宋体" w:hAnsi="宋体" w:cs="宋体"/>
          <w:color w:val="auto"/>
          <w:highlight w:val="none"/>
        </w:rPr>
        <w:t>）、（</w:t>
      </w:r>
      <w:r>
        <w:rPr>
          <w:rStyle w:val="27"/>
          <w:rFonts w:cs="Calibri"/>
          <w:color w:val="auto"/>
          <w:highlight w:val="none"/>
        </w:rPr>
        <w:t>2</w:t>
      </w:r>
      <w:r>
        <w:rPr>
          <w:rStyle w:val="27"/>
          <w:rFonts w:hint="eastAsia" w:ascii="宋体" w:hAnsi="宋体" w:cs="宋体"/>
          <w:color w:val="auto"/>
          <w:highlight w:val="none"/>
        </w:rPr>
        <w:t>）款规定经投标人确认后产生约束力，投标人不确认的，其投标无效。</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（4）关于细微偏差</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②评标委员会将以书面形式要求存在细微偏差的投标人在评标委员会规定的时间内予以补正。若无法补正，则评标委员会将按照不利于投标人的内容进行认定。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（5）关于投标描述（即投标文件中描述的内容）</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①投标描述前后不一致且不涉及证明材料的：按照本章第</w:t>
      </w:r>
      <w:r>
        <w:rPr>
          <w:rFonts w:cs="Calibri"/>
          <w:color w:val="auto"/>
          <w:highlight w:val="none"/>
        </w:rPr>
        <w:t>6.3</w:t>
      </w:r>
      <w:r>
        <w:rPr>
          <w:rFonts w:hint="eastAsia" w:ascii="宋体" w:hAnsi="宋体" w:cs="宋体"/>
          <w:color w:val="auto"/>
          <w:highlight w:val="none"/>
        </w:rPr>
        <w:t>条第（</w:t>
      </w:r>
      <w:r>
        <w:rPr>
          <w:rFonts w:cs="Calibri"/>
          <w:color w:val="auto"/>
          <w:highlight w:val="none"/>
        </w:rPr>
        <w:t>1</w:t>
      </w:r>
      <w:r>
        <w:rPr>
          <w:rFonts w:hint="eastAsia" w:ascii="宋体" w:hAnsi="宋体" w:cs="宋体"/>
          <w:color w:val="auto"/>
          <w:highlight w:val="none"/>
        </w:rPr>
        <w:t>）、（</w:t>
      </w:r>
      <w:r>
        <w:rPr>
          <w:rFonts w:cs="Calibri"/>
          <w:color w:val="auto"/>
          <w:highlight w:val="none"/>
        </w:rPr>
        <w:t>2</w:t>
      </w:r>
      <w:r>
        <w:rPr>
          <w:rFonts w:hint="eastAsia" w:ascii="宋体" w:hAnsi="宋体" w:cs="宋体"/>
          <w:color w:val="auto"/>
          <w:highlight w:val="none"/>
        </w:rPr>
        <w:t>）款规定执行。</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②投标描述与证明材料不一致或多份证明材料之间不一致的：</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a.评标委员会将要求投标人进行书面澄清，并按照不利于投标人的内容进行评标。</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9"/>
        <w:widowControl/>
        <w:spacing w:before="75" w:beforeAutospacing="0" w:after="75" w:afterAutospacing="0"/>
        <w:rPr>
          <w:color w:val="auto"/>
          <w:highlight w:val="none"/>
        </w:rPr>
      </w:pPr>
      <w:r>
        <w:rPr>
          <w:rFonts w:hint="eastAsia" w:ascii="宋体" w:hAnsi="宋体" w:cs="宋体"/>
          <w:color w:val="auto"/>
          <w:highlight w:val="none"/>
        </w:rPr>
        <w:t>6.4比较与评价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（1）按照本章第</w:t>
      </w:r>
      <w:r>
        <w:rPr>
          <w:rFonts w:cs="Calibri"/>
          <w:color w:val="auto"/>
          <w:highlight w:val="none"/>
        </w:rPr>
        <w:t>7</w:t>
      </w:r>
      <w:r>
        <w:rPr>
          <w:rFonts w:hint="eastAsia" w:ascii="宋体" w:hAnsi="宋体" w:cs="宋体"/>
          <w:color w:val="auto"/>
          <w:highlight w:val="none"/>
        </w:rPr>
        <w:t>条载明的评标方法和标准，对符合性审查合格的投标文件进行比较与评价。</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（2）关于相同品牌产品</w:t>
      </w:r>
      <w:r>
        <w:rPr>
          <w:rStyle w:val="27"/>
          <w:rFonts w:hint="eastAsia" w:ascii="宋体" w:hAnsi="宋体" w:cs="宋体"/>
          <w:color w:val="auto"/>
          <w:highlight w:val="none"/>
        </w:rPr>
        <w:t>（政府采购服务类项目不适用本条款规定）</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a.招标文件规定的方式：</w:t>
      </w:r>
      <w:r>
        <w:rPr>
          <w:rFonts w:hint="eastAsia" w:ascii="宋体" w:hAnsi="宋体" w:cs="宋体"/>
          <w:color w:val="auto"/>
          <w:highlight w:val="none"/>
          <w:u w:val="single"/>
        </w:rPr>
        <w:t>无</w:t>
      </w:r>
      <w:r>
        <w:rPr>
          <w:rFonts w:hint="eastAsia" w:ascii="宋体" w:hAnsi="宋体" w:cs="宋体"/>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b.招标文件未规定的，采取随机抽取方式确定，其他</w:t>
      </w:r>
      <w:r>
        <w:rPr>
          <w:rStyle w:val="27"/>
          <w:rFonts w:hint="eastAsia" w:ascii="宋体" w:hAnsi="宋体" w:cs="宋体"/>
          <w:color w:val="auto"/>
          <w:highlight w:val="none"/>
        </w:rPr>
        <w:t>投标无效。</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招标文件规定的方式：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r>
        <w:rPr>
          <w:color w:val="auto"/>
          <w:highlight w:val="none"/>
        </w:rPr>
        <w:t>。</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③非单一产品采购项目，多家投标人提供的核心产品品牌相同的，按照本章第</w:t>
      </w:r>
      <w:r>
        <w:rPr>
          <w:rFonts w:cs="Calibri"/>
          <w:color w:val="auto"/>
          <w:highlight w:val="none"/>
        </w:rPr>
        <w:t>6.4</w:t>
      </w:r>
      <w:r>
        <w:rPr>
          <w:rFonts w:hint="eastAsia" w:ascii="宋体" w:hAnsi="宋体" w:cs="宋体"/>
          <w:color w:val="auto"/>
          <w:highlight w:val="none"/>
        </w:rPr>
        <w:t>条第（</w:t>
      </w:r>
      <w:r>
        <w:rPr>
          <w:rFonts w:cs="Calibri"/>
          <w:color w:val="auto"/>
          <w:highlight w:val="none"/>
        </w:rPr>
        <w:t>2</w:t>
      </w:r>
      <w:r>
        <w:rPr>
          <w:rFonts w:hint="eastAsia" w:ascii="宋体" w:hAnsi="宋体" w:cs="宋体"/>
          <w:color w:val="auto"/>
          <w:highlight w:val="none"/>
        </w:rPr>
        <w:t>）款第①、②规定处理。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（3）漏（缺）项</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①招标文件中要求列入报价的费用（含配置、功能），漏（缺）项的报价视为已经包括在投标总价中。</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②对多报项及赠送项的价格评标时不予核减，全部进入评标价评议。</w:t>
      </w:r>
    </w:p>
    <w:p>
      <w:pPr>
        <w:pStyle w:val="19"/>
        <w:widowControl/>
        <w:spacing w:before="75" w:beforeAutospacing="0" w:after="75" w:afterAutospacing="0"/>
        <w:rPr>
          <w:color w:val="auto"/>
          <w:highlight w:val="none"/>
        </w:rPr>
      </w:pPr>
      <w:r>
        <w:rPr>
          <w:rFonts w:hint="eastAsia" w:ascii="宋体" w:hAnsi="宋体" w:cs="宋体"/>
          <w:color w:val="auto"/>
          <w:highlight w:val="none"/>
        </w:rPr>
        <w:t>6.5推荐中标候选人：详见本章第</w:t>
      </w:r>
      <w:r>
        <w:rPr>
          <w:rFonts w:cs="Calibri"/>
          <w:color w:val="auto"/>
          <w:highlight w:val="none"/>
        </w:rPr>
        <w:t>7.2</w:t>
      </w:r>
      <w:r>
        <w:rPr>
          <w:rFonts w:hint="eastAsia" w:ascii="宋体" w:hAnsi="宋体" w:cs="宋体"/>
          <w:color w:val="auto"/>
          <w:highlight w:val="none"/>
        </w:rPr>
        <w:t>条规定。</w:t>
      </w:r>
    </w:p>
    <w:p>
      <w:pPr>
        <w:pStyle w:val="19"/>
        <w:widowControl/>
        <w:spacing w:before="75" w:beforeAutospacing="0" w:after="75" w:afterAutospacing="0"/>
        <w:rPr>
          <w:color w:val="auto"/>
          <w:highlight w:val="none"/>
        </w:rPr>
      </w:pPr>
      <w:r>
        <w:rPr>
          <w:rFonts w:hint="eastAsia" w:ascii="宋体" w:hAnsi="宋体" w:cs="宋体"/>
          <w:color w:val="auto"/>
          <w:highlight w:val="none"/>
        </w:rPr>
        <w:t>6.6编写评标报告</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（1）评标报告由评标委员会负责编写。</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（2）评标报告应包括下列内容：</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①招标公告刊登的媒体名称、开标日期和地点；</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②投标人名单和评标委员会成员名单；</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③评标方法和标准；</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④开标记录和评标情况及说明，包括无效投标人名单及原因；</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⑤评标结果，包括中标候选人名单或确定的中标人；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⑥其他需要说明的情况，包括但不限于：评标过程中投标人的澄清、说明或补正，评委更换等。</w:t>
      </w:r>
    </w:p>
    <w:p>
      <w:pPr>
        <w:pStyle w:val="19"/>
        <w:widowControl/>
        <w:spacing w:before="75" w:beforeAutospacing="0" w:after="75" w:afterAutospacing="0"/>
        <w:rPr>
          <w:color w:val="auto"/>
          <w:highlight w:val="none"/>
        </w:rPr>
      </w:pPr>
      <w:r>
        <w:rPr>
          <w:rFonts w:hint="eastAsia" w:ascii="宋体" w:hAnsi="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7"/>
          <w:rFonts w:hint="eastAsia" w:ascii="宋体" w:hAnsi="宋体" w:cs="宋体"/>
          <w:color w:val="auto"/>
          <w:highlight w:val="none"/>
        </w:rPr>
        <w:t>投标无效</w:t>
      </w:r>
      <w:r>
        <w:rPr>
          <w:rFonts w:hint="eastAsia" w:ascii="宋体" w:hAnsi="宋体" w:cs="宋体"/>
          <w:color w:val="auto"/>
          <w:highlight w:val="none"/>
        </w:rPr>
        <w:t>处理。</w:t>
      </w:r>
    </w:p>
    <w:p>
      <w:pPr>
        <w:pStyle w:val="19"/>
        <w:widowControl/>
        <w:spacing w:before="75" w:beforeAutospacing="0" w:after="75" w:afterAutospacing="0"/>
        <w:rPr>
          <w:color w:val="auto"/>
          <w:highlight w:val="none"/>
        </w:rPr>
      </w:pPr>
      <w:r>
        <w:rPr>
          <w:rFonts w:hint="eastAsia" w:ascii="宋体" w:hAnsi="宋体" w:cs="宋体"/>
          <w:color w:val="auto"/>
          <w:highlight w:val="none"/>
        </w:rPr>
        <w:t>6.8评委对需要共同认定的事项存在争议的，应按照少数服从多数的原则进行认定。</w:t>
      </w:r>
      <w:r>
        <w:rPr>
          <w:rStyle w:val="27"/>
          <w:rFonts w:hint="eastAsia" w:ascii="宋体" w:hAnsi="宋体" w:cs="宋体"/>
          <w:color w:val="auto"/>
          <w:highlight w:val="none"/>
        </w:rPr>
        <w:t>持不同意见的评委应在评标报告上签署不同意见及理由，否则视为同意评标报告。</w:t>
      </w:r>
    </w:p>
    <w:p>
      <w:pPr>
        <w:pStyle w:val="19"/>
        <w:widowControl/>
        <w:spacing w:before="75" w:beforeAutospacing="0" w:after="75" w:afterAutospacing="0"/>
        <w:rPr>
          <w:color w:val="auto"/>
          <w:highlight w:val="none"/>
        </w:rPr>
      </w:pPr>
      <w:r>
        <w:rPr>
          <w:rFonts w:hint="eastAsia" w:ascii="宋体" w:hAnsi="宋体" w:cs="宋体"/>
          <w:color w:val="auto"/>
          <w:highlight w:val="none"/>
        </w:rPr>
        <w:t>6.9在评标过程中发现投标人有下列情形之一的，评标委员会应认定其</w:t>
      </w:r>
      <w:r>
        <w:rPr>
          <w:rStyle w:val="27"/>
          <w:rFonts w:hint="eastAsia" w:ascii="宋体" w:hAnsi="宋体" w:cs="宋体"/>
          <w:color w:val="auto"/>
          <w:highlight w:val="none"/>
        </w:rPr>
        <w:t>投标无效</w:t>
      </w:r>
      <w:r>
        <w:rPr>
          <w:rFonts w:hint="eastAsia" w:ascii="宋体" w:hAnsi="宋体" w:cs="宋体"/>
          <w:color w:val="auto"/>
          <w:highlight w:val="none"/>
        </w:rPr>
        <w:t>，并书面报告本项目监督管理部门：</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（1）恶意串通（包括但不限于招标文件第三章第</w:t>
      </w:r>
      <w:r>
        <w:rPr>
          <w:rFonts w:cs="Calibri"/>
          <w:color w:val="auto"/>
          <w:highlight w:val="none"/>
        </w:rPr>
        <w:t>9.7</w:t>
      </w:r>
      <w:r>
        <w:rPr>
          <w:rFonts w:hint="eastAsia" w:ascii="宋体" w:hAnsi="宋体" w:cs="宋体"/>
          <w:color w:val="auto"/>
          <w:highlight w:val="none"/>
        </w:rPr>
        <w:t>条规定情形）；</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（2）妨碍其他投标人的竞争行为；</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（3）损害采购人或其他投标人的合法权益。</w:t>
      </w:r>
    </w:p>
    <w:p>
      <w:pPr>
        <w:pStyle w:val="19"/>
        <w:widowControl/>
        <w:spacing w:before="75" w:beforeAutospacing="0" w:after="75" w:afterAutospacing="0"/>
        <w:rPr>
          <w:color w:val="auto"/>
          <w:highlight w:val="none"/>
        </w:rPr>
      </w:pPr>
      <w:r>
        <w:rPr>
          <w:rFonts w:hint="eastAsia" w:ascii="宋体" w:hAnsi="宋体" w:cs="宋体"/>
          <w:color w:val="auto"/>
          <w:highlight w:val="none"/>
        </w:rPr>
        <w:t>6.10评标过程中，有下列情形之一的，应予废标：</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（1）符合性审查合格的投标人不足三家的；</w:t>
      </w:r>
    </w:p>
    <w:p>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（2）有关法律、法规和规章规定废标的情形。</w:t>
      </w:r>
    </w:p>
    <w:p>
      <w:pPr>
        <w:pStyle w:val="19"/>
        <w:widowControl/>
        <w:spacing w:before="75" w:beforeAutospacing="0" w:after="75" w:afterAutospacing="0"/>
        <w:ind w:firstLine="480"/>
        <w:rPr>
          <w:color w:val="auto"/>
          <w:highlight w:val="none"/>
        </w:rPr>
      </w:pPr>
      <w:r>
        <w:rPr>
          <w:rStyle w:val="27"/>
          <w:rFonts w:hint="eastAsia" w:ascii="宋体" w:hAnsi="宋体" w:cs="宋体"/>
          <w:color w:val="auto"/>
          <w:highlight w:val="none"/>
        </w:rPr>
        <w:t>※若废标，则本次采购活动结束，</w:t>
      </w:r>
      <w:r>
        <w:rPr>
          <w:rFonts w:hint="eastAsia" w:ascii="宋体" w:hAnsi="宋体" w:cs="宋体"/>
          <w:color w:val="auto"/>
          <w:highlight w:val="none"/>
          <w:u w:val="single"/>
        </w:rPr>
        <w:t>福建榕卫招标有限公司</w:t>
      </w:r>
      <w:r>
        <w:rPr>
          <w:rStyle w:val="27"/>
          <w:rFonts w:hint="eastAsia" w:ascii="宋体" w:hAnsi="宋体" w:cs="宋体"/>
          <w:color w:val="auto"/>
          <w:highlight w:val="none"/>
        </w:rPr>
        <w:t>将依法组织后续采购活动（包括但不限于：重新招标、采用其他方式采购等）。</w:t>
      </w:r>
    </w:p>
    <w:p>
      <w:pPr>
        <w:pStyle w:val="19"/>
        <w:widowControl/>
        <w:spacing w:before="75" w:beforeAutospacing="0" w:after="75" w:afterAutospacing="0"/>
        <w:rPr>
          <w:color w:val="auto"/>
          <w:highlight w:val="none"/>
        </w:rPr>
      </w:pPr>
      <w:r>
        <w:rPr>
          <w:rFonts w:hint="eastAsia" w:ascii="宋体" w:hAnsi="宋体" w:cs="宋体"/>
          <w:color w:val="auto"/>
          <w:highlight w:val="none"/>
        </w:rPr>
        <w:t>7、评标方法和标准</w:t>
      </w:r>
    </w:p>
    <w:p>
      <w:pPr>
        <w:pStyle w:val="19"/>
        <w:widowControl/>
        <w:spacing w:before="0" w:beforeAutospacing="0" w:after="0" w:afterAutospacing="0"/>
        <w:rPr>
          <w:color w:val="auto"/>
          <w:highlight w:val="none"/>
        </w:rPr>
      </w:pPr>
      <w:r>
        <w:rPr>
          <w:rFonts w:hint="eastAsia" w:ascii="宋体" w:hAnsi="宋体" w:cs="宋体"/>
          <w:color w:val="auto"/>
          <w:highlight w:val="none"/>
        </w:rPr>
        <w:t>7.1评标方法：</w:t>
      </w:r>
      <w:r>
        <w:rPr>
          <w:rFonts w:hint="eastAsia"/>
          <w:color w:val="auto"/>
          <w:highlight w:val="none"/>
        </w:rPr>
        <w:t>包1</w:t>
      </w:r>
      <w:r>
        <w:rPr>
          <w:color w:val="auto"/>
          <w:highlight w:val="none"/>
        </w:rPr>
        <w:t>采用综合评分法。</w:t>
      </w:r>
    </w:p>
    <w:p>
      <w:pPr>
        <w:pStyle w:val="19"/>
        <w:widowControl/>
        <w:spacing w:before="0" w:beforeAutospacing="0" w:after="0" w:afterAutospacing="0"/>
        <w:rPr>
          <w:rFonts w:ascii="宋体" w:hAnsi="宋体" w:cs="宋体"/>
          <w:color w:val="auto"/>
          <w:highlight w:val="none"/>
        </w:rPr>
      </w:pPr>
      <w:r>
        <w:rPr>
          <w:rFonts w:hint="eastAsia" w:ascii="宋体" w:hAnsi="宋体" w:cs="宋体"/>
          <w:color w:val="auto"/>
          <w:highlight w:val="none"/>
        </w:rPr>
        <w:t>7.2评标标准</w:t>
      </w:r>
    </w:p>
    <w:p>
      <w:pPr>
        <w:pStyle w:val="19"/>
        <w:widowControl/>
        <w:shd w:val="clear" w:color="auto" w:fill="FFFFFF"/>
        <w:spacing w:before="0" w:beforeAutospacing="0" w:after="150" w:afterAutospacing="0"/>
        <w:rPr>
          <w:rFonts w:ascii="宋体" w:hAnsi="宋体" w:cs="宋体"/>
          <w:b/>
          <w:bCs/>
          <w:color w:val="auto"/>
          <w:highlight w:val="none"/>
        </w:rPr>
      </w:pPr>
      <w:r>
        <w:rPr>
          <w:rFonts w:hint="eastAsia" w:ascii="宋体" w:hAnsi="宋体" w:cs="宋体"/>
          <w:b/>
          <w:bCs/>
          <w:color w:val="auto"/>
          <w:highlight w:val="none"/>
        </w:rPr>
        <w:t>采购包1</w:t>
      </w:r>
      <w:r>
        <w:rPr>
          <w:rStyle w:val="27"/>
          <w:rFonts w:hint="eastAsia" w:ascii="宋体" w:hAnsi="宋体" w:cs="宋体"/>
          <w:bCs/>
          <w:color w:val="auto"/>
          <w:highlight w:val="none"/>
          <w:shd w:val="clear" w:color="auto" w:fill="FFFFFF"/>
        </w:rPr>
        <w:t>采用综合评分法</w:t>
      </w:r>
      <w:r>
        <w:rPr>
          <w:rFonts w:hint="eastAsia" w:ascii="宋体" w:hAnsi="宋体" w:cs="宋体"/>
          <w:b/>
          <w:bCs/>
          <w:color w:val="auto"/>
          <w:highlight w:val="none"/>
          <w:shd w:val="clear" w:color="auto" w:fill="FFFFFF"/>
        </w:rPr>
        <w:t>：</w:t>
      </w:r>
    </w:p>
    <w:p>
      <w:pPr>
        <w:pStyle w:val="56"/>
        <w:ind w:firstLine="480" w:firstLineChars="2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（1）投标文件满足招标文件全部实质性要求，且按照评审因素的量化指标评审得分（即评标总得分）最高的投标人为中标候选人。</w:t>
      </w:r>
    </w:p>
    <w:p>
      <w:pPr>
        <w:pStyle w:val="56"/>
        <w:ind w:firstLine="480" w:firstLineChars="2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每个投标人的评标总得分FA＝F1＋F2＋F3＋F4（若有），其中：F1指价格项评审因素得分、F2指技术项评审因素得分、F3指商务项评审因素得分，F1＋F2＋F3=100分（满分时），F4为加分项（即优先类节能产品、环境标志产品在采购活动中可享有的加分优惠）。</w:t>
      </w:r>
    </w:p>
    <w:p>
      <w:pPr>
        <w:pStyle w:val="56"/>
        <w:ind w:firstLine="480" w:firstLineChars="2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各项评审因素的设置如下：</w:t>
      </w:r>
    </w:p>
    <w:p>
      <w:pPr>
        <w:pStyle w:val="56"/>
        <w:ind w:firstLine="480" w:firstLineChars="2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①价格项（F1）满分为</w:t>
      </w:r>
      <w:r>
        <w:rPr>
          <w:rFonts w:hint="eastAsia" w:ascii="宋体" w:hAnsi="宋体" w:eastAsia="宋体" w:cs="宋体"/>
          <w:color w:val="auto"/>
          <w:sz w:val="24"/>
          <w:szCs w:val="24"/>
          <w:highlight w:val="none"/>
          <w:u w:val="single"/>
          <w:lang w:val="en-US" w:eastAsia="zh-CN"/>
        </w:rPr>
        <w:t>30</w:t>
      </w:r>
      <w:r>
        <w:rPr>
          <w:rFonts w:ascii="宋体" w:hAnsi="宋体" w:eastAsia="宋体" w:cs="宋体"/>
          <w:color w:val="auto"/>
          <w:sz w:val="24"/>
          <w:szCs w:val="24"/>
          <w:highlight w:val="none"/>
          <w:lang w:eastAsia="zh-CN"/>
        </w:rPr>
        <w:t>分</w:t>
      </w:r>
    </w:p>
    <w:p>
      <w:pPr>
        <w:pStyle w:val="56"/>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投标报价得分＝（评标基准价/投标报价）×价格分值（注：满足招标文件要求且投标价格最低的投标报价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即最低折扣报价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为评标基准价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。最低报价不是中标的唯一依据。因落实政府采购政策进行价格调整的，以调整后的价格计算评标基准价和投标报价。</w:t>
      </w:r>
    </w:p>
    <w:p>
      <w:pPr>
        <w:pStyle w:val="19"/>
        <w:widowControl/>
        <w:shd w:val="clear" w:color="auto" w:fill="FFFFFF"/>
        <w:spacing w:before="0" w:beforeAutospacing="0" w:after="0" w:afterAutospacing="0"/>
        <w:ind w:firstLine="480"/>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计算分数时四舍五入取小数点后两位。</w:t>
      </w:r>
    </w:p>
    <w:p>
      <w:pPr>
        <w:pStyle w:val="19"/>
        <w:widowControl/>
        <w:shd w:val="clear" w:color="auto" w:fill="FFFFFF"/>
        <w:spacing w:before="0" w:beforeAutospacing="0" w:after="0" w:afterAutospacing="0"/>
        <w:ind w:firstLine="480"/>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注：本次采购项目</w:t>
      </w:r>
      <w:r>
        <w:rPr>
          <w:rFonts w:hint="eastAsia" w:asciiTheme="minorEastAsia" w:hAnsiTheme="minorEastAsia" w:eastAsiaTheme="minorEastAsia" w:cstheme="minorEastAsia"/>
          <w:b/>
          <w:bCs/>
          <w:color w:val="auto"/>
          <w:highlight w:val="none"/>
          <w:shd w:val="clear" w:color="auto" w:fill="FFFFFF"/>
          <w:lang w:val="en-US" w:eastAsia="zh-CN"/>
        </w:rPr>
        <w:t>投标人</w:t>
      </w:r>
      <w:r>
        <w:rPr>
          <w:rFonts w:hint="eastAsia" w:asciiTheme="minorEastAsia" w:hAnsiTheme="minorEastAsia" w:eastAsiaTheme="minorEastAsia" w:cstheme="minorEastAsia"/>
          <w:b/>
          <w:bCs/>
          <w:color w:val="auto"/>
          <w:highlight w:val="none"/>
          <w:shd w:val="clear" w:color="auto" w:fill="FFFFFF"/>
        </w:rPr>
        <w:t>的报价统一采取折扣以百分比形式进行报价，由</w:t>
      </w:r>
      <w:r>
        <w:rPr>
          <w:rFonts w:hint="eastAsia" w:asciiTheme="minorEastAsia" w:hAnsiTheme="minorEastAsia" w:eastAsiaTheme="minorEastAsia" w:cstheme="minorEastAsia"/>
          <w:b/>
          <w:bCs/>
          <w:color w:val="auto"/>
          <w:highlight w:val="none"/>
          <w:shd w:val="clear" w:color="auto" w:fill="FFFFFF"/>
          <w:lang w:val="en-US" w:eastAsia="zh-CN"/>
        </w:rPr>
        <w:t>投标人</w:t>
      </w:r>
      <w:r>
        <w:rPr>
          <w:rFonts w:hint="eastAsia" w:asciiTheme="minorEastAsia" w:hAnsiTheme="minorEastAsia" w:eastAsiaTheme="minorEastAsia" w:cstheme="minorEastAsia"/>
          <w:b/>
          <w:bCs/>
          <w:color w:val="auto"/>
          <w:highlight w:val="none"/>
          <w:shd w:val="clear" w:color="auto" w:fill="FFFFFF"/>
        </w:rPr>
        <w:t>自行报价（即折扣报价，如8.5折填写为85%，9折填写为90%），</w:t>
      </w:r>
      <w:r>
        <w:rPr>
          <w:rFonts w:hint="eastAsia" w:asciiTheme="minorEastAsia" w:hAnsiTheme="minorEastAsia" w:eastAsiaTheme="minorEastAsia" w:cstheme="minorEastAsia"/>
          <w:b/>
          <w:bCs/>
          <w:color w:val="auto"/>
          <w:highlight w:val="none"/>
          <w:shd w:val="clear" w:color="auto" w:fill="FFFFFF"/>
          <w:lang w:val="en-US" w:eastAsia="zh-CN"/>
        </w:rPr>
        <w:t>投标人</w:t>
      </w:r>
      <w:r>
        <w:rPr>
          <w:rFonts w:hint="eastAsia" w:asciiTheme="minorEastAsia" w:hAnsiTheme="minorEastAsia" w:eastAsiaTheme="minorEastAsia" w:cstheme="minorEastAsia"/>
          <w:b/>
          <w:bCs/>
          <w:color w:val="auto"/>
          <w:highlight w:val="none"/>
          <w:shd w:val="clear" w:color="auto" w:fill="FFFFFF"/>
        </w:rPr>
        <w:t>报价不得高于100%，否则响应无效。</w:t>
      </w:r>
    </w:p>
    <w:p>
      <w:pPr>
        <w:pStyle w:val="19"/>
        <w:widowControl/>
        <w:shd w:val="clear" w:color="auto" w:fill="FFFFFF"/>
        <w:spacing w:before="0" w:beforeAutospacing="0" w:after="0" w:afterAutospacing="0"/>
        <w:ind w:firstLine="48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②F2为技术项，满分为</w:t>
      </w:r>
      <w:r>
        <w:rPr>
          <w:rFonts w:hint="eastAsia" w:asciiTheme="minorEastAsia" w:hAnsiTheme="minorEastAsia" w:eastAsiaTheme="minorEastAsia" w:cstheme="minorEastAsia"/>
          <w:color w:val="auto"/>
          <w:highlight w:val="none"/>
          <w:u w:val="single"/>
          <w:shd w:val="clear" w:color="auto" w:fill="FFFFFF"/>
          <w:lang w:val="en-US" w:eastAsia="zh-CN"/>
        </w:rPr>
        <w:t>55</w:t>
      </w:r>
      <w:r>
        <w:rPr>
          <w:rFonts w:hint="eastAsia" w:asciiTheme="minorEastAsia" w:hAnsiTheme="minorEastAsia" w:eastAsiaTheme="minorEastAsia" w:cstheme="minorEastAsia"/>
          <w:color w:val="auto"/>
          <w:highlight w:val="none"/>
          <w:shd w:val="clear" w:color="auto" w:fill="FFFFFF"/>
        </w:rPr>
        <w:t>分。</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82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评标项目</w:t>
            </w:r>
          </w:p>
        </w:tc>
        <w:tc>
          <w:tcPr>
            <w:tcW w:w="446" w:type="pct"/>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评标分值</w:t>
            </w:r>
          </w:p>
        </w:tc>
        <w:tc>
          <w:tcPr>
            <w:tcW w:w="3797" w:type="pct"/>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bidi="ar"/>
              </w:rPr>
              <w:t>1、技术符合性</w:t>
            </w:r>
          </w:p>
        </w:tc>
        <w:tc>
          <w:tcPr>
            <w:tcW w:w="446" w:type="pc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根据投标人对招标文件第五章招标内容及要求中“</w:t>
            </w:r>
            <w:r>
              <w:rPr>
                <w:rFonts w:hint="eastAsia" w:ascii="宋体" w:hAnsi="宋体" w:cs="宋体"/>
                <w:i w:val="0"/>
                <w:iCs w:val="0"/>
                <w:caps w:val="0"/>
                <w:color w:val="auto"/>
                <w:spacing w:val="0"/>
                <w:kern w:val="0"/>
                <w:sz w:val="24"/>
                <w:szCs w:val="24"/>
                <w:highlight w:val="none"/>
                <w:lang w:val="en-US" w:eastAsia="zh-CN" w:bidi="ar"/>
              </w:rPr>
              <w:t>二、</w:t>
            </w:r>
            <w:r>
              <w:rPr>
                <w:rFonts w:hint="eastAsia" w:ascii="宋体" w:hAnsi="宋体" w:eastAsia="宋体" w:cs="宋体"/>
                <w:i w:val="0"/>
                <w:iCs w:val="0"/>
                <w:caps w:val="0"/>
                <w:color w:val="auto"/>
                <w:spacing w:val="0"/>
                <w:kern w:val="0"/>
                <w:sz w:val="24"/>
                <w:szCs w:val="24"/>
                <w:highlight w:val="none"/>
                <w:lang w:val="en-US" w:eastAsia="zh-CN" w:bidi="ar"/>
              </w:rPr>
              <w:t>技术和服务要求”的逐项响应承诺等方面情况由评委进行评分（需提供技术和服务要求响应表），投标人全部满足招标文件第五章招标内容及要求中“二、技术和服务要求”的得</w:t>
            </w:r>
            <w:r>
              <w:rPr>
                <w:rFonts w:hint="eastAsia" w:ascii="宋体" w:hAnsi="宋体" w:cs="宋体"/>
                <w:i w:val="0"/>
                <w:iCs w:val="0"/>
                <w:caps w:val="0"/>
                <w:color w:val="auto"/>
                <w:spacing w:val="0"/>
                <w:kern w:val="0"/>
                <w:sz w:val="24"/>
                <w:szCs w:val="24"/>
                <w:highlight w:val="none"/>
                <w:lang w:val="en-US" w:eastAsia="zh-CN" w:bidi="ar"/>
              </w:rPr>
              <w:t>13</w:t>
            </w:r>
            <w:r>
              <w:rPr>
                <w:rFonts w:hint="eastAsia" w:ascii="宋体" w:hAnsi="宋体" w:eastAsia="宋体" w:cs="宋体"/>
                <w:i w:val="0"/>
                <w:iCs w:val="0"/>
                <w:caps w:val="0"/>
                <w:color w:val="auto"/>
                <w:spacing w:val="0"/>
                <w:kern w:val="0"/>
                <w:sz w:val="24"/>
                <w:szCs w:val="24"/>
                <w:highlight w:val="none"/>
                <w:lang w:val="en-US" w:eastAsia="zh-CN" w:bidi="ar"/>
              </w:rPr>
              <w:t>分</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b/>
                <w:bCs/>
                <w:i w:val="0"/>
                <w:iCs w:val="0"/>
                <w:caps w:val="0"/>
                <w:color w:val="auto"/>
                <w:spacing w:val="0"/>
                <w:kern w:val="0"/>
                <w:sz w:val="24"/>
                <w:szCs w:val="24"/>
                <w:highlight w:val="none"/>
                <w:lang w:val="en-US" w:eastAsia="zh-CN" w:bidi="ar"/>
              </w:rPr>
              <w:t>技术参数中带“★”的条款</w:t>
            </w:r>
            <w:r>
              <w:rPr>
                <w:rFonts w:hint="eastAsia" w:ascii="宋体" w:hAnsi="宋体" w:eastAsia="宋体" w:cs="宋体"/>
                <w:i w:val="0"/>
                <w:iCs w:val="0"/>
                <w:caps w:val="0"/>
                <w:color w:val="auto"/>
                <w:spacing w:val="0"/>
                <w:kern w:val="0"/>
                <w:sz w:val="24"/>
                <w:szCs w:val="24"/>
                <w:highlight w:val="none"/>
                <w:lang w:val="en-US" w:eastAsia="zh-CN" w:bidi="ar"/>
              </w:rPr>
              <w:t>共计</w:t>
            </w:r>
            <w:r>
              <w:rPr>
                <w:rFonts w:hint="eastAsia" w:ascii="宋体" w:hAnsi="宋体" w:cs="宋体"/>
                <w:i w:val="0"/>
                <w:iCs w:val="0"/>
                <w:caps w:val="0"/>
                <w:color w:val="auto"/>
                <w:spacing w:val="0"/>
                <w:kern w:val="0"/>
                <w:sz w:val="24"/>
                <w:szCs w:val="24"/>
                <w:highlight w:val="none"/>
                <w:lang w:val="en-US" w:eastAsia="zh-CN" w:bidi="ar"/>
              </w:rPr>
              <w:t>7</w:t>
            </w:r>
            <w:r>
              <w:rPr>
                <w:rFonts w:hint="eastAsia" w:ascii="宋体" w:hAnsi="宋体" w:eastAsia="宋体" w:cs="宋体"/>
                <w:i w:val="0"/>
                <w:iCs w:val="0"/>
                <w:caps w:val="0"/>
                <w:color w:val="auto"/>
                <w:spacing w:val="0"/>
                <w:kern w:val="0"/>
                <w:sz w:val="24"/>
                <w:szCs w:val="24"/>
                <w:highlight w:val="none"/>
                <w:lang w:val="en-US" w:eastAsia="zh-CN" w:bidi="ar"/>
              </w:rPr>
              <w:t>项</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b/>
                <w:bCs/>
                <w:i w:val="0"/>
                <w:iCs w:val="0"/>
                <w:caps w:val="0"/>
                <w:color w:val="auto"/>
                <w:spacing w:val="0"/>
                <w:kern w:val="0"/>
                <w:sz w:val="24"/>
                <w:szCs w:val="24"/>
                <w:highlight w:val="none"/>
                <w:lang w:val="en-US" w:eastAsia="zh-CN" w:bidi="ar"/>
              </w:rPr>
              <w:t>为不允许负偏离的实质性要求，</w:t>
            </w:r>
            <w:r>
              <w:rPr>
                <w:rFonts w:hint="eastAsia" w:ascii="宋体" w:hAnsi="宋体" w:cs="宋体"/>
                <w:b/>
                <w:bCs/>
                <w:i w:val="0"/>
                <w:iCs w:val="0"/>
                <w:caps w:val="0"/>
                <w:color w:val="auto"/>
                <w:spacing w:val="0"/>
                <w:kern w:val="0"/>
                <w:sz w:val="24"/>
                <w:szCs w:val="24"/>
                <w:highlight w:val="none"/>
                <w:lang w:val="en-US" w:eastAsia="zh-CN" w:bidi="ar"/>
              </w:rPr>
              <w:t>否则</w:t>
            </w:r>
            <w:r>
              <w:rPr>
                <w:rFonts w:hint="eastAsia" w:ascii="宋体" w:hAnsi="宋体" w:eastAsia="宋体" w:cs="宋体"/>
                <w:b/>
                <w:bCs/>
                <w:i w:val="0"/>
                <w:iCs w:val="0"/>
                <w:caps w:val="0"/>
                <w:color w:val="auto"/>
                <w:spacing w:val="0"/>
                <w:kern w:val="0"/>
                <w:sz w:val="24"/>
                <w:szCs w:val="24"/>
                <w:highlight w:val="none"/>
                <w:lang w:val="en-US" w:eastAsia="zh-CN" w:bidi="ar"/>
              </w:rPr>
              <w:t>按无效标处理</w:t>
            </w:r>
            <w:r>
              <w:rPr>
                <w:rFonts w:hint="eastAsia" w:ascii="宋体" w:hAnsi="宋体" w:eastAsia="宋体" w:cs="宋体"/>
                <w:b w:val="0"/>
                <w:bCs w:val="0"/>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kern w:val="0"/>
                <w:sz w:val="24"/>
                <w:szCs w:val="24"/>
                <w:highlight w:val="none"/>
                <w:lang w:val="en-US" w:eastAsia="zh-CN" w:bidi="ar"/>
              </w:rPr>
              <w:t>未</w:t>
            </w:r>
            <w:r>
              <w:rPr>
                <w:rFonts w:hint="eastAsia" w:ascii="宋体" w:hAnsi="宋体" w:eastAsia="宋体" w:cs="宋体"/>
                <w:b w:val="0"/>
                <w:bCs w:val="0"/>
                <w:i w:val="0"/>
                <w:iCs w:val="0"/>
                <w:caps w:val="0"/>
                <w:color w:val="auto"/>
                <w:spacing w:val="0"/>
                <w:kern w:val="0"/>
                <w:sz w:val="24"/>
                <w:szCs w:val="24"/>
                <w:highlight w:val="none"/>
                <w:lang w:val="en-US" w:eastAsia="zh-CN" w:bidi="ar"/>
              </w:rPr>
              <w:t>带“★”的</w:t>
            </w:r>
            <w:r>
              <w:rPr>
                <w:rFonts w:hint="eastAsia" w:ascii="宋体" w:hAnsi="宋体" w:eastAsia="宋体" w:cs="宋体"/>
                <w:i w:val="0"/>
                <w:iCs w:val="0"/>
                <w:caps w:val="0"/>
                <w:color w:val="auto"/>
                <w:spacing w:val="0"/>
                <w:kern w:val="0"/>
                <w:sz w:val="24"/>
                <w:szCs w:val="24"/>
                <w:highlight w:val="none"/>
                <w:lang w:val="en-US" w:eastAsia="zh-CN" w:bidi="ar"/>
              </w:rPr>
              <w:t>技术项共计</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项（项4～项8），每负偏离一项扣</w:t>
            </w:r>
            <w:r>
              <w:rPr>
                <w:rFonts w:hint="eastAsia" w:ascii="宋体" w:hAnsi="宋体" w:cs="宋体"/>
                <w:i w:val="0"/>
                <w:iCs w:val="0"/>
                <w:caps w:val="0"/>
                <w:color w:val="auto"/>
                <w:spacing w:val="0"/>
                <w:kern w:val="0"/>
                <w:sz w:val="24"/>
                <w:szCs w:val="24"/>
                <w:highlight w:val="none"/>
                <w:lang w:val="en-US" w:eastAsia="zh-CN" w:bidi="ar"/>
              </w:rPr>
              <w:t>2.6</w:t>
            </w:r>
            <w:r>
              <w:rPr>
                <w:rFonts w:hint="eastAsia" w:ascii="宋体" w:hAnsi="宋体" w:eastAsia="宋体" w:cs="宋体"/>
                <w:i w:val="0"/>
                <w:iCs w:val="0"/>
                <w:caps w:val="0"/>
                <w:color w:val="auto"/>
                <w:spacing w:val="0"/>
                <w:kern w:val="0"/>
                <w:sz w:val="24"/>
                <w:szCs w:val="24"/>
                <w:highlight w:val="none"/>
                <w:lang w:val="en-US" w:eastAsia="zh-CN" w:bidi="ar"/>
              </w:rPr>
              <w:t>分，正偏离不加分,合计</w:t>
            </w:r>
            <w:r>
              <w:rPr>
                <w:rFonts w:hint="eastAsia" w:ascii="宋体" w:hAnsi="宋体" w:cs="宋体"/>
                <w:i w:val="0"/>
                <w:iCs w:val="0"/>
                <w:caps w:val="0"/>
                <w:color w:val="auto"/>
                <w:spacing w:val="0"/>
                <w:kern w:val="0"/>
                <w:sz w:val="24"/>
                <w:szCs w:val="24"/>
                <w:highlight w:val="none"/>
                <w:lang w:val="en-US" w:eastAsia="zh-CN" w:bidi="ar"/>
              </w:rPr>
              <w:t>13</w:t>
            </w:r>
            <w:r>
              <w:rPr>
                <w:rFonts w:hint="eastAsia" w:ascii="宋体" w:hAnsi="宋体" w:eastAsia="宋体" w:cs="宋体"/>
                <w:i w:val="0"/>
                <w:iCs w:val="0"/>
                <w:caps w:val="0"/>
                <w:color w:val="auto"/>
                <w:spacing w:val="0"/>
                <w:kern w:val="0"/>
                <w:sz w:val="24"/>
                <w:szCs w:val="24"/>
                <w:highlight w:val="none"/>
                <w:lang w:val="en-US" w:eastAsia="zh-CN" w:bidi="ar"/>
              </w:rPr>
              <w:t>分。评委将按照上述评分标准计算投标人的技术指标得分。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i w:val="0"/>
                <w:iCs w:val="0"/>
                <w:caps w:val="0"/>
                <w:color w:val="auto"/>
                <w:spacing w:val="0"/>
                <w:sz w:val="24"/>
                <w:szCs w:val="24"/>
                <w:highlight w:val="none"/>
              </w:rPr>
              <w:t>注：技术和服务要求中所涉及要求投标人提供佐证材料证明的，投标人须逐项提供佐证材料，投标人在提供佐证材料的同时须在《技术和服务要求响应表》中标注该证明材料所在页码，如因投标人所填页码有误或填写的页码不完全或投标人的佐证材料与响应承诺情况不一致的，从而影响了评标委员会对其投标文件的判定，评标委员会将按照不利于投标人的内容进行认定</w:t>
            </w:r>
            <w:r>
              <w:rPr>
                <w:rFonts w:hint="eastAsia" w:ascii="宋体" w:hAnsi="宋体" w:cs="宋体"/>
                <w:b/>
                <w:bCs/>
                <w:i w:val="0"/>
                <w:iCs w:val="0"/>
                <w:caps w:val="0"/>
                <w:color w:val="auto"/>
                <w:spacing w:val="0"/>
                <w:sz w:val="24"/>
                <w:szCs w:val="24"/>
                <w:highlight w:val="none"/>
                <w:lang w:eastAsia="zh-CN"/>
              </w:rPr>
              <w:t>（</w:t>
            </w:r>
            <w:r>
              <w:rPr>
                <w:rFonts w:hint="eastAsia" w:ascii="宋体" w:hAnsi="宋体" w:cs="宋体"/>
                <w:b/>
                <w:bCs/>
                <w:i w:val="0"/>
                <w:iCs w:val="0"/>
                <w:caps w:val="0"/>
                <w:color w:val="auto"/>
                <w:spacing w:val="0"/>
                <w:sz w:val="24"/>
                <w:szCs w:val="24"/>
                <w:highlight w:val="none"/>
                <w:lang w:val="en-US" w:eastAsia="zh-CN"/>
              </w:rPr>
              <w:t>负偏离</w:t>
            </w:r>
            <w:r>
              <w:rPr>
                <w:rFonts w:hint="eastAsia" w:ascii="宋体" w:hAnsi="宋体" w:cs="宋体"/>
                <w:b/>
                <w:bCs/>
                <w:i w:val="0"/>
                <w:iCs w:val="0"/>
                <w:caps w:val="0"/>
                <w:color w:val="auto"/>
                <w:spacing w:val="0"/>
                <w:sz w:val="24"/>
                <w:szCs w:val="24"/>
                <w:highlight w:val="none"/>
                <w:lang w:eastAsia="zh-CN"/>
              </w:rPr>
              <w:t>）</w:t>
            </w:r>
            <w:r>
              <w:rPr>
                <w:rFonts w:hint="eastAsia" w:ascii="宋体" w:hAnsi="宋体" w:eastAsia="宋体" w:cs="宋体"/>
                <w:b/>
                <w:bCs/>
                <w:i w:val="0"/>
                <w:iCs w:val="0"/>
                <w:caps w:val="0"/>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rPr>
              <w:t>A2、包装、保存、运输环节质量保证措施</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慰问品的包装、保存、运输环节质量保证措施方案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A3、</w:t>
            </w:r>
            <w:r>
              <w:rPr>
                <w:rFonts w:hint="eastAsia" w:ascii="宋体" w:hAnsi="宋体" w:cs="宋体"/>
                <w:color w:val="auto"/>
                <w:kern w:val="0"/>
                <w:sz w:val="24"/>
                <w:lang w:val="en-US" w:eastAsia="zh-CN"/>
              </w:rPr>
              <w:t>服务方案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提供慰问品的发放环节的服务方案、后期的回访服务方案等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A4、供货方案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根据投标人提供的</w:t>
            </w:r>
            <w:r>
              <w:rPr>
                <w:rFonts w:hint="eastAsia" w:ascii="宋体" w:hAnsi="宋体" w:cs="宋体"/>
                <w:color w:val="auto"/>
                <w:kern w:val="0"/>
                <w:sz w:val="24"/>
                <w:lang w:val="en-US" w:eastAsia="zh-CN"/>
              </w:rPr>
              <w:t>①</w:t>
            </w:r>
            <w:r>
              <w:rPr>
                <w:rFonts w:hint="eastAsia" w:ascii="宋体" w:hAnsi="宋体" w:cs="宋体"/>
                <w:color w:val="auto"/>
                <w:kern w:val="0"/>
                <w:sz w:val="24"/>
              </w:rPr>
              <w:t>副食类、生鲜类</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②</w:t>
            </w:r>
            <w:r>
              <w:rPr>
                <w:rFonts w:hint="eastAsia" w:ascii="宋体" w:hAnsi="宋体" w:cs="宋体"/>
                <w:color w:val="auto"/>
                <w:kern w:val="0"/>
                <w:sz w:val="24"/>
              </w:rPr>
              <w:t>粮油类</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③</w:t>
            </w:r>
            <w:r>
              <w:rPr>
                <w:rFonts w:hint="eastAsia" w:ascii="宋体" w:hAnsi="宋体" w:cs="宋体"/>
                <w:color w:val="auto"/>
                <w:kern w:val="0"/>
                <w:sz w:val="24"/>
              </w:rPr>
              <w:t>日用品类的供货方案，由评委进行评分：</w:t>
            </w:r>
            <w:r>
              <w:rPr>
                <w:rFonts w:hint="eastAsia" w:ascii="宋体" w:hAnsi="宋体" w:cs="宋体"/>
                <w:color w:val="auto"/>
                <w:kern w:val="0"/>
                <w:sz w:val="24"/>
                <w:lang w:val="en-US" w:eastAsia="zh-CN"/>
              </w:rPr>
              <w:t>供货</w:t>
            </w:r>
            <w:r>
              <w:rPr>
                <w:rFonts w:hint="eastAsia" w:ascii="宋体" w:hAnsi="宋体" w:cs="宋体"/>
                <w:color w:val="auto"/>
                <w:kern w:val="0"/>
                <w:sz w:val="24"/>
              </w:rPr>
              <w:t>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A5、食品质量保障、食品安全方案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提供的食品质量保障、食品安全方案，由评委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A6、应急预案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根据投标人提供慰问品的应急预案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包括但不限于可能遇到的应急情况、针对性处理方案、应急人员安排等</w:t>
            </w:r>
            <w:r>
              <w:rPr>
                <w:rFonts w:hint="eastAsia" w:ascii="宋体" w:hAnsi="宋体" w:cs="宋体"/>
                <w:color w:val="auto"/>
                <w:kern w:val="0"/>
                <w:sz w:val="24"/>
              </w:rPr>
              <w:t>，由评委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A7、灵活时效配送方案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根据投标人的灵活时效配送方案、配送流程图，由评委进行评分：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A8、退换货方案</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根据投标人所提供的退换货方案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包括但不限于退货方案、换货方案等</w:t>
            </w:r>
            <w:r>
              <w:rPr>
                <w:rFonts w:hint="eastAsia" w:ascii="宋体" w:hAnsi="宋体" w:cs="宋体"/>
                <w:color w:val="auto"/>
                <w:kern w:val="0"/>
                <w:sz w:val="24"/>
                <w:lang w:eastAsia="zh-CN"/>
              </w:rPr>
              <w:t>）</w:t>
            </w:r>
            <w:r>
              <w:rPr>
                <w:rFonts w:hint="eastAsia" w:ascii="宋体" w:hAnsi="宋体" w:cs="宋体"/>
                <w:color w:val="auto"/>
                <w:kern w:val="0"/>
                <w:sz w:val="24"/>
              </w:rPr>
              <w:t>，由评委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A9、供货渠道和采购能力</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根据投标人供货渠道和采购能力，由评委进行评分：①渠道和采购能力完善、具体、可行的得3分；②渠道和采购能力较完善、较具体、较可行的得2分；③渠道和采购能力一般的得1分；④未提供的不得分。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A10、人员配备情况</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lang w:eastAsia="zh-CN"/>
              </w:rPr>
            </w:pPr>
            <w:r>
              <w:rPr>
                <w:rFonts w:hint="eastAsia" w:ascii="宋体" w:hAnsi="宋体" w:cs="宋体"/>
                <w:color w:val="auto"/>
                <w:kern w:val="0"/>
                <w:sz w:val="24"/>
              </w:rPr>
              <w:t>根据投标人拟投入本项目满足基本配备的人员的基础上，对人员进行分工及本项目负责人的资料情况，由评委进行评分：</w:t>
            </w:r>
            <w:r>
              <w:rPr>
                <w:rFonts w:hint="eastAsia" w:ascii="宋体" w:hAnsi="宋体" w:cs="宋体"/>
                <w:color w:val="auto"/>
                <w:kern w:val="0"/>
                <w:sz w:val="24"/>
                <w:lang w:val="en-US" w:eastAsia="zh-CN"/>
              </w:rPr>
              <w:t>①</w:t>
            </w:r>
            <w:r>
              <w:rPr>
                <w:rFonts w:hint="eastAsia" w:ascii="宋体" w:hAnsi="宋体" w:cs="宋体"/>
                <w:color w:val="auto"/>
                <w:kern w:val="0"/>
                <w:sz w:val="24"/>
              </w:rPr>
              <w:t>人员配置科学、合理的得3分；</w:t>
            </w:r>
            <w:r>
              <w:rPr>
                <w:rFonts w:hint="eastAsia" w:ascii="宋体" w:hAnsi="宋体" w:cs="宋体"/>
                <w:color w:val="auto"/>
                <w:kern w:val="0"/>
                <w:sz w:val="24"/>
                <w:lang w:eastAsia="zh-CN"/>
              </w:rPr>
              <w:t>②</w:t>
            </w:r>
            <w:r>
              <w:rPr>
                <w:rFonts w:hint="eastAsia" w:ascii="宋体" w:hAnsi="宋体" w:cs="宋体"/>
                <w:color w:val="auto"/>
                <w:kern w:val="0"/>
                <w:sz w:val="24"/>
              </w:rPr>
              <w:t>人员配置较科学较合理的得1</w:t>
            </w:r>
            <w:r>
              <w:rPr>
                <w:rFonts w:hint="eastAsia" w:ascii="宋体" w:hAnsi="宋体" w:cs="宋体"/>
                <w:color w:val="auto"/>
                <w:kern w:val="0"/>
                <w:sz w:val="24"/>
                <w:lang w:val="en-US" w:eastAsia="zh-CN"/>
              </w:rPr>
              <w:t>.5</w:t>
            </w:r>
            <w:r>
              <w:rPr>
                <w:rFonts w:hint="eastAsia" w:ascii="宋体" w:hAnsi="宋体" w:cs="宋体"/>
                <w:color w:val="auto"/>
                <w:kern w:val="0"/>
                <w:sz w:val="24"/>
              </w:rPr>
              <w:t>分；</w:t>
            </w:r>
            <w:r>
              <w:rPr>
                <w:rFonts w:hint="eastAsia" w:ascii="宋体" w:hAnsi="宋体" w:cs="宋体"/>
                <w:color w:val="auto"/>
                <w:kern w:val="0"/>
                <w:sz w:val="24"/>
                <w:lang w:eastAsia="zh-CN"/>
              </w:rPr>
              <w:t>③</w:t>
            </w:r>
            <w:r>
              <w:rPr>
                <w:rFonts w:hint="eastAsia" w:ascii="宋体" w:hAnsi="宋体" w:cs="宋体"/>
                <w:color w:val="auto"/>
                <w:kern w:val="0"/>
                <w:sz w:val="24"/>
              </w:rPr>
              <w:t>未提供</w:t>
            </w:r>
            <w:r>
              <w:rPr>
                <w:rFonts w:hint="eastAsia" w:ascii="宋体" w:hAnsi="宋体" w:cs="宋体"/>
                <w:color w:val="auto"/>
                <w:kern w:val="0"/>
                <w:sz w:val="24"/>
                <w:lang w:val="en-US" w:eastAsia="zh-CN"/>
              </w:rPr>
              <w:t>或提供不全</w:t>
            </w:r>
            <w:r>
              <w:rPr>
                <w:rFonts w:hint="eastAsia" w:ascii="宋体" w:hAnsi="宋体" w:cs="宋体"/>
                <w:color w:val="auto"/>
                <w:kern w:val="0"/>
                <w:sz w:val="24"/>
              </w:rPr>
              <w:t>的不得分</w:t>
            </w:r>
            <w:r>
              <w:rPr>
                <w:rFonts w:hint="eastAsia" w:ascii="宋体" w:hAnsi="宋体" w:cs="宋体"/>
                <w:color w:val="auto"/>
                <w:kern w:val="0"/>
                <w:sz w:val="24"/>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lang w:val="en-US" w:eastAsia="zh-CN"/>
              </w:rPr>
              <w:t>注：</w:t>
            </w:r>
            <w:r>
              <w:rPr>
                <w:rFonts w:hint="eastAsia" w:ascii="宋体" w:hAnsi="宋体" w:cs="宋体"/>
                <w:color w:val="auto"/>
                <w:kern w:val="0"/>
                <w:sz w:val="24"/>
              </w:rPr>
              <w:t>须提供人员清单列表、投标人为配备人员缴纳的投标截止时间前六个月（不含投标截止时间的当月）任意一个月有依法缴纳社会保障资金的证明材料，否则不得分。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A11、配送能力情况</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A11.1、</w:t>
            </w:r>
            <w:r>
              <w:rPr>
                <w:rFonts w:hint="eastAsia" w:ascii="宋体" w:hAnsi="宋体" w:cs="宋体"/>
                <w:color w:val="auto"/>
                <w:kern w:val="0"/>
                <w:sz w:val="24"/>
                <w:lang w:val="en-US" w:eastAsia="zh-CN"/>
              </w:rPr>
              <w:t>根据</w:t>
            </w:r>
            <w:r>
              <w:rPr>
                <w:rFonts w:hint="eastAsia" w:ascii="宋体" w:hAnsi="宋体" w:cs="宋体"/>
                <w:color w:val="auto"/>
                <w:kern w:val="0"/>
                <w:sz w:val="24"/>
              </w:rPr>
              <w:t>投标人有满足配送业务需要的配送车辆的，在2辆的基础上，每增加1辆的得0.5分，满分3分。属于自有产权的提供车辆行驶证复印件；属于租赁的，提供租赁合作协议和租赁车辆行驶证复印件（或由出租单位盖章的租赁车辆清单，含车牌号和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A11.2、</w:t>
            </w:r>
            <w:r>
              <w:rPr>
                <w:rFonts w:hint="eastAsia" w:ascii="宋体" w:hAnsi="宋体" w:cs="宋体"/>
                <w:color w:val="auto"/>
                <w:kern w:val="0"/>
                <w:sz w:val="24"/>
                <w:lang w:val="en-US" w:eastAsia="zh-CN"/>
              </w:rPr>
              <w:t>根据</w:t>
            </w:r>
            <w:r>
              <w:rPr>
                <w:rFonts w:hint="eastAsia" w:ascii="宋体" w:hAnsi="宋体" w:cs="宋体"/>
                <w:color w:val="auto"/>
                <w:kern w:val="0"/>
                <w:sz w:val="24"/>
              </w:rPr>
              <w:t>投标人具有全程冷链配送能力的得3分，须提供冷链仓储、冷链配送车辆等相关证明材料</w:t>
            </w:r>
            <w:r>
              <w:rPr>
                <w:rFonts w:hint="eastAsia" w:ascii="宋体" w:hAnsi="宋体" w:cs="宋体"/>
                <w:color w:val="auto"/>
                <w:kern w:val="0"/>
                <w:sz w:val="24"/>
                <w:lang w:eastAsia="zh-CN"/>
              </w:rPr>
              <w:t>【</w:t>
            </w:r>
            <w:r>
              <w:rPr>
                <w:rFonts w:hint="eastAsia" w:ascii="宋体" w:hAnsi="宋体" w:cs="宋体"/>
                <w:color w:val="auto"/>
                <w:kern w:val="0"/>
                <w:sz w:val="24"/>
              </w:rPr>
              <w:t>需包含：冷链仓储照片</w:t>
            </w:r>
            <w:r>
              <w:rPr>
                <w:rFonts w:hint="eastAsia" w:ascii="宋体" w:hAnsi="宋体" w:cs="宋体"/>
                <w:color w:val="auto"/>
                <w:kern w:val="0"/>
                <w:sz w:val="24"/>
                <w:lang w:val="en-US" w:eastAsia="zh-CN"/>
              </w:rPr>
              <w:t>①</w:t>
            </w:r>
            <w:r>
              <w:rPr>
                <w:rFonts w:hint="eastAsia" w:ascii="宋体" w:hAnsi="宋体" w:cs="宋体"/>
                <w:color w:val="auto"/>
                <w:kern w:val="0"/>
                <w:sz w:val="24"/>
              </w:rPr>
              <w:t>若是自有产权的</w:t>
            </w:r>
            <w:r>
              <w:rPr>
                <w:rFonts w:hint="eastAsia" w:ascii="宋体" w:hAnsi="宋体" w:cs="宋体"/>
                <w:color w:val="auto"/>
                <w:kern w:val="0"/>
                <w:sz w:val="24"/>
                <w:lang w:val="en-US" w:eastAsia="zh-CN"/>
              </w:rPr>
              <w:t>提供产权证书复印件；</w:t>
            </w:r>
            <w:r>
              <w:rPr>
                <w:rFonts w:hint="eastAsia" w:ascii="宋体" w:hAnsi="宋体" w:cs="宋体"/>
                <w:color w:val="auto"/>
                <w:kern w:val="0"/>
                <w:sz w:val="24"/>
              </w:rPr>
              <w:t>②若是租赁的提供租赁合作协议</w:t>
            </w:r>
            <w:r>
              <w:rPr>
                <w:rFonts w:hint="eastAsia" w:ascii="宋体" w:hAnsi="宋体" w:cs="宋体"/>
                <w:color w:val="auto"/>
                <w:kern w:val="0"/>
                <w:sz w:val="24"/>
                <w:lang w:val="en-US" w:eastAsia="zh-CN"/>
              </w:rPr>
              <w:t>和产权证书复印件</w:t>
            </w:r>
            <w:r>
              <w:rPr>
                <w:rFonts w:hint="eastAsia" w:ascii="宋体" w:hAnsi="宋体" w:cs="宋体"/>
                <w:color w:val="auto"/>
                <w:kern w:val="0"/>
                <w:sz w:val="24"/>
                <w:lang w:eastAsia="zh-CN"/>
              </w:rPr>
              <w:t>；</w:t>
            </w:r>
            <w:r>
              <w:rPr>
                <w:rFonts w:hint="eastAsia" w:ascii="宋体" w:hAnsi="宋体" w:cs="宋体"/>
                <w:color w:val="auto"/>
                <w:kern w:val="0"/>
                <w:sz w:val="24"/>
              </w:rPr>
              <w:t>冷链配送车辆：①若是自有产权的提供行驶证复印件；②若是租赁的提供租赁合作协议和租赁车辆行驶证复印件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③需提供能清晰显示该车辆为冷链车的相关照片（包含车厢内照片及全车照片等）】</w:t>
            </w:r>
            <w:r>
              <w:rPr>
                <w:rFonts w:hint="eastAsia" w:ascii="宋体" w:hAnsi="宋体" w:cs="宋体"/>
                <w:color w:val="auto"/>
                <w:kern w:val="0"/>
                <w:sz w:val="24"/>
              </w:rPr>
              <w:t>，</w:t>
            </w:r>
            <w:r>
              <w:rPr>
                <w:rFonts w:hint="eastAsia" w:ascii="宋体" w:hAnsi="宋体" w:cs="宋体"/>
                <w:color w:val="auto"/>
                <w:kern w:val="0"/>
                <w:sz w:val="24"/>
                <w:highlight w:val="none"/>
              </w:rPr>
              <w:t>未提供或未按照上述要求提供的</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A12、商品品种</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根据各投标人所提供经营商品品种数量进行评分：品种数量≥20000种的得</w:t>
            </w:r>
            <w:r>
              <w:rPr>
                <w:rFonts w:hint="eastAsia" w:ascii="宋体" w:hAnsi="宋体" w:cs="宋体"/>
                <w:color w:val="auto"/>
                <w:kern w:val="0"/>
                <w:sz w:val="24"/>
                <w:lang w:val="en-US" w:eastAsia="zh-CN"/>
              </w:rPr>
              <w:t>3</w:t>
            </w:r>
            <w:r>
              <w:rPr>
                <w:rFonts w:hint="eastAsia" w:ascii="宋体" w:hAnsi="宋体" w:cs="宋体"/>
                <w:color w:val="auto"/>
                <w:kern w:val="0"/>
                <w:sz w:val="24"/>
              </w:rPr>
              <w:t>分，10000种≤品种数量＜20000种的得</w:t>
            </w:r>
            <w:r>
              <w:rPr>
                <w:rFonts w:hint="eastAsia" w:ascii="宋体" w:hAnsi="宋体" w:cs="宋体"/>
                <w:color w:val="auto"/>
                <w:kern w:val="0"/>
                <w:sz w:val="24"/>
                <w:lang w:val="en-US" w:eastAsia="zh-CN"/>
              </w:rPr>
              <w:t>2</w:t>
            </w:r>
            <w:r>
              <w:rPr>
                <w:rFonts w:hint="eastAsia" w:ascii="宋体" w:hAnsi="宋体" w:cs="宋体"/>
                <w:color w:val="auto"/>
                <w:kern w:val="0"/>
                <w:sz w:val="24"/>
              </w:rPr>
              <w:t>分，5000种≤品种数量＜10000种的得</w:t>
            </w:r>
            <w:r>
              <w:rPr>
                <w:rFonts w:hint="eastAsia" w:ascii="宋体" w:hAnsi="宋体" w:cs="宋体"/>
                <w:color w:val="auto"/>
                <w:kern w:val="0"/>
                <w:sz w:val="24"/>
                <w:lang w:val="en-US" w:eastAsia="zh-CN"/>
              </w:rPr>
              <w:t>1</w:t>
            </w:r>
            <w:r>
              <w:rPr>
                <w:rFonts w:hint="eastAsia" w:ascii="宋体" w:hAnsi="宋体" w:cs="宋体"/>
                <w:color w:val="auto"/>
                <w:kern w:val="0"/>
                <w:sz w:val="24"/>
              </w:rPr>
              <w:t>分，品种数量＜5000种的不得分。（须提供商品品种清单，未提供本项不得分）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756"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A13、现场陈述</w:t>
            </w:r>
            <w:r>
              <w:rPr>
                <w:rFonts w:hint="eastAsia" w:ascii="宋体" w:hAnsi="宋体" w:cs="宋体"/>
                <w:color w:val="auto"/>
                <w:kern w:val="0"/>
                <w:sz w:val="24"/>
                <w:highlight w:val="none"/>
              </w:rPr>
              <w:t>和演示</w:t>
            </w: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A13.1、根据</w:t>
            </w:r>
            <w:r>
              <w:rPr>
                <w:rFonts w:hint="eastAsia" w:ascii="宋体" w:hAnsi="宋体" w:cs="宋体"/>
                <w:color w:val="auto"/>
                <w:kern w:val="0"/>
                <w:sz w:val="24"/>
                <w:lang w:val="en-US" w:eastAsia="zh-CN"/>
              </w:rPr>
              <w:t>投标人</w:t>
            </w:r>
            <w:r>
              <w:rPr>
                <w:rFonts w:hint="eastAsia" w:ascii="宋体" w:hAnsi="宋体" w:cs="宋体"/>
                <w:color w:val="auto"/>
                <w:kern w:val="0"/>
                <w:sz w:val="24"/>
              </w:rPr>
              <w:t>对所投项目慰问品的</w:t>
            </w: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方案(包括但不限于充分了解采购人需求选定套餐、应急响应、成功案例等)</w:t>
            </w:r>
            <w:r>
              <w:rPr>
                <w:rFonts w:hint="eastAsia" w:ascii="宋体" w:hAnsi="宋体" w:cs="宋体"/>
                <w:color w:val="auto"/>
                <w:kern w:val="0"/>
                <w:sz w:val="24"/>
              </w:rPr>
              <w:t>陈述情况进行评分：方案详细、符合采购人需求、现场陈述完整的得3分；方案较为详细、大部分符合采购人需求、现场陈述较为完整的得2分；方案详细性一般、符合采购人需求、现场陈述完整的得1分。未现场陈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highlight w:val="none"/>
              </w:rPr>
            </w:pPr>
          </w:p>
        </w:tc>
        <w:tc>
          <w:tcPr>
            <w:tcW w:w="446"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797" w:type="pct"/>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A13.2、</w:t>
            </w:r>
            <w:r>
              <w:rPr>
                <w:rFonts w:hint="eastAsia" w:ascii="宋体" w:hAnsi="宋体" w:cs="宋体"/>
                <w:color w:val="auto"/>
                <w:kern w:val="0"/>
                <w:sz w:val="24"/>
              </w:rPr>
              <w:t>投标人拥有互联网商城支持电脑平台下单或支持手机APP（或小程序等）下单功能的</w:t>
            </w:r>
            <w:r>
              <w:rPr>
                <w:rFonts w:hint="eastAsia" w:ascii="宋体" w:hAnsi="宋体" w:cs="宋体"/>
                <w:color w:val="auto"/>
                <w:kern w:val="0"/>
                <w:sz w:val="24"/>
                <w:lang w:eastAsia="zh-CN"/>
              </w:rPr>
              <w:t>，</w:t>
            </w:r>
            <w:r>
              <w:rPr>
                <w:rFonts w:hint="eastAsia" w:ascii="宋体" w:hAnsi="宋体" w:cs="宋体"/>
                <w:color w:val="auto"/>
                <w:kern w:val="0"/>
                <w:sz w:val="24"/>
                <w:highlight w:val="none"/>
                <w:lang w:val="en-US" w:eastAsia="zh-CN"/>
              </w:rPr>
              <w:t>投标人须针对</w:t>
            </w:r>
            <w:r>
              <w:rPr>
                <w:rFonts w:hint="eastAsia" w:ascii="宋体" w:hAnsi="宋体" w:cs="宋体"/>
                <w:color w:val="auto"/>
                <w:kern w:val="0"/>
                <w:sz w:val="24"/>
                <w:highlight w:val="none"/>
              </w:rPr>
              <w:t>在互联网商城或手机APP（或小程序）等进行网络下单的整个流程进行现场操作</w:t>
            </w:r>
            <w:r>
              <w:rPr>
                <w:rFonts w:hint="eastAsia" w:ascii="宋体" w:hAnsi="宋体" w:cs="宋体"/>
                <w:color w:val="auto"/>
                <w:kern w:val="0"/>
                <w:sz w:val="24"/>
                <w:highlight w:val="none"/>
                <w:lang w:val="en-US" w:eastAsia="zh-CN"/>
              </w:rPr>
              <w:t>演示</w:t>
            </w:r>
            <w:r>
              <w:rPr>
                <w:rFonts w:hint="eastAsia" w:ascii="宋体" w:hAnsi="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lang w:eastAsia="zh-CN"/>
              </w:rPr>
            </w:pPr>
            <w:r>
              <w:rPr>
                <w:rFonts w:hint="eastAsia" w:ascii="宋体" w:hAnsi="宋体" w:cs="宋体"/>
                <w:color w:val="auto"/>
                <w:kern w:val="0"/>
                <w:sz w:val="24"/>
                <w:highlight w:val="none"/>
                <w:lang w:val="en-US" w:eastAsia="zh-CN"/>
              </w:rPr>
              <w:t>①演示界面</w:t>
            </w:r>
            <w:r>
              <w:rPr>
                <w:rFonts w:hint="eastAsia" w:ascii="宋体" w:hAnsi="宋体" w:cs="宋体"/>
                <w:color w:val="auto"/>
                <w:kern w:val="0"/>
                <w:sz w:val="24"/>
              </w:rPr>
              <w:t>至少包含购物首页、登录界面、分类界面、购物界面、结算支付界面等</w:t>
            </w:r>
            <w:r>
              <w:rPr>
                <w:rFonts w:hint="eastAsia" w:ascii="宋体" w:hAnsi="宋体" w:cs="宋体"/>
                <w:color w:val="auto"/>
                <w:kern w:val="0"/>
                <w:sz w:val="24"/>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lang w:val="en-US" w:eastAsia="zh-CN"/>
              </w:rPr>
              <w:t>②演示流程至少包含</w:t>
            </w:r>
            <w:r>
              <w:rPr>
                <w:rFonts w:hint="eastAsia" w:ascii="宋体" w:hAnsi="宋体" w:cs="宋体"/>
                <w:color w:val="auto"/>
                <w:kern w:val="0"/>
                <w:sz w:val="24"/>
                <w:highlight w:val="none"/>
              </w:rPr>
              <w:t>页面登录、商品选择、下单支付等</w:t>
            </w:r>
            <w:r>
              <w:rPr>
                <w:rFonts w:hint="eastAsia" w:ascii="宋体" w:hAnsi="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pPr>
            <w:r>
              <w:rPr>
                <w:rFonts w:hint="eastAsia" w:ascii="宋体" w:hAnsi="宋体" w:cs="宋体"/>
                <w:color w:val="auto"/>
                <w:kern w:val="0"/>
                <w:sz w:val="24"/>
                <w:highlight w:val="none"/>
              </w:rPr>
              <w:t>由评委根据其可操作性和便捷性进行评分</w:t>
            </w:r>
            <w:r>
              <w:rPr>
                <w:rFonts w:hint="eastAsia" w:ascii="宋体" w:hAnsi="宋体" w:cs="宋体"/>
                <w:color w:val="auto"/>
                <w:kern w:val="0"/>
                <w:sz w:val="24"/>
                <w:highlight w:val="none"/>
                <w:lang w:eastAsia="zh-CN"/>
              </w:rPr>
              <w:t>：①</w:t>
            </w:r>
            <w:r>
              <w:rPr>
                <w:rFonts w:hint="eastAsia" w:ascii="宋体" w:hAnsi="宋体" w:cs="宋体"/>
                <w:color w:val="auto"/>
                <w:kern w:val="0"/>
                <w:sz w:val="24"/>
                <w:highlight w:val="none"/>
                <w:lang w:val="en-US" w:eastAsia="zh-CN"/>
              </w:rPr>
              <w:t>演示界面完整、全面，</w:t>
            </w:r>
            <w:r>
              <w:rPr>
                <w:rFonts w:hint="eastAsia" w:ascii="宋体" w:hAnsi="宋体" w:cs="宋体"/>
                <w:color w:val="auto"/>
                <w:kern w:val="0"/>
                <w:sz w:val="24"/>
                <w:highlight w:val="none"/>
              </w:rPr>
              <w:t>操作简单、方便的得3分；</w:t>
            </w:r>
            <w:r>
              <w:rPr>
                <w:rFonts w:hint="eastAsia" w:ascii="宋体" w:hAnsi="宋体" w:cs="宋体"/>
                <w:color w:val="auto"/>
                <w:kern w:val="0"/>
                <w:sz w:val="24"/>
                <w:highlight w:val="none"/>
                <w:lang w:eastAsia="zh-CN"/>
              </w:rPr>
              <w:t>②</w:t>
            </w:r>
            <w:r>
              <w:rPr>
                <w:rFonts w:hint="eastAsia" w:ascii="宋体" w:hAnsi="宋体" w:cs="宋体"/>
                <w:color w:val="auto"/>
                <w:kern w:val="0"/>
                <w:sz w:val="24"/>
                <w:highlight w:val="none"/>
                <w:lang w:val="en-US" w:eastAsia="zh-CN"/>
              </w:rPr>
              <w:t>演示界面较完整、</w:t>
            </w:r>
            <w:r>
              <w:rPr>
                <w:rFonts w:hint="eastAsia" w:ascii="宋体" w:hAnsi="宋体" w:cs="宋体"/>
                <w:color w:val="auto"/>
                <w:kern w:val="0"/>
                <w:sz w:val="24"/>
                <w:highlight w:val="none"/>
              </w:rPr>
              <w:t>操作较简单、方便的得2分；</w:t>
            </w:r>
            <w:r>
              <w:rPr>
                <w:rFonts w:hint="eastAsia" w:ascii="宋体" w:hAnsi="宋体" w:cs="宋体"/>
                <w:color w:val="auto"/>
                <w:kern w:val="0"/>
                <w:sz w:val="24"/>
                <w:highlight w:val="none"/>
                <w:lang w:eastAsia="zh-CN"/>
              </w:rPr>
              <w:t>③</w:t>
            </w:r>
            <w:r>
              <w:rPr>
                <w:rFonts w:hint="eastAsia" w:ascii="宋体" w:hAnsi="宋体" w:cs="宋体"/>
                <w:color w:val="auto"/>
                <w:kern w:val="0"/>
                <w:sz w:val="24"/>
                <w:highlight w:val="none"/>
                <w:lang w:val="en-US" w:eastAsia="zh-CN"/>
              </w:rPr>
              <w:t>演示界面较简单、</w:t>
            </w:r>
            <w:r>
              <w:rPr>
                <w:rFonts w:hint="eastAsia" w:ascii="宋体" w:hAnsi="宋体" w:cs="宋体"/>
                <w:color w:val="auto"/>
                <w:kern w:val="0"/>
                <w:sz w:val="24"/>
                <w:highlight w:val="none"/>
              </w:rPr>
              <w:t>操作便捷性一般的得1分；</w:t>
            </w:r>
            <w:r>
              <w:rPr>
                <w:rFonts w:hint="eastAsia" w:ascii="宋体" w:hAnsi="宋体" w:cs="宋体"/>
                <w:color w:val="auto"/>
                <w:kern w:val="0"/>
                <w:sz w:val="24"/>
                <w:highlight w:val="none"/>
                <w:lang w:eastAsia="zh-CN"/>
              </w:rPr>
              <w:t>④</w:t>
            </w:r>
            <w:r>
              <w:rPr>
                <w:rFonts w:hint="eastAsia" w:ascii="宋体" w:hAnsi="宋体" w:cs="宋体"/>
                <w:color w:val="auto"/>
                <w:kern w:val="0"/>
                <w:sz w:val="24"/>
                <w:highlight w:val="none"/>
              </w:rPr>
              <w:t>未提供现场</w:t>
            </w:r>
            <w:r>
              <w:rPr>
                <w:rFonts w:hint="eastAsia" w:ascii="宋体" w:hAnsi="宋体" w:cs="宋体"/>
                <w:color w:val="auto"/>
                <w:kern w:val="0"/>
                <w:sz w:val="24"/>
                <w:highlight w:val="none"/>
                <w:lang w:val="en-US" w:eastAsia="zh-CN"/>
              </w:rPr>
              <w:t>演示</w:t>
            </w:r>
            <w:r>
              <w:rPr>
                <w:rFonts w:hint="eastAsia" w:ascii="宋体" w:hAnsi="宋体" w:cs="宋体"/>
                <w:color w:val="auto"/>
                <w:kern w:val="0"/>
                <w:sz w:val="24"/>
                <w:highlight w:val="none"/>
              </w:rPr>
              <w:t>的本项不得分。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注：现场陈述及演示内容不得出现报价相关信息。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highlight w:val="none"/>
              </w:rPr>
            </w:pPr>
          </w:p>
        </w:tc>
        <w:tc>
          <w:tcPr>
            <w:tcW w:w="4243"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注：投标人需提供现场</w:t>
            </w:r>
            <w:r>
              <w:rPr>
                <w:rFonts w:hint="eastAsia" w:ascii="宋体" w:hAnsi="宋体" w:cs="宋体"/>
                <w:color w:val="auto"/>
                <w:kern w:val="0"/>
                <w:sz w:val="24"/>
                <w:highlight w:val="none"/>
              </w:rPr>
              <w:t>互联网商城或手机APP（或小程序）</w:t>
            </w:r>
            <w:r>
              <w:rPr>
                <w:rFonts w:hint="eastAsia" w:ascii="宋体" w:hAnsi="宋体" w:cs="宋体"/>
                <w:color w:val="auto"/>
                <w:kern w:val="0"/>
                <w:sz w:val="24"/>
                <w:highlight w:val="none"/>
                <w:lang w:val="en-US" w:eastAsia="zh-CN"/>
              </w:rPr>
              <w:t>下单演示（不接受静态图片和PPT、视频演示、文字、录音），陈述及演示的总时间原则上不超过15分钟/家，演示将在开标当日由评委确定具体时间。投标人须自备演示设备和演示内容。</w:t>
            </w:r>
          </w:p>
        </w:tc>
      </w:tr>
    </w:tbl>
    <w:p>
      <w:pPr>
        <w:pStyle w:val="19"/>
        <w:widowControl/>
        <w:shd w:val="clear" w:color="auto" w:fill="FFFFFF"/>
        <w:spacing w:before="0" w:beforeAutospacing="0" w:after="0" w:afterAutospacing="0"/>
        <w:ind w:firstLine="480" w:firstLineChars="200"/>
        <w:rPr>
          <w:rFonts w:asciiTheme="minorEastAsia" w:hAnsiTheme="minorEastAsia" w:eastAsiaTheme="minorEastAsia" w:cstheme="minorEastAsia"/>
          <w:color w:val="auto"/>
          <w:highlight w:val="none"/>
          <w:shd w:val="clear" w:color="auto" w:fill="FFFFFF"/>
        </w:rPr>
      </w:pPr>
    </w:p>
    <w:p>
      <w:pPr>
        <w:pStyle w:val="19"/>
        <w:widowControl/>
        <w:shd w:val="clear" w:color="auto" w:fill="FFFFFF"/>
        <w:spacing w:before="0" w:beforeAutospacing="0" w:after="0" w:afterAutospacing="0"/>
        <w:ind w:firstLine="480" w:firstLineChars="20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③F3为商务项，满分为</w:t>
      </w:r>
      <w:r>
        <w:rPr>
          <w:rFonts w:hint="eastAsia" w:asciiTheme="minorEastAsia" w:hAnsiTheme="minorEastAsia" w:eastAsiaTheme="minorEastAsia" w:cstheme="minorEastAsia"/>
          <w:color w:val="auto"/>
          <w:highlight w:val="none"/>
          <w:u w:val="single"/>
          <w:shd w:val="clear" w:color="auto" w:fill="FFFFFF"/>
          <w:lang w:val="en-US" w:eastAsia="zh-CN"/>
        </w:rPr>
        <w:t>15</w:t>
      </w:r>
      <w:r>
        <w:rPr>
          <w:rFonts w:hint="eastAsia" w:asciiTheme="minorEastAsia" w:hAnsiTheme="minorEastAsia" w:eastAsiaTheme="minorEastAsia" w:cstheme="minorEastAsia"/>
          <w:color w:val="auto"/>
          <w:highlight w:val="none"/>
          <w:shd w:val="clear" w:color="auto" w:fill="FFFFFF"/>
        </w:rPr>
        <w:t>分。</w:t>
      </w:r>
    </w:p>
    <w:tbl>
      <w:tblPr>
        <w:tblStyle w:val="24"/>
        <w:tblW w:w="4998" w:type="pct"/>
        <w:tblInd w:w="0" w:type="dxa"/>
        <w:tblLayout w:type="autofit"/>
        <w:tblCellMar>
          <w:top w:w="0" w:type="dxa"/>
          <w:left w:w="108" w:type="dxa"/>
          <w:bottom w:w="0" w:type="dxa"/>
          <w:right w:w="108" w:type="dxa"/>
        </w:tblCellMar>
      </w:tblPr>
      <w:tblGrid>
        <w:gridCol w:w="1868"/>
        <w:gridCol w:w="797"/>
        <w:gridCol w:w="6619"/>
      </w:tblGrid>
      <w:tr>
        <w:tblPrEx>
          <w:tblCellMar>
            <w:top w:w="0" w:type="dxa"/>
            <w:left w:w="108" w:type="dxa"/>
            <w:bottom w:w="0" w:type="dxa"/>
            <w:right w:w="108" w:type="dxa"/>
          </w:tblCellMar>
        </w:tblPrEx>
        <w:trPr>
          <w:trHeight w:val="598" w:hRule="atLeast"/>
        </w:trPr>
        <w:tc>
          <w:tcPr>
            <w:tcW w:w="100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评标项目</w:t>
            </w:r>
          </w:p>
        </w:tc>
        <w:tc>
          <w:tcPr>
            <w:tcW w:w="4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评标分值</w:t>
            </w:r>
          </w:p>
        </w:tc>
        <w:tc>
          <w:tcPr>
            <w:tcW w:w="35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评标方法描述</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B1、质量管理体系认证</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根据投标人具有ISO9001质量管理体系认证得1分。须提供相关证明材料复印件并加盖公章，未提供的不得分。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B2、环境管理体系认证</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根据投标人具有ISO14001环境管理体系认证得1分。须提供相关证明材料复印件并加盖公章，未提供的不得分。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B3、职业健康安全管理体系认证</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根据投标人具有ISO45001职业健康安全管理体系认证得1分。须提供相关证明材料复印件并加盖公章，未提供的不得分。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B4、食品安全管理体系认证</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根据投标人具有通过ISO 22000食品安全管理体系认证得1分。须提供相关证明材料复印件并加盖公章，未提供的不得分。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B5、获奖情况</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default" w:eastAsia="仿宋_GB2312"/>
                <w:color w:val="auto"/>
                <w:lang w:val="en-US" w:eastAsia="zh-CN"/>
              </w:rPr>
            </w:pPr>
            <w:r>
              <w:rPr>
                <w:rFonts w:hint="eastAsia" w:ascii="宋体" w:hAnsi="宋体" w:eastAsia="宋体" w:cs="宋体"/>
                <w:color w:val="auto"/>
                <w:kern w:val="0"/>
                <w:sz w:val="24"/>
                <w:szCs w:val="24"/>
                <w:lang w:val="en-US" w:eastAsia="zh-CN" w:bidi="ar-SA"/>
              </w:rPr>
              <w:t>根据投标人自</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年1月1日</w:t>
            </w:r>
            <w:r>
              <w:rPr>
                <w:rFonts w:hint="eastAsia" w:ascii="宋体" w:hAnsi="宋体" w:eastAsia="宋体" w:cs="宋体"/>
                <w:color w:val="auto"/>
                <w:kern w:val="0"/>
                <w:sz w:val="24"/>
                <w:szCs w:val="24"/>
                <w:lang w:val="en-US" w:eastAsia="zh-CN" w:bidi="ar-SA"/>
              </w:rPr>
              <w:t>以来获得市场监管局或工商行政管理局等行政部门颁发的荣誉证书或荣誉称号的，每提供一份证明材料得</w:t>
            </w:r>
            <w:r>
              <w:rPr>
                <w:rFonts w:hint="eastAsia" w:ascii="宋体"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分，满分</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rPr>
              <w:t>须提供相关证明材料复印件并加盖公章</w:t>
            </w:r>
            <w:r>
              <w:rPr>
                <w:rFonts w:hint="eastAsia" w:ascii="宋体" w:hAnsi="宋体" w:eastAsia="宋体" w:cs="宋体"/>
                <w:color w:val="auto"/>
                <w:kern w:val="0"/>
                <w:sz w:val="24"/>
                <w:szCs w:val="24"/>
                <w:lang w:val="en-US" w:eastAsia="zh-CN" w:bidi="ar-SA"/>
              </w:rPr>
              <w:t>，相同证书不重复得分，未提供的不得分。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B6、服务</w:t>
            </w:r>
            <w:r>
              <w:rPr>
                <w:rFonts w:hint="eastAsia" w:ascii="宋体" w:hAnsi="宋体" w:cs="宋体"/>
                <w:color w:val="auto"/>
                <w:kern w:val="0"/>
                <w:sz w:val="24"/>
                <w:lang w:val="en-US" w:eastAsia="zh-CN"/>
              </w:rPr>
              <w:t>能力</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3</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根据</w:t>
            </w:r>
            <w:r>
              <w:rPr>
                <w:rFonts w:hint="eastAsia" w:ascii="宋体" w:hAnsi="宋体" w:cs="宋体"/>
                <w:color w:val="auto"/>
                <w:kern w:val="0"/>
                <w:sz w:val="24"/>
                <w:lang w:val="en-US" w:eastAsia="zh-CN"/>
              </w:rPr>
              <w:t>投标人</w:t>
            </w:r>
            <w:r>
              <w:rPr>
                <w:rFonts w:hint="eastAsia" w:ascii="宋体" w:hAnsi="宋体" w:cs="宋体"/>
                <w:color w:val="auto"/>
                <w:kern w:val="0"/>
                <w:sz w:val="24"/>
              </w:rPr>
              <w:t>单个商场固定营业场所面积(指实际营业面积，不含对外出租的单独经营面积) 或固定营业场所数量情况，由评委进行评分：</w:t>
            </w:r>
            <w:r>
              <w:rPr>
                <w:rFonts w:hint="eastAsia" w:ascii="宋体" w:hAnsi="宋体" w:cs="宋体"/>
                <w:color w:val="auto"/>
                <w:kern w:val="0"/>
                <w:sz w:val="24"/>
                <w:lang w:eastAsia="zh-CN"/>
              </w:rPr>
              <w:t>①</w:t>
            </w:r>
            <w:r>
              <w:rPr>
                <w:rFonts w:hint="eastAsia" w:ascii="宋体" w:hAnsi="宋体" w:cs="宋体"/>
                <w:color w:val="auto"/>
                <w:kern w:val="0"/>
                <w:sz w:val="24"/>
              </w:rPr>
              <w:t>单个商场固定营业场所面积≥</w:t>
            </w:r>
            <w:r>
              <w:rPr>
                <w:rFonts w:hint="eastAsia" w:ascii="宋体" w:hAnsi="宋体" w:cs="宋体"/>
                <w:color w:val="auto"/>
                <w:kern w:val="0"/>
                <w:sz w:val="24"/>
                <w:lang w:val="en-US" w:eastAsia="zh-CN"/>
              </w:rPr>
              <w:t>8</w:t>
            </w:r>
            <w:r>
              <w:rPr>
                <w:rFonts w:hint="eastAsia" w:ascii="宋体" w:hAnsi="宋体" w:cs="宋体"/>
                <w:color w:val="auto"/>
                <w:kern w:val="0"/>
                <w:sz w:val="24"/>
              </w:rPr>
              <w:t>000平方米的或固定营业场所数量≥30家的得3分；</w:t>
            </w:r>
            <w:r>
              <w:rPr>
                <w:rFonts w:hint="eastAsia" w:ascii="宋体" w:hAnsi="宋体" w:cs="宋体"/>
                <w:color w:val="auto"/>
                <w:kern w:val="0"/>
                <w:sz w:val="24"/>
                <w:lang w:eastAsia="zh-CN"/>
              </w:rPr>
              <w:t>②</w:t>
            </w:r>
            <w:r>
              <w:rPr>
                <w:rFonts w:hint="eastAsia" w:ascii="宋体" w:hAnsi="宋体" w:cs="宋体"/>
                <w:color w:val="auto"/>
                <w:kern w:val="0"/>
                <w:sz w:val="24"/>
                <w:lang w:val="en-US" w:eastAsia="zh-CN"/>
              </w:rPr>
              <w:t>5</w:t>
            </w:r>
            <w:r>
              <w:rPr>
                <w:rFonts w:hint="eastAsia" w:ascii="宋体" w:hAnsi="宋体" w:cs="宋体"/>
                <w:color w:val="auto"/>
                <w:kern w:val="0"/>
                <w:sz w:val="24"/>
              </w:rPr>
              <w:t>000平方米≤单个商场固定营业场所面积＜</w:t>
            </w:r>
            <w:r>
              <w:rPr>
                <w:rFonts w:hint="eastAsia" w:ascii="宋体" w:hAnsi="宋体" w:cs="宋体"/>
                <w:color w:val="auto"/>
                <w:kern w:val="0"/>
                <w:sz w:val="24"/>
                <w:lang w:val="en-US" w:eastAsia="zh-CN"/>
              </w:rPr>
              <w:t>8</w:t>
            </w:r>
            <w:r>
              <w:rPr>
                <w:rFonts w:hint="eastAsia" w:ascii="宋体" w:hAnsi="宋体" w:cs="宋体"/>
                <w:color w:val="auto"/>
                <w:kern w:val="0"/>
                <w:sz w:val="24"/>
              </w:rPr>
              <w:t>000平方米或20个</w:t>
            </w:r>
            <w:r>
              <w:rPr>
                <w:rFonts w:hint="eastAsia" w:ascii="宋体" w:hAnsi="宋体" w:cs="宋体"/>
                <w:color w:val="auto"/>
                <w:kern w:val="0"/>
                <w:sz w:val="24"/>
                <w:lang w:val="en-US" w:eastAsia="zh-CN"/>
              </w:rPr>
              <w:t>≤</w:t>
            </w:r>
            <w:r>
              <w:rPr>
                <w:rFonts w:hint="eastAsia" w:ascii="宋体" w:hAnsi="宋体" w:cs="宋体"/>
                <w:color w:val="auto"/>
                <w:kern w:val="0"/>
                <w:sz w:val="24"/>
              </w:rPr>
              <w:t>固定营业场所数量＜30家的得2分；</w:t>
            </w:r>
            <w:r>
              <w:rPr>
                <w:rFonts w:hint="eastAsia" w:ascii="宋体" w:hAnsi="宋体" w:cs="宋体"/>
                <w:color w:val="auto"/>
                <w:kern w:val="0"/>
                <w:sz w:val="24"/>
                <w:lang w:eastAsia="zh-CN"/>
              </w:rPr>
              <w:t>③</w:t>
            </w:r>
            <w:r>
              <w:rPr>
                <w:rFonts w:hint="eastAsia" w:ascii="宋体" w:hAnsi="宋体" w:cs="宋体"/>
                <w:color w:val="auto"/>
                <w:kern w:val="0"/>
                <w:sz w:val="24"/>
              </w:rPr>
              <w:t>3000平方米≤单个商场固定营业场所面积＜</w:t>
            </w:r>
            <w:r>
              <w:rPr>
                <w:rFonts w:hint="eastAsia" w:ascii="宋体" w:hAnsi="宋体" w:cs="宋体"/>
                <w:color w:val="auto"/>
                <w:kern w:val="0"/>
                <w:sz w:val="24"/>
                <w:lang w:val="en-US" w:eastAsia="zh-CN"/>
              </w:rPr>
              <w:t>5</w:t>
            </w:r>
            <w:r>
              <w:rPr>
                <w:rFonts w:hint="eastAsia" w:ascii="宋体" w:hAnsi="宋体" w:cs="宋体"/>
                <w:color w:val="auto"/>
                <w:kern w:val="0"/>
                <w:sz w:val="24"/>
              </w:rPr>
              <w:t>000平方米或15家</w:t>
            </w:r>
            <w:r>
              <w:rPr>
                <w:rFonts w:hint="eastAsia" w:ascii="宋体" w:hAnsi="宋体" w:cs="宋体"/>
                <w:color w:val="auto"/>
                <w:kern w:val="0"/>
                <w:sz w:val="24"/>
                <w:lang w:val="en-US" w:eastAsia="zh-CN"/>
              </w:rPr>
              <w:t>≤</w:t>
            </w:r>
            <w:r>
              <w:rPr>
                <w:rFonts w:hint="eastAsia" w:ascii="宋体" w:hAnsi="宋体" w:cs="宋体"/>
                <w:color w:val="auto"/>
                <w:kern w:val="0"/>
                <w:sz w:val="24"/>
              </w:rPr>
              <w:t>固定营业场所数量＜20家的得1分；</w:t>
            </w:r>
            <w:r>
              <w:rPr>
                <w:rFonts w:hint="eastAsia" w:ascii="宋体" w:hAnsi="宋体" w:cs="宋体"/>
                <w:color w:val="auto"/>
                <w:kern w:val="0"/>
                <w:sz w:val="24"/>
                <w:lang w:eastAsia="zh-CN"/>
              </w:rPr>
              <w:t>④</w:t>
            </w:r>
            <w:r>
              <w:rPr>
                <w:rFonts w:hint="eastAsia" w:ascii="宋体" w:hAnsi="宋体" w:cs="宋体"/>
                <w:color w:val="auto"/>
                <w:kern w:val="0"/>
                <w:sz w:val="24"/>
              </w:rPr>
              <w:t>单个商场固定营业场所面积＜3000平方米或固定营业场所数量＜15家的不得分。单个商场固定营业场所面</w:t>
            </w:r>
            <w:r>
              <w:rPr>
                <w:rFonts w:hint="eastAsia" w:ascii="宋体" w:hAnsi="宋体" w:cs="宋体"/>
                <w:color w:val="auto"/>
                <w:kern w:val="0"/>
                <w:sz w:val="24"/>
                <w:highlight w:val="none"/>
              </w:rPr>
              <w:t>积</w:t>
            </w:r>
            <w:r>
              <w:rPr>
                <w:rFonts w:hint="eastAsia" w:ascii="宋体" w:hAnsi="宋体" w:cs="宋体"/>
                <w:color w:val="auto"/>
                <w:kern w:val="0"/>
                <w:sz w:val="24"/>
                <w:highlight w:val="none"/>
                <w:lang w:val="en-US" w:eastAsia="zh-CN"/>
              </w:rPr>
              <w:t>须</w:t>
            </w:r>
            <w:r>
              <w:rPr>
                <w:rFonts w:hint="eastAsia" w:ascii="宋体" w:hAnsi="宋体" w:cs="宋体"/>
                <w:color w:val="auto"/>
                <w:kern w:val="0"/>
                <w:sz w:val="24"/>
                <w:highlight w:val="none"/>
              </w:rPr>
              <w:t>提供单个商场固定营业场所产权证明或租赁合同以及平面图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固定营业场所数量</w:t>
            </w:r>
            <w:r>
              <w:rPr>
                <w:rFonts w:hint="eastAsia" w:ascii="宋体" w:hAnsi="宋体" w:cs="宋体"/>
                <w:color w:val="auto"/>
                <w:kern w:val="0"/>
                <w:sz w:val="24"/>
                <w:highlight w:val="none"/>
                <w:lang w:val="en-US" w:eastAsia="zh-CN"/>
              </w:rPr>
              <w:t>须提供</w:t>
            </w:r>
            <w:r>
              <w:rPr>
                <w:rFonts w:hint="eastAsia" w:ascii="宋体" w:hAnsi="宋体" w:cs="宋体"/>
                <w:color w:val="auto"/>
                <w:kern w:val="0"/>
                <w:sz w:val="24"/>
                <w:highlight w:val="none"/>
              </w:rPr>
              <w:t>有效期内连锁门店营业执照复印件，未提供的不得分。</w:t>
            </w:r>
          </w:p>
        </w:tc>
      </w:tr>
      <w:tr>
        <w:tblPrEx>
          <w:tblCellMar>
            <w:top w:w="0" w:type="dxa"/>
            <w:left w:w="108" w:type="dxa"/>
            <w:bottom w:w="0" w:type="dxa"/>
            <w:right w:w="108" w:type="dxa"/>
          </w:tblCellMar>
        </w:tblPrEx>
        <w:trPr>
          <w:trHeight w:val="335"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B7、仓储配备情况</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3</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rPr>
              <w:t>考虑到供货时间和慰问品数量的要求，投标人具</w:t>
            </w:r>
            <w:r>
              <w:rPr>
                <w:rFonts w:hint="eastAsia" w:ascii="宋体" w:hAnsi="宋体" w:cs="宋体"/>
                <w:color w:val="auto"/>
                <w:kern w:val="0"/>
                <w:sz w:val="24"/>
                <w:highlight w:val="none"/>
              </w:rPr>
              <w:t>有仓储场所面积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由评委进行评分：</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rPr>
              <w:t>仓储场所面积≥3000平方米的得3分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②</w:t>
            </w:r>
            <w:r>
              <w:rPr>
                <w:rFonts w:hint="eastAsia" w:ascii="宋体" w:hAnsi="宋体" w:cs="宋体"/>
                <w:color w:val="auto"/>
                <w:kern w:val="0"/>
                <w:sz w:val="24"/>
                <w:highlight w:val="none"/>
              </w:rPr>
              <w:t>2000平方米≤面积＜3000平方米的得2分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1000平方米＜面积</w:t>
            </w:r>
            <w:r>
              <w:rPr>
                <w:rFonts w:hint="eastAsia" w:ascii="宋体" w:hAnsi="宋体" w:cs="宋体"/>
                <w:color w:val="auto"/>
                <w:kern w:val="0"/>
                <w:sz w:val="24"/>
              </w:rPr>
              <w:t>≤2000平方米的得1分</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④</w:t>
            </w:r>
            <w:r>
              <w:rPr>
                <w:rFonts w:hint="eastAsia" w:ascii="宋体" w:hAnsi="宋体" w:cs="宋体"/>
                <w:color w:val="auto"/>
                <w:kern w:val="0"/>
                <w:sz w:val="24"/>
              </w:rPr>
              <w:t>面积＜1000平方米的不得分。须提供仓储场所证明材料复印件，如产权证明或租赁合同等，未提供的不得分</w:t>
            </w:r>
            <w:r>
              <w:rPr>
                <w:rFonts w:hint="eastAsia" w:ascii="宋体" w:hAnsi="宋体" w:cs="宋体"/>
                <w:color w:val="auto"/>
                <w:kern w:val="0"/>
                <w:sz w:val="24"/>
                <w:lang w:eastAsia="zh-CN"/>
              </w:rPr>
              <w:t>。</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B8、业绩情况</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根据</w:t>
            </w:r>
            <w:r>
              <w:rPr>
                <w:rFonts w:hint="eastAsia" w:ascii="宋体" w:hAnsi="宋体" w:cs="宋体"/>
                <w:color w:val="auto"/>
                <w:kern w:val="0"/>
                <w:sz w:val="24"/>
                <w:lang w:val="en-US" w:eastAsia="zh-CN"/>
              </w:rPr>
              <w:t>投标人</w:t>
            </w:r>
            <w:r>
              <w:rPr>
                <w:rFonts w:hint="eastAsia" w:ascii="宋体" w:hAnsi="宋体" w:cs="宋体"/>
                <w:color w:val="auto"/>
                <w:kern w:val="0"/>
                <w:sz w:val="24"/>
              </w:rPr>
              <w:t>提供自</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年1月1日起</w:t>
            </w:r>
            <w:r>
              <w:rPr>
                <w:rFonts w:hint="eastAsia" w:ascii="宋体" w:hAnsi="宋体" w:cs="宋体"/>
                <w:color w:val="auto"/>
                <w:kern w:val="0"/>
                <w:sz w:val="24"/>
              </w:rPr>
              <w:t>至本项目投标截止时间止(合同签订日期为准),由投标人在国内独立完成或正在履行的与本项目类似业绩情况进行打分，每提供一份业绩的得0.5分，满分</w:t>
            </w:r>
            <w:r>
              <w:rPr>
                <w:rFonts w:hint="eastAsia" w:ascii="宋体" w:hAnsi="宋体" w:cs="宋体"/>
                <w:color w:val="auto"/>
                <w:kern w:val="0"/>
                <w:sz w:val="24"/>
                <w:lang w:val="en-US" w:eastAsia="zh-CN"/>
              </w:rPr>
              <w:t>1</w:t>
            </w:r>
            <w:r>
              <w:rPr>
                <w:rFonts w:hint="eastAsia" w:ascii="宋体" w:hAnsi="宋体" w:cs="宋体"/>
                <w:color w:val="auto"/>
                <w:kern w:val="0"/>
                <w:sz w:val="24"/>
              </w:rPr>
              <w:t>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注：</w:t>
            </w:r>
            <w:r>
              <w:rPr>
                <w:rFonts w:hint="eastAsia" w:ascii="宋体" w:hAnsi="宋体" w:cs="宋体"/>
                <w:color w:val="auto"/>
                <w:kern w:val="0"/>
                <w:sz w:val="24"/>
                <w:lang w:val="en-US" w:eastAsia="zh-CN"/>
              </w:rPr>
              <w:t>①</w:t>
            </w:r>
            <w:r>
              <w:rPr>
                <w:rFonts w:ascii="宋体" w:hAnsi="宋体" w:eastAsia="宋体" w:cs="宋体"/>
                <w:color w:val="auto"/>
                <w:kern w:val="0"/>
                <w:sz w:val="24"/>
                <w:szCs w:val="24"/>
                <w:lang w:val="en-US" w:eastAsia="zh-CN" w:bidi="ar"/>
              </w:rPr>
              <w:t>投标人应如实提供该业绩项目的中标</w:t>
            </w:r>
            <w:r>
              <w:rPr>
                <w:rFonts w:hint="eastAsia" w:ascii="宋体" w:hAnsi="宋体" w:eastAsia="宋体" w:cs="宋体"/>
                <w:color w:val="auto"/>
                <w:kern w:val="0"/>
                <w:sz w:val="24"/>
                <w:szCs w:val="24"/>
                <w:lang w:val="en-US" w:eastAsia="zh-CN" w:bidi="ar"/>
              </w:rPr>
              <w:t>（成交）</w:t>
            </w:r>
            <w:r>
              <w:rPr>
                <w:rFonts w:ascii="宋体" w:hAnsi="宋体" w:eastAsia="宋体" w:cs="宋体"/>
                <w:color w:val="auto"/>
                <w:kern w:val="0"/>
                <w:sz w:val="24"/>
                <w:szCs w:val="24"/>
                <w:lang w:val="en-US" w:eastAsia="zh-CN" w:bidi="ar"/>
              </w:rPr>
              <w:t>公告（提供相关网站中标公告的下载网页并注明网址）、中标</w:t>
            </w:r>
            <w:r>
              <w:rPr>
                <w:rFonts w:hint="eastAsia" w:ascii="宋体" w:hAnsi="宋体" w:eastAsia="宋体" w:cs="宋体"/>
                <w:color w:val="auto"/>
                <w:kern w:val="0"/>
                <w:sz w:val="24"/>
                <w:szCs w:val="24"/>
                <w:lang w:val="en-US" w:eastAsia="zh-CN" w:bidi="ar"/>
              </w:rPr>
              <w:t>（成交）</w:t>
            </w:r>
            <w:r>
              <w:rPr>
                <w:rFonts w:ascii="宋体" w:hAnsi="宋体" w:eastAsia="宋体" w:cs="宋体"/>
                <w:color w:val="auto"/>
                <w:kern w:val="0"/>
                <w:sz w:val="24"/>
                <w:szCs w:val="24"/>
                <w:lang w:val="en-US" w:eastAsia="zh-CN" w:bidi="ar"/>
              </w:rPr>
              <w:t>通知书复印件、采购合同文本复印件，</w:t>
            </w:r>
            <w:r>
              <w:rPr>
                <w:rFonts w:hint="eastAsia" w:ascii="宋体" w:hAnsi="宋体" w:cs="宋体"/>
                <w:color w:val="auto"/>
                <w:kern w:val="0"/>
                <w:sz w:val="24"/>
              </w:rPr>
              <w:t>以及合同期内采购人的任意付款凭证复印件（或验收证明）</w:t>
            </w:r>
            <w:r>
              <w:rPr>
                <w:rFonts w:ascii="宋体" w:hAnsi="宋体" w:eastAsia="宋体" w:cs="宋体"/>
                <w:color w:val="auto"/>
                <w:kern w:val="0"/>
                <w:sz w:val="24"/>
                <w:szCs w:val="24"/>
                <w:lang w:val="en-US" w:eastAsia="zh-CN" w:bidi="ar"/>
              </w:rPr>
              <w:t>。未提供完整证明文件复印件的不得分；评标过程中如发现填报不实，本项不得分。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 w:val="24"/>
                <w:lang w:val="en-US" w:eastAsia="zh-CN"/>
              </w:rPr>
              <w:t>②</w:t>
            </w:r>
            <w:r>
              <w:rPr>
                <w:rFonts w:hint="eastAsia" w:ascii="宋体" w:hAnsi="宋体" w:cs="宋体"/>
                <w:b/>
                <w:bCs/>
                <w:color w:val="auto"/>
                <w:kern w:val="0"/>
                <w:sz w:val="24"/>
              </w:rPr>
              <w:t>B8、B9项提供同一业绩证明材料的不重复得分。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B9、满意度情况</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rPr>
              <w:t>根据</w:t>
            </w:r>
            <w:r>
              <w:rPr>
                <w:rFonts w:hint="eastAsia" w:ascii="宋体" w:hAnsi="宋体" w:cs="宋体"/>
                <w:color w:val="auto"/>
                <w:kern w:val="0"/>
                <w:sz w:val="24"/>
                <w:lang w:val="en-US" w:eastAsia="zh-CN"/>
              </w:rPr>
              <w:t>投标人</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年1月1日</w:t>
            </w:r>
            <w:r>
              <w:rPr>
                <w:rFonts w:hint="eastAsia" w:ascii="宋体" w:hAnsi="宋体" w:cs="宋体"/>
                <w:color w:val="auto"/>
                <w:kern w:val="0"/>
                <w:sz w:val="24"/>
              </w:rPr>
              <w:t>起至本次投标截止日期前(日期以合同签订日期为准)由投标人自身在国内所完成类似项目满意度情况进行评分，每提供一份得</w:t>
            </w:r>
            <w:r>
              <w:rPr>
                <w:rFonts w:hint="eastAsia" w:ascii="宋体" w:hAnsi="宋体" w:cs="宋体"/>
                <w:color w:val="auto"/>
                <w:kern w:val="0"/>
                <w:sz w:val="24"/>
                <w:lang w:val="en-US" w:eastAsia="zh-CN"/>
              </w:rPr>
              <w:t>0.5</w:t>
            </w:r>
            <w:r>
              <w:rPr>
                <w:rFonts w:hint="eastAsia" w:ascii="宋体" w:hAnsi="宋体" w:cs="宋体"/>
                <w:color w:val="auto"/>
                <w:kern w:val="0"/>
                <w:sz w:val="24"/>
              </w:rPr>
              <w:t>分，满分</w:t>
            </w:r>
            <w:r>
              <w:rPr>
                <w:rFonts w:hint="eastAsia" w:ascii="宋体" w:hAnsi="宋体" w:cs="宋体"/>
                <w:color w:val="auto"/>
                <w:kern w:val="0"/>
                <w:sz w:val="24"/>
                <w:lang w:val="en-US" w:eastAsia="zh-CN"/>
              </w:rPr>
              <w:t>1</w:t>
            </w:r>
            <w:r>
              <w:rPr>
                <w:rFonts w:hint="eastAsia" w:ascii="宋体" w:hAnsi="宋体" w:cs="宋体"/>
                <w:color w:val="auto"/>
                <w:kern w:val="0"/>
                <w:sz w:val="24"/>
              </w:rPr>
              <w:t xml:space="preserve">分。 </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4"/>
              </w:rPr>
            </w:pPr>
            <w:r>
              <w:rPr>
                <w:rFonts w:hint="eastAsia" w:ascii="宋体" w:hAnsi="宋体" w:cs="宋体"/>
                <w:color w:val="auto"/>
                <w:kern w:val="0"/>
                <w:sz w:val="24"/>
                <w:lang w:val="en-US" w:eastAsia="zh-CN"/>
              </w:rPr>
              <w:t>注：①</w:t>
            </w:r>
            <w:r>
              <w:rPr>
                <w:rFonts w:ascii="宋体" w:hAnsi="宋体" w:eastAsia="宋体" w:cs="宋体"/>
                <w:color w:val="auto"/>
                <w:kern w:val="0"/>
                <w:sz w:val="24"/>
                <w:szCs w:val="24"/>
                <w:lang w:val="en-US" w:eastAsia="zh-CN" w:bidi="ar"/>
              </w:rPr>
              <w:t>投标人应如实提供</w:t>
            </w:r>
            <w:r>
              <w:rPr>
                <w:rFonts w:hint="eastAsia" w:ascii="宋体" w:hAnsi="宋体" w:cs="宋体"/>
                <w:color w:val="auto"/>
                <w:kern w:val="0"/>
                <w:sz w:val="24"/>
              </w:rPr>
              <w:t>业主方出具的满意评价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评价</w:t>
            </w:r>
            <w:r>
              <w:rPr>
                <w:rFonts w:hint="eastAsia" w:ascii="宋体" w:hAnsi="宋体" w:cs="宋体"/>
                <w:color w:val="000000"/>
                <w:sz w:val="24"/>
                <w:highlight w:val="none"/>
              </w:rPr>
              <w:t>意见为肯定性意见</w:t>
            </w:r>
            <w:r>
              <w:rPr>
                <w:rFonts w:hint="eastAsia" w:ascii="宋体" w:hAnsi="宋体" w:cs="宋体"/>
                <w:color w:val="auto"/>
                <w:kern w:val="0"/>
                <w:sz w:val="24"/>
                <w:lang w:eastAsia="zh-CN"/>
              </w:rPr>
              <w:t>（</w:t>
            </w:r>
            <w:r>
              <w:rPr>
                <w:rFonts w:hint="eastAsia" w:ascii="宋体" w:hAnsi="宋体" w:cs="宋体"/>
                <w:color w:val="000000"/>
                <w:sz w:val="24"/>
                <w:highlight w:val="none"/>
              </w:rPr>
              <w:t>如满意、良好及以上，或</w:t>
            </w:r>
            <w:r>
              <w:rPr>
                <w:rFonts w:hint="eastAsia" w:ascii="宋体" w:hAnsi="宋体" w:cs="宋体"/>
                <w:color w:val="000000"/>
                <w:sz w:val="24"/>
                <w:highlight w:val="none"/>
                <w:lang w:val="en-US" w:eastAsia="zh-CN"/>
              </w:rPr>
              <w:t>优</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或</w:t>
            </w:r>
            <w:r>
              <w:rPr>
                <w:rFonts w:hint="eastAsia" w:ascii="宋体" w:hAnsi="宋体" w:cs="宋体"/>
                <w:color w:val="000000"/>
                <w:sz w:val="24"/>
                <w:highlight w:val="none"/>
              </w:rPr>
              <w:t>分值评价85分以上)</w:t>
            </w:r>
            <w:r>
              <w:rPr>
                <w:rFonts w:hint="eastAsia" w:ascii="宋体" w:hAnsi="宋体" w:cs="宋体"/>
                <w:color w:val="auto"/>
                <w:kern w:val="0"/>
                <w:sz w:val="24"/>
              </w:rPr>
              <w:t>，未提供的不得分。【项目中须含中标</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成交</w:t>
            </w:r>
            <w:r>
              <w:rPr>
                <w:rFonts w:hint="eastAsia" w:ascii="宋体" w:hAnsi="宋体" w:cs="宋体"/>
                <w:color w:val="auto"/>
                <w:kern w:val="0"/>
                <w:sz w:val="24"/>
                <w:lang w:eastAsia="zh-CN"/>
              </w:rPr>
              <w:t>）</w:t>
            </w:r>
            <w:r>
              <w:rPr>
                <w:rFonts w:hint="eastAsia" w:ascii="宋体" w:hAnsi="宋体" w:cs="宋体"/>
                <w:color w:val="auto"/>
                <w:kern w:val="0"/>
                <w:sz w:val="24"/>
              </w:rPr>
              <w:t>公告（提供相关网站中标</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成交</w:t>
            </w:r>
            <w:r>
              <w:rPr>
                <w:rFonts w:hint="eastAsia" w:ascii="宋体" w:hAnsi="宋体" w:cs="宋体"/>
                <w:color w:val="auto"/>
                <w:kern w:val="0"/>
                <w:sz w:val="24"/>
                <w:lang w:eastAsia="zh-CN"/>
              </w:rPr>
              <w:t>）</w:t>
            </w:r>
            <w:r>
              <w:rPr>
                <w:rFonts w:hint="eastAsia" w:ascii="宋体" w:hAnsi="宋体" w:cs="宋体"/>
                <w:color w:val="auto"/>
                <w:kern w:val="0"/>
                <w:sz w:val="24"/>
              </w:rPr>
              <w:t>公告的下载网页并注明网址）、中标通知书复印件、采购合同文本复印件，以及由采购人出具的（须加盖单位或使用部门公章）项目服务满意证明材料，未同时提供以上各项证明材料的，该项不给予计分。】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 w:val="24"/>
                <w:lang w:val="en-US" w:eastAsia="zh-CN"/>
              </w:rPr>
              <w:t>②</w:t>
            </w:r>
            <w:r>
              <w:rPr>
                <w:rFonts w:hint="eastAsia" w:ascii="宋体" w:hAnsi="宋体" w:cs="宋体"/>
                <w:b/>
                <w:bCs/>
                <w:color w:val="auto"/>
                <w:kern w:val="0"/>
                <w:sz w:val="24"/>
              </w:rPr>
              <w:t>B8、B9项提供同一业绩证明材料的不重复计分，同一单位出具的多份评价意见不重复计分。</w:t>
            </w:r>
          </w:p>
        </w:tc>
      </w:tr>
      <w:tr>
        <w:tblPrEx>
          <w:tblCellMar>
            <w:top w:w="0" w:type="dxa"/>
            <w:left w:w="108" w:type="dxa"/>
            <w:bottom w:w="0" w:type="dxa"/>
            <w:right w:w="108" w:type="dxa"/>
          </w:tblCellMar>
        </w:tblPrEx>
        <w:trPr>
          <w:trHeight w:val="20"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B10、售后服务方案</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2</w:t>
            </w:r>
          </w:p>
        </w:tc>
        <w:tc>
          <w:tcPr>
            <w:tcW w:w="3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根据</w:t>
            </w:r>
            <w:r>
              <w:rPr>
                <w:rFonts w:hint="eastAsia" w:ascii="宋体" w:hAnsi="宋体" w:cs="宋体"/>
                <w:color w:val="auto"/>
                <w:kern w:val="0"/>
                <w:sz w:val="24"/>
                <w:lang w:val="en-US" w:eastAsia="zh-CN"/>
              </w:rPr>
              <w:t>投标人</w:t>
            </w:r>
            <w:r>
              <w:rPr>
                <w:rFonts w:hint="eastAsia" w:ascii="宋体" w:hAnsi="宋体" w:cs="宋体"/>
                <w:color w:val="auto"/>
                <w:kern w:val="0"/>
                <w:sz w:val="24"/>
              </w:rPr>
              <w:t>提供的售后服务方案，方案包括具体的①服务内容、②响应方式、③响应时间、④解决速度、⑤措施方案等情况由评委进行评分：方案包含的要点齐全无缺漏项、内容与要点相符、每个要点均有展开详细的阐述且能够适用于本项目得</w:t>
            </w:r>
            <w:r>
              <w:rPr>
                <w:rFonts w:hint="eastAsia" w:ascii="宋体" w:hAnsi="宋体" w:cs="宋体"/>
                <w:color w:val="auto"/>
                <w:kern w:val="0"/>
                <w:sz w:val="24"/>
                <w:lang w:val="en-US" w:eastAsia="zh-CN"/>
              </w:rPr>
              <w:t>2</w:t>
            </w:r>
            <w:r>
              <w:rPr>
                <w:rFonts w:hint="eastAsia" w:ascii="宋体" w:hAnsi="宋体" w:cs="宋体"/>
                <w:color w:val="auto"/>
                <w:kern w:val="0"/>
                <w:sz w:val="24"/>
              </w:rPr>
              <w:t>分；方案所包含的要点齐全、内容与要点相符、每个要点均有展开阐述且基本能够适用于本项目的得</w:t>
            </w:r>
            <w:r>
              <w:rPr>
                <w:rFonts w:hint="eastAsia" w:ascii="宋体" w:hAnsi="宋体" w:cs="宋体"/>
                <w:color w:val="auto"/>
                <w:kern w:val="0"/>
                <w:sz w:val="24"/>
                <w:lang w:val="en-US" w:eastAsia="zh-CN"/>
              </w:rPr>
              <w:t>1</w:t>
            </w:r>
            <w:r>
              <w:rPr>
                <w:rFonts w:hint="eastAsia" w:ascii="宋体" w:hAnsi="宋体" w:cs="宋体"/>
                <w:color w:val="auto"/>
                <w:kern w:val="0"/>
                <w:sz w:val="24"/>
              </w:rPr>
              <w:t>分；方案所包含的要点有缺漏、内容与要点相符但仅有纲要、内容简略，未展开详细阐述但基本能够适用于本项目的得</w:t>
            </w:r>
            <w:r>
              <w:rPr>
                <w:rFonts w:hint="eastAsia" w:ascii="宋体" w:hAnsi="宋体" w:cs="宋体"/>
                <w:color w:val="auto"/>
                <w:kern w:val="0"/>
                <w:sz w:val="24"/>
                <w:lang w:val="en-US" w:eastAsia="zh-CN"/>
              </w:rPr>
              <w:t>0.5</w:t>
            </w:r>
            <w:r>
              <w:rPr>
                <w:rFonts w:hint="eastAsia" w:ascii="宋体" w:hAnsi="宋体" w:cs="宋体"/>
                <w:color w:val="auto"/>
                <w:kern w:val="0"/>
                <w:sz w:val="24"/>
              </w:rPr>
              <w:t>分；未提供或内容存在明显错误、内容明显不适用于本项目需求的均不得分。</w:t>
            </w:r>
          </w:p>
        </w:tc>
      </w:tr>
    </w:tbl>
    <w:p>
      <w:pPr>
        <w:rPr>
          <w:rFonts w:asciiTheme="minorEastAsia" w:hAnsiTheme="minorEastAsia" w:eastAsiaTheme="minorEastAsia" w:cstheme="minorEastAsia"/>
          <w:color w:val="auto"/>
          <w:kern w:val="0"/>
          <w:sz w:val="24"/>
          <w:highlight w:val="none"/>
        </w:rPr>
      </w:pPr>
    </w:p>
    <w:p>
      <w:pPr>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（4）中标候选人排列规则顺序如下：</w:t>
      </w:r>
    </w:p>
    <w:p>
      <w:pPr>
        <w:pStyle w:val="19"/>
        <w:widowControl/>
        <w:spacing w:before="0" w:beforeAutospacing="0" w:after="0" w:afterAutospacing="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a.按照评标总得分（FA）由高到低顺序排列。</w:t>
      </w:r>
    </w:p>
    <w:p>
      <w:pPr>
        <w:pStyle w:val="19"/>
        <w:widowControl/>
        <w:spacing w:before="0" w:beforeAutospacing="0" w:after="0" w:afterAutospacing="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b.评标总得分（FA）相同的，按照评标价（即价格扣除后的投标报价）由低到高顺序排列。</w:t>
      </w:r>
    </w:p>
    <w:p>
      <w:pPr>
        <w:pStyle w:val="19"/>
        <w:widowControl/>
        <w:spacing w:before="0" w:beforeAutospacing="0" w:after="0" w:afterAutospacing="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c.评标总得分（FA）且评标价（即价格扣除后的投标报价）相同的并列。</w:t>
      </w:r>
    </w:p>
    <w:p>
      <w:pPr>
        <w:pStyle w:val="19"/>
        <w:widowControl/>
        <w:spacing w:before="0" w:beforeAutospacing="0" w:after="0" w:afterAutospacing="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8、其他规定</w:t>
      </w:r>
    </w:p>
    <w:p>
      <w:pPr>
        <w:pStyle w:val="19"/>
        <w:widowControl/>
        <w:spacing w:before="0" w:beforeAutospacing="0" w:after="0" w:afterAutospacing="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8.1评标应全程保密且不得透露给任一投标人或与评标工作无关的人员。</w:t>
      </w:r>
    </w:p>
    <w:p>
      <w:pPr>
        <w:pStyle w:val="19"/>
        <w:widowControl/>
        <w:spacing w:before="0" w:beforeAutospacing="0" w:after="0" w:afterAutospacing="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8.2评标将进行全程实时录音录像，录音录像资料随采购文件一并存档。</w:t>
      </w:r>
    </w:p>
    <w:p>
      <w:pPr>
        <w:pStyle w:val="19"/>
        <w:widowControl/>
        <w:spacing w:before="0" w:beforeAutospacing="0" w:after="0" w:afterAutospacing="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8.3若投标人有任何试图干扰具体评标事务，影响评标委员会独立履行职责的行为，其投标无效且不予退还投标保证金。情节严重的，由财政部门列入不良行为记录。</w:t>
      </w:r>
    </w:p>
    <w:p>
      <w:pPr>
        <w:pStyle w:val="19"/>
        <w:widowControl/>
        <w:spacing w:before="0" w:beforeAutospacing="0" w:after="0" w:afterAutospacing="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8.4其他：无。</w:t>
      </w:r>
    </w:p>
    <w:p>
      <w:pPr>
        <w:rPr>
          <w:rStyle w:val="27"/>
          <w:rFonts w:ascii="宋体" w:hAnsi="宋体" w:cs="宋体"/>
          <w:b w:val="0"/>
          <w:color w:val="auto"/>
          <w:sz w:val="31"/>
          <w:szCs w:val="31"/>
          <w:highlight w:val="none"/>
        </w:rPr>
      </w:pPr>
      <w:bookmarkStart w:id="45" w:name="_Toc51057762"/>
      <w:r>
        <w:rPr>
          <w:rStyle w:val="27"/>
          <w:rFonts w:hint="eastAsia" w:ascii="宋体" w:hAnsi="宋体" w:cs="宋体"/>
          <w:b w:val="0"/>
          <w:color w:val="auto"/>
          <w:sz w:val="31"/>
          <w:szCs w:val="31"/>
          <w:highlight w:val="none"/>
        </w:rPr>
        <w:br w:type="page"/>
      </w:r>
    </w:p>
    <w:p>
      <w:pPr>
        <w:pStyle w:val="2"/>
        <w:jc w:val="center"/>
        <w:rPr>
          <w:color w:val="auto"/>
          <w:highlight w:val="none"/>
        </w:rPr>
      </w:pPr>
      <w:bookmarkStart w:id="46" w:name="_Toc32042"/>
      <w:r>
        <w:rPr>
          <w:rFonts w:hint="eastAsia"/>
          <w:color w:val="auto"/>
          <w:highlight w:val="none"/>
        </w:rPr>
        <w:t>第五章</w:t>
      </w:r>
      <w:r>
        <w:rPr>
          <w:color w:val="auto"/>
          <w:highlight w:val="none"/>
        </w:rPr>
        <w:t>   </w:t>
      </w:r>
      <w:r>
        <w:rPr>
          <w:rFonts w:hint="eastAsia"/>
          <w:color w:val="auto"/>
          <w:highlight w:val="none"/>
        </w:rPr>
        <w:t>招标内容及要求</w:t>
      </w:r>
      <w:bookmarkEnd w:id="45"/>
      <w:bookmarkEnd w:id="46"/>
    </w:p>
    <w:p>
      <w:pPr>
        <w:pStyle w:val="19"/>
        <w:widowControl/>
        <w:spacing w:before="75" w:beforeAutospacing="0" w:after="75" w:afterAutospacing="0" w:line="480" w:lineRule="exact"/>
        <w:rPr>
          <w:rFonts w:asciiTheme="minorEastAsia" w:hAnsiTheme="minorEastAsia" w:eastAsiaTheme="minorEastAsia" w:cstheme="minorEastAsia"/>
          <w:b/>
          <w:bCs/>
          <w:color w:val="auto"/>
          <w:highlight w:val="none"/>
        </w:rPr>
      </w:pPr>
      <w:bookmarkStart w:id="47" w:name="_Toc528702553"/>
      <w:bookmarkStart w:id="48" w:name="_Toc51057768"/>
      <w:r>
        <w:rPr>
          <w:rFonts w:hint="eastAsia" w:asciiTheme="minorEastAsia" w:hAnsiTheme="minorEastAsia" w:eastAsiaTheme="minorEastAsia" w:cstheme="minorEastAsia"/>
          <w:b/>
          <w:bCs/>
          <w:color w:val="auto"/>
          <w:highlight w:val="none"/>
        </w:rPr>
        <w:t>一、项目概况</w:t>
      </w:r>
    </w:p>
    <w:p>
      <w:pPr>
        <w:pStyle w:val="56"/>
        <w:keepNext w:val="0"/>
        <w:keepLines w:val="0"/>
        <w:pageBreakBefore w:val="0"/>
        <w:kinsoku/>
        <w:wordWrap/>
        <w:topLinePunct w:val="0"/>
        <w:bidi w:val="0"/>
        <w:snapToGrid/>
        <w:spacing w:line="440" w:lineRule="exact"/>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本项目为福建省立医院工会委员会2024年工会会员法定节假日慰问品采购项目，各投标人须在了解采购人的需求上进行报价。中标人在合同期内应切实做到：保质保量准时送货。凡所供货物的质量、数量、品种与要求不符时，采购人有权拒收，并由中标人承担由此造成的直接经济损失。</w:t>
      </w:r>
    </w:p>
    <w:p>
      <w:pPr>
        <w:pStyle w:val="56"/>
        <w:keepNext w:val="0"/>
        <w:keepLines w:val="0"/>
        <w:pageBreakBefore w:val="0"/>
        <w:kinsoku/>
        <w:wordWrap/>
        <w:topLinePunct w:val="0"/>
        <w:bidi w:val="0"/>
        <w:snapToGrid/>
        <w:spacing w:line="440" w:lineRule="exact"/>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中标人提供的产品必须符合《国家产品质量法》、《国家食品卫生法》及国家行业标准的有关规定。中标人在供货期间，凡因所供货物质量问题造成食物中毒等其它严重后果的，中标人必须承担由此引起的一切经济责任和法律责任。物资验收实行索证制度，确保可追溯。必要时供货方必须出具符合国家标准的检验证明。</w:t>
      </w:r>
    </w:p>
    <w:p>
      <w:pPr>
        <w:pStyle w:val="56"/>
        <w:keepNext w:val="0"/>
        <w:keepLines w:val="0"/>
        <w:pageBreakBefore w:val="0"/>
        <w:kinsoku/>
        <w:wordWrap/>
        <w:topLinePunct w:val="0"/>
        <w:bidi w:val="0"/>
        <w:snapToGrid/>
        <w:spacing w:line="440" w:lineRule="exact"/>
        <w:ind w:firstLine="480" w:firstLineChars="200"/>
        <w:jc w:val="both"/>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3、本次采购金额和人数是以医院现有员工预估的，最终结算按照配送时实际人数为准，最终采购量以采购方实际人数为准，各投标人自行评估并承担相应风险。</w:t>
      </w:r>
    </w:p>
    <w:p>
      <w:pPr>
        <w:pStyle w:val="19"/>
        <w:widowControl/>
        <w:numPr>
          <w:ilvl w:val="0"/>
          <w:numId w:val="0"/>
        </w:numPr>
        <w:spacing w:before="0" w:beforeAutospacing="0" w:after="0" w:afterAutospacing="0" w:line="440" w:lineRule="exact"/>
        <w:rPr>
          <w:rStyle w:val="27"/>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24"/>
          <w:szCs w:val="24"/>
          <w:lang w:val="en-US" w:eastAsia="zh-CN" w:bidi="ar-SA"/>
        </w:rPr>
        <w:t>二、</w:t>
      </w:r>
      <w:r>
        <w:rPr>
          <w:rFonts w:hint="eastAsia" w:asciiTheme="minorEastAsia" w:hAnsiTheme="minorEastAsia" w:eastAsiaTheme="minorEastAsia" w:cstheme="minorEastAsia"/>
          <w:b/>
          <w:bCs/>
          <w:color w:val="auto"/>
          <w:highlight w:val="none"/>
        </w:rPr>
        <w:t>技术和服务要求</w:t>
      </w:r>
      <w:r>
        <w:rPr>
          <w:rStyle w:val="27"/>
          <w:rFonts w:hint="eastAsia" w:asciiTheme="minorEastAsia" w:hAnsiTheme="minorEastAsia" w:eastAsiaTheme="minorEastAsia" w:cstheme="minorEastAsia"/>
          <w:color w:val="auto"/>
          <w:highlight w:val="none"/>
        </w:rPr>
        <w:t>（以“★”标示的内容为不允许负偏离的实质性要求）</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【项1】★1、本次采购数量约为5</w:t>
      </w:r>
      <w:r>
        <w:rPr>
          <w:rFonts w:hint="eastAsia"/>
          <w:color w:val="auto"/>
          <w:highlight w:val="none"/>
          <w:lang w:val="en-US" w:eastAsia="zh-CN"/>
        </w:rPr>
        <w:t>5</w:t>
      </w:r>
      <w:r>
        <w:rPr>
          <w:rFonts w:hint="eastAsia"/>
          <w:color w:val="auto"/>
          <w:highlight w:val="none"/>
        </w:rPr>
        <w:t>00份，分别为春节及</w:t>
      </w:r>
      <w:r>
        <w:rPr>
          <w:rFonts w:hint="eastAsia"/>
          <w:color w:val="auto"/>
          <w:highlight w:val="none"/>
          <w:lang w:eastAsia="zh-CN"/>
        </w:rPr>
        <w:t>国庆</w:t>
      </w:r>
      <w:r>
        <w:rPr>
          <w:rFonts w:hint="eastAsia"/>
          <w:color w:val="auto"/>
          <w:highlight w:val="none"/>
        </w:rPr>
        <w:t>中秋慰问品采购，两次合计共1500元/人，其中春节慰问品900元/人，</w:t>
      </w:r>
      <w:r>
        <w:rPr>
          <w:rFonts w:hint="eastAsia"/>
          <w:color w:val="auto"/>
          <w:highlight w:val="none"/>
          <w:lang w:eastAsia="zh-CN"/>
        </w:rPr>
        <w:t>国庆</w:t>
      </w:r>
      <w:r>
        <w:rPr>
          <w:rFonts w:hint="eastAsia"/>
          <w:color w:val="auto"/>
          <w:highlight w:val="none"/>
        </w:rPr>
        <w:t>中秋慰问品600元/人。具体商品份数和金额以实际结算为准，所投产品须在永辉或麦德龙或沃尔玛或新华都或大润发等大型超市有售卖。</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【项2】★2、慰问品种类: 慰问品单价不能超过该次个人慰问品总额度且原则上符合中国传统节日习惯的用品和福建省立医院工会会员群众必需的生活用品。</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（1）粮油类：大米（参考品牌：金龙鱼、金键、北大荒、福临门等）、面粉、食用油（参考品牌：金龙鱼、鲁花、胡姬花等）等；</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（2）副食类：奶制品（参考品牌：澳牛、伊利、蒙牛、花园等）、坚果、干货、蜜饯、巧克力等；</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（3）生鲜类：鲜肉、水果、海产品等；</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（4）日用品类：沐浴露、洗发水、洗洁精、洗衣粉、肥皂、纸品类等。</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【项3】★3、本项目需配置不少于2部车辆配送，负责本项目的基本人员不少于3人。</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4、供货方式及要求</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【项4】4.1配送时间：根据采购人通知时间完成配送。</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【项5】4.2配送方式：</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（1）支持实体商店现场提货：支持在当地固定的实体商店提货。</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（2）支持网络下订单配送：支持福建省立医院工会会员采用互联网商城或手机APP（或小程序）等进行网络下单配送到家，各个福建省立医院工会会员送货上门时间根据采购人通知时间为准，发放时间有效期至202</w:t>
      </w:r>
      <w:r>
        <w:rPr>
          <w:rFonts w:hint="eastAsia"/>
          <w:color w:val="auto"/>
          <w:highlight w:val="none"/>
          <w:lang w:val="en-US" w:eastAsia="zh-CN"/>
        </w:rPr>
        <w:t>4</w:t>
      </w:r>
      <w:r>
        <w:rPr>
          <w:rFonts w:hint="eastAsia"/>
          <w:color w:val="auto"/>
          <w:highlight w:val="none"/>
        </w:rPr>
        <w:t>年12月31日，原则上</w:t>
      </w:r>
      <w:r>
        <w:rPr>
          <w:rFonts w:hint="eastAsia"/>
          <w:color w:val="auto"/>
          <w:highlight w:val="none"/>
          <w:lang w:val="en-US" w:eastAsia="zh-CN"/>
        </w:rPr>
        <w:t>春节或国庆中秋慰问品</w:t>
      </w:r>
      <w:r>
        <w:rPr>
          <w:rFonts w:hint="eastAsia"/>
          <w:color w:val="auto"/>
          <w:highlight w:val="none"/>
        </w:rPr>
        <w:t>指定送货上门次数每位福建省立医院工会会员</w:t>
      </w:r>
      <w:r>
        <w:rPr>
          <w:rFonts w:hint="eastAsia"/>
          <w:color w:val="auto"/>
          <w:highlight w:val="none"/>
          <w:lang w:val="en-US" w:eastAsia="zh-CN"/>
        </w:rPr>
        <w:t>均不超过2次</w:t>
      </w:r>
      <w:r>
        <w:rPr>
          <w:rFonts w:hint="eastAsia"/>
          <w:color w:val="auto"/>
          <w:highlight w:val="none"/>
        </w:rPr>
        <w:t>。</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【项6】4.3慰问品方案确定</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4.3.1投标人须在投标文件中提供慰问品方案，包含各产品品名、产地、品牌、规格、数量、基准价及产品图片。</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4.3.2基准价确定：</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（1）中标人慰问品价格应以采购时间段取价超市同品牌同规格产品价格 (促销价除外)为基准价格。</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2）上述基准价由中标人提供，采购人有权在合同签订后中标人供货之日前进行市场价格核查，核查标准以新华都超市、麦德龙超市、沃尔玛超市、永辉超市四家中选取三家超市中同品牌同规格商品的平均价为准。一旦发现中标人基准价高于采购人核查的平均价的情况, 视为违约行为，发现第一次，该中标人应200%赔偿全部差价；发现第二次，调查属实者，该中标人应500%赔偿全部差价,并将商家列入采购黑名单。</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7】4.4中标之后，采购人福建省立医院工会会员按中标人在投标文件中提供的慰问品方案中产品自行组合，对于中标人提供的慰问品方案采购人有权根据福建省立医院工会会员反馈意见对部分产品进行调整，中标人须按照采购人调整意见供货，否则采购人有权取消其供货资格。</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8】4.5如部分产品不能按时供货，应立即以电话方式通知采购人，经双方共同确认市场确无该品种后，及时与采购人协商调整供货品种，调整品种的质量、数量、价格必须与原品种一致，若调整后价格高于原供货价，差额部分由中标人负责承担；采购人下单物品，除采购人与中标人到市场共同调查确认市场无该品种，否则中标人不得以任何理由推脱无法供货；确因市场或自然灾害等原因造成不能供货的，必须及时与采购人沟通，协商调整供货品种。</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9】★4.6中标人应按采购人福建省立医院工会会员下单的慰问品组合方案品名、产地、品牌、规格、数量、质量供货，采购人福建省立医院工会会员现场接收时发现与下单不符，有权拒收并要求中标人在24小时内调换同品种质量货物，因调换货产生的费用由中标人承担。</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【项10】★4.7中标人货物送达后，中标人提供供货清单，双方应当场点验货物，经验收无误后在供货清单上签字确认，供货清单一式两份，双方各存一份。</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rPr>
      </w:pPr>
      <w:r>
        <w:rPr>
          <w:rFonts w:hint="eastAsia"/>
          <w:color w:val="auto"/>
          <w:highlight w:val="none"/>
        </w:rPr>
        <w:t>【项11】★4.8采购人有权提取物品到相关部门检测，检测费用由中标人承担。若检测结果未达到合同约定的质量要求的，按违约处理。</w:t>
      </w:r>
    </w:p>
    <w:p>
      <w:pPr>
        <w:pStyle w:val="3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highlight w:val="none"/>
        </w:rPr>
      </w:pPr>
      <w:r>
        <w:rPr>
          <w:rFonts w:hint="eastAsia"/>
          <w:color w:val="auto"/>
          <w:highlight w:val="none"/>
        </w:rPr>
        <w:t>【项12】★4.9中标人所供货物涉及的一切费用（运输、搬运、检测（若有）等费用，以及其它原因应支付的税金和应缴的费用）均由中标人负责。</w:t>
      </w:r>
    </w:p>
    <w:p>
      <w:pPr>
        <w:pStyle w:val="19"/>
        <w:widowControl/>
        <w:numPr>
          <w:ilvl w:val="0"/>
          <w:numId w:val="0"/>
        </w:numPr>
        <w:spacing w:before="0" w:beforeAutospacing="0" w:after="0" w:afterAutospacing="0" w:line="400" w:lineRule="exact"/>
        <w:rPr>
          <w:rFonts w:hint="eastAsia" w:ascii="宋体" w:hAnsi="宋体" w:eastAsia="宋体" w:cs="宋体"/>
          <w:b/>
          <w:bCs/>
          <w:color w:val="auto"/>
          <w:kern w:val="0"/>
          <w:sz w:val="24"/>
          <w:szCs w:val="24"/>
          <w:lang w:val="en-US" w:eastAsia="zh-CN" w:bidi="ar-SA"/>
        </w:rPr>
      </w:pPr>
    </w:p>
    <w:p>
      <w:pPr>
        <w:pStyle w:val="19"/>
        <w:widowControl/>
        <w:numPr>
          <w:ilvl w:val="0"/>
          <w:numId w:val="0"/>
        </w:numPr>
        <w:spacing w:before="0" w:beforeAutospacing="0" w:after="0" w:afterAutospacing="0" w:line="400" w:lineRule="exact"/>
        <w:rPr>
          <w:rStyle w:val="27"/>
          <w:rFonts w:ascii="宋体" w:hAnsi="宋体" w:cs="宋体"/>
          <w:bCs/>
          <w:color w:val="auto"/>
          <w:highlight w:val="none"/>
        </w:rPr>
      </w:pPr>
      <w:r>
        <w:rPr>
          <w:rFonts w:hint="eastAsia" w:ascii="宋体" w:hAnsi="宋体" w:eastAsia="宋体" w:cs="宋体"/>
          <w:b/>
          <w:bCs/>
          <w:color w:val="auto"/>
          <w:kern w:val="0"/>
          <w:sz w:val="24"/>
          <w:szCs w:val="24"/>
          <w:lang w:val="en-US" w:eastAsia="zh-CN" w:bidi="ar-SA"/>
        </w:rPr>
        <w:t>三、</w:t>
      </w:r>
      <w:r>
        <w:rPr>
          <w:rFonts w:hint="eastAsia" w:ascii="宋体" w:hAnsi="宋体" w:cs="宋体"/>
          <w:b/>
          <w:bCs/>
          <w:color w:val="auto"/>
          <w:highlight w:val="none"/>
        </w:rPr>
        <w:t>商务条件</w:t>
      </w:r>
      <w:r>
        <w:rPr>
          <w:rStyle w:val="27"/>
          <w:rFonts w:hint="eastAsia" w:ascii="宋体" w:hAnsi="宋体" w:cs="宋体"/>
          <w:bCs/>
          <w:color w:val="auto"/>
          <w:highlight w:val="none"/>
        </w:rPr>
        <w:t>（</w:t>
      </w:r>
      <w:r>
        <w:rPr>
          <w:rStyle w:val="27"/>
          <w:rFonts w:hint="default" w:ascii="宋体" w:hAnsi="宋体" w:cs="宋体"/>
          <w:bCs/>
          <w:color w:val="auto"/>
          <w:highlight w:val="none"/>
          <w:lang w:val="en-US"/>
        </w:rPr>
        <w:t>均</w:t>
      </w:r>
      <w:r>
        <w:rPr>
          <w:rStyle w:val="27"/>
          <w:rFonts w:hint="eastAsia" w:ascii="宋体" w:hAnsi="宋体" w:cs="宋体"/>
          <w:bCs/>
          <w:color w:val="auto"/>
          <w:highlight w:val="none"/>
        </w:rPr>
        <w:t>为不允许负偏离的实质性要求，若负偏离则投标无效）</w:t>
      </w:r>
    </w:p>
    <w:p>
      <w:pPr>
        <w:keepNext w:val="0"/>
        <w:keepLines w:val="0"/>
        <w:pageBreakBefore w:val="0"/>
        <w:kinsoku/>
        <w:wordWrap/>
        <w:topLinePunct w:val="0"/>
        <w:bidi w:val="0"/>
        <w:snapToGrid/>
        <w:spacing w:line="400" w:lineRule="exact"/>
        <w:ind w:firstLine="241" w:firstLineChars="100"/>
        <w:textAlignment w:val="auto"/>
        <w:outlineLvl w:val="1"/>
        <w:rPr>
          <w:rFonts w:hint="eastAsia" w:ascii="宋体" w:hAnsi="宋体" w:eastAsia="宋体" w:cs="宋体"/>
          <w:b w:val="0"/>
          <w:bCs w:val="0"/>
          <w:color w:val="auto"/>
          <w:sz w:val="24"/>
          <w:szCs w:val="24"/>
          <w:lang w:eastAsia="zh-CN"/>
        </w:rPr>
      </w:pPr>
      <w:bookmarkStart w:id="49" w:name="_Toc21375"/>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、交付地点：</w:t>
      </w:r>
      <w:r>
        <w:rPr>
          <w:rFonts w:hint="eastAsia" w:ascii="宋体" w:hAnsi="宋体" w:eastAsia="宋体" w:cs="宋体"/>
          <w:b w:val="0"/>
          <w:bCs w:val="0"/>
          <w:color w:val="auto"/>
          <w:sz w:val="24"/>
          <w:szCs w:val="24"/>
        </w:rPr>
        <w:t>采购人指定地点</w:t>
      </w:r>
      <w:r>
        <w:rPr>
          <w:rFonts w:hint="eastAsia" w:ascii="宋体" w:hAnsi="宋体" w:eastAsia="宋体" w:cs="宋体"/>
          <w:b w:val="0"/>
          <w:bCs w:val="0"/>
          <w:color w:val="auto"/>
          <w:sz w:val="24"/>
          <w:szCs w:val="24"/>
          <w:lang w:eastAsia="zh-CN"/>
        </w:rPr>
        <w:t>。</w:t>
      </w:r>
      <w:bookmarkEnd w:id="49"/>
    </w:p>
    <w:p>
      <w:pPr>
        <w:keepNext w:val="0"/>
        <w:keepLines w:val="0"/>
        <w:pageBreakBefore w:val="0"/>
        <w:kinsoku/>
        <w:wordWrap/>
        <w:topLinePunct w:val="0"/>
        <w:bidi w:val="0"/>
        <w:snapToGrid/>
        <w:spacing w:line="400" w:lineRule="exact"/>
        <w:ind w:firstLine="241" w:firstLineChars="100"/>
        <w:textAlignment w:val="auto"/>
        <w:outlineLvl w:val="1"/>
        <w:rPr>
          <w:rFonts w:hint="eastAsia" w:ascii="宋体" w:hAnsi="宋体" w:eastAsia="宋体" w:cs="宋体"/>
          <w:b/>
          <w:bCs/>
          <w:color w:val="auto"/>
          <w:sz w:val="24"/>
          <w:szCs w:val="24"/>
        </w:rPr>
      </w:pPr>
      <w:bookmarkStart w:id="50" w:name="_Toc27557"/>
      <w:bookmarkStart w:id="51" w:name="_Toc3561"/>
      <w:bookmarkStart w:id="52" w:name="_Toc24689"/>
      <w:bookmarkStart w:id="53" w:name="_Toc29843"/>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服务期限</w:t>
      </w:r>
      <w:r>
        <w:rPr>
          <w:rFonts w:hint="eastAsia" w:ascii="宋体" w:hAnsi="宋体" w:eastAsia="宋体" w:cs="宋体"/>
          <w:b/>
          <w:bCs/>
          <w:color w:val="auto"/>
          <w:sz w:val="24"/>
          <w:szCs w:val="24"/>
        </w:rPr>
        <w:t>：</w:t>
      </w:r>
      <w:bookmarkEnd w:id="50"/>
      <w:bookmarkEnd w:id="51"/>
      <w:bookmarkEnd w:id="52"/>
      <w:r>
        <w:rPr>
          <w:rFonts w:hint="eastAsia" w:ascii="宋体" w:hAnsi="宋体" w:cs="宋体"/>
          <w:b w:val="0"/>
          <w:bCs w:val="0"/>
          <w:color w:val="auto"/>
          <w:sz w:val="24"/>
          <w:szCs w:val="24"/>
          <w:lang w:val="en-US" w:eastAsia="zh-CN"/>
        </w:rPr>
        <w:t>至</w:t>
      </w:r>
      <w:r>
        <w:rPr>
          <w:rFonts w:hint="eastAsia" w:ascii="宋体" w:hAnsi="宋体" w:eastAsia="宋体" w:cs="宋体"/>
          <w:b w:val="0"/>
          <w:bCs w:val="0"/>
          <w:color w:val="auto"/>
          <w:sz w:val="24"/>
          <w:szCs w:val="24"/>
        </w:rPr>
        <w:t>202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月31</w:t>
      </w:r>
      <w:r>
        <w:rPr>
          <w:rFonts w:hint="eastAsia" w:ascii="宋体" w:hAnsi="宋体" w:cs="宋体"/>
          <w:b w:val="0"/>
          <w:bCs w:val="0"/>
          <w:color w:val="auto"/>
          <w:sz w:val="24"/>
          <w:szCs w:val="24"/>
          <w:lang w:val="en-US" w:eastAsia="zh-CN"/>
        </w:rPr>
        <w:t>日</w:t>
      </w:r>
      <w:r>
        <w:rPr>
          <w:rFonts w:hint="eastAsia" w:ascii="宋体" w:hAnsi="宋体" w:eastAsia="宋体" w:cs="宋体"/>
          <w:b w:val="0"/>
          <w:bCs w:val="0"/>
          <w:color w:val="auto"/>
          <w:sz w:val="24"/>
          <w:szCs w:val="24"/>
        </w:rPr>
        <w:t>止完成供货。</w:t>
      </w:r>
      <w:bookmarkEnd w:id="53"/>
    </w:p>
    <w:p>
      <w:pPr>
        <w:keepNext w:val="0"/>
        <w:keepLines w:val="0"/>
        <w:pageBreakBefore w:val="0"/>
        <w:kinsoku/>
        <w:wordWrap/>
        <w:topLinePunct w:val="0"/>
        <w:bidi w:val="0"/>
        <w:snapToGrid/>
        <w:spacing w:line="400" w:lineRule="exact"/>
        <w:ind w:firstLine="241" w:firstLineChars="100"/>
        <w:textAlignment w:val="auto"/>
        <w:outlineLvl w:val="1"/>
        <w:rPr>
          <w:rFonts w:hint="eastAsia" w:ascii="宋体" w:hAnsi="宋体" w:eastAsia="宋体" w:cs="宋体"/>
          <w:b/>
          <w:bCs/>
          <w:color w:val="auto"/>
          <w:sz w:val="24"/>
          <w:szCs w:val="24"/>
        </w:rPr>
      </w:pPr>
      <w:bookmarkStart w:id="54" w:name="_Toc19277"/>
      <w:bookmarkStart w:id="55" w:name="_Toc17981"/>
      <w:bookmarkStart w:id="56" w:name="_Toc3939"/>
      <w:bookmarkStart w:id="57" w:name="_Toc6432"/>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、交付条件：</w:t>
      </w:r>
      <w:r>
        <w:rPr>
          <w:rFonts w:hint="eastAsia" w:ascii="宋体" w:hAnsi="宋体" w:eastAsia="宋体" w:cs="宋体"/>
          <w:b w:val="0"/>
          <w:bCs w:val="0"/>
          <w:color w:val="auto"/>
          <w:sz w:val="24"/>
          <w:szCs w:val="24"/>
          <w:lang w:val="en-US" w:eastAsia="zh-CN"/>
        </w:rPr>
        <w:t>经</w:t>
      </w:r>
      <w:r>
        <w:rPr>
          <w:rFonts w:hint="eastAsia" w:ascii="宋体" w:hAnsi="宋体" w:eastAsia="宋体" w:cs="宋体"/>
          <w:b w:val="0"/>
          <w:bCs w:val="0"/>
          <w:color w:val="auto"/>
          <w:sz w:val="24"/>
          <w:szCs w:val="24"/>
        </w:rPr>
        <w:t>验收合格。</w:t>
      </w:r>
      <w:bookmarkEnd w:id="54"/>
      <w:bookmarkEnd w:id="55"/>
      <w:bookmarkEnd w:id="56"/>
      <w:bookmarkEnd w:id="57"/>
    </w:p>
    <w:p>
      <w:pPr>
        <w:keepNext w:val="0"/>
        <w:keepLines w:val="0"/>
        <w:pageBreakBefore w:val="0"/>
        <w:kinsoku/>
        <w:wordWrap/>
        <w:topLinePunct w:val="0"/>
        <w:bidi w:val="0"/>
        <w:snapToGrid/>
        <w:spacing w:line="400" w:lineRule="exact"/>
        <w:ind w:firstLine="241" w:firstLineChars="100"/>
        <w:textAlignment w:val="auto"/>
        <w:outlineLvl w:val="1"/>
        <w:rPr>
          <w:rFonts w:hint="eastAsia" w:ascii="宋体" w:hAnsi="宋体" w:eastAsia="宋体" w:cs="宋体"/>
          <w:b/>
          <w:bCs/>
          <w:color w:val="auto"/>
          <w:sz w:val="24"/>
          <w:szCs w:val="24"/>
          <w:lang w:eastAsia="zh-CN"/>
        </w:rPr>
      </w:pPr>
      <w:bookmarkStart w:id="58" w:name="_Toc26683"/>
      <w:bookmarkStart w:id="59" w:name="_Toc22329"/>
      <w:bookmarkStart w:id="60" w:name="_Toc22340"/>
      <w:bookmarkStart w:id="61" w:name="_Toc26288"/>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、是否收取履约保证金：</w:t>
      </w:r>
      <w:r>
        <w:rPr>
          <w:rFonts w:hint="eastAsia" w:ascii="宋体" w:hAnsi="宋体" w:eastAsia="宋体" w:cs="宋体"/>
          <w:b w:val="0"/>
          <w:bCs w:val="0"/>
          <w:color w:val="auto"/>
          <w:sz w:val="24"/>
          <w:szCs w:val="24"/>
        </w:rPr>
        <w:t>否</w:t>
      </w:r>
      <w:r>
        <w:rPr>
          <w:rFonts w:hint="eastAsia" w:ascii="宋体" w:hAnsi="宋体" w:eastAsia="宋体" w:cs="宋体"/>
          <w:b w:val="0"/>
          <w:bCs w:val="0"/>
          <w:color w:val="auto"/>
          <w:sz w:val="24"/>
          <w:szCs w:val="24"/>
          <w:lang w:eastAsia="zh-CN"/>
        </w:rPr>
        <w:t>。</w:t>
      </w:r>
      <w:bookmarkEnd w:id="58"/>
      <w:bookmarkEnd w:id="59"/>
      <w:bookmarkEnd w:id="60"/>
      <w:bookmarkEnd w:id="61"/>
    </w:p>
    <w:p>
      <w:pPr>
        <w:pStyle w:val="31"/>
        <w:keepNext w:val="0"/>
        <w:keepLines w:val="0"/>
        <w:pageBreakBefore w:val="0"/>
        <w:kinsoku/>
        <w:wordWrap/>
        <w:topLinePunct w:val="0"/>
        <w:bidi w:val="0"/>
        <w:snapToGrid/>
        <w:spacing w:line="400" w:lineRule="exact"/>
        <w:ind w:firstLine="241" w:firstLineChars="10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是否邀请投标人参与验收：</w:t>
      </w:r>
      <w:r>
        <w:rPr>
          <w:rFonts w:hint="eastAsia" w:ascii="宋体" w:hAnsi="宋体" w:eastAsia="宋体" w:cs="宋体"/>
          <w:b w:val="0"/>
          <w:bCs w:val="0"/>
          <w:color w:val="auto"/>
          <w:kern w:val="2"/>
          <w:sz w:val="24"/>
          <w:szCs w:val="24"/>
          <w:lang w:val="en-US" w:eastAsia="zh-CN" w:bidi="ar-SA"/>
        </w:rPr>
        <w:t>否。</w:t>
      </w:r>
    </w:p>
    <w:p>
      <w:pPr>
        <w:pStyle w:val="19"/>
        <w:keepNext w:val="0"/>
        <w:keepLines w:val="0"/>
        <w:pageBreakBefore w:val="0"/>
        <w:kinsoku/>
        <w:wordWrap/>
        <w:topLinePunct w:val="0"/>
        <w:bidi w:val="0"/>
        <w:snapToGrid/>
        <w:spacing w:before="0" w:beforeAutospacing="0" w:after="0" w:afterAutospacing="0" w:line="400" w:lineRule="exact"/>
        <w:ind w:firstLine="241" w:firstLineChars="100"/>
        <w:textAlignment w:val="auto"/>
        <w:rPr>
          <w:rFonts w:hint="eastAsia" w:ascii="宋体" w:hAnsi="宋体" w:eastAsia="宋体" w:cs="宋体"/>
          <w:color w:val="auto"/>
          <w:highlight w:val="none"/>
          <w:lang w:eastAsia="zh-CN"/>
        </w:rPr>
      </w:pPr>
      <w:r>
        <w:rPr>
          <w:rStyle w:val="27"/>
          <w:rFonts w:hint="eastAsia" w:ascii="宋体" w:hAnsi="宋体" w:cs="宋体"/>
          <w:color w:val="auto"/>
          <w:highlight w:val="none"/>
        </w:rPr>
        <w:t>6、验收方式</w:t>
      </w:r>
      <w:r>
        <w:rPr>
          <w:rStyle w:val="27"/>
          <w:rFonts w:hint="eastAsia" w:ascii="宋体" w:hAnsi="宋体" w:cs="宋体"/>
          <w:color w:val="auto"/>
          <w:highlight w:val="none"/>
          <w:lang w:eastAsia="zh-CN"/>
        </w:rPr>
        <w:t>：</w:t>
      </w:r>
      <w:r>
        <w:rPr>
          <w:rFonts w:hint="eastAsia" w:ascii="宋体" w:hAnsi="宋体" w:cs="宋体"/>
          <w:color w:val="auto"/>
          <w:sz w:val="24"/>
          <w:highlight w:val="none"/>
        </w:rPr>
        <w:t>按照招标文件、中标人的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文件及合同约定进行验收</w:t>
      </w:r>
      <w:r>
        <w:rPr>
          <w:rFonts w:hint="eastAsia" w:ascii="宋体" w:hAnsi="宋体" w:cs="宋体"/>
          <w:color w:val="auto"/>
          <w:sz w:val="24"/>
          <w:highlight w:val="none"/>
          <w:lang w:eastAsia="zh-CN"/>
        </w:rPr>
        <w:t>。</w:t>
      </w:r>
    </w:p>
    <w:p>
      <w:pPr>
        <w:keepNext w:val="0"/>
        <w:keepLines w:val="0"/>
        <w:pageBreakBefore w:val="0"/>
        <w:numPr>
          <w:ilvl w:val="0"/>
          <w:numId w:val="0"/>
        </w:numPr>
        <w:kinsoku/>
        <w:wordWrap/>
        <w:topLinePunct w:val="0"/>
        <w:bidi w:val="0"/>
        <w:snapToGrid/>
        <w:spacing w:line="400" w:lineRule="exact"/>
        <w:ind w:firstLine="241" w:firstLineChars="100"/>
        <w:jc w:val="left"/>
        <w:textAlignment w:val="auto"/>
        <w:rPr>
          <w:rFonts w:hint="eastAsia" w:ascii="宋体" w:hAnsi="宋体" w:cs="宋体"/>
          <w:b w:val="0"/>
          <w:bCs w:val="0"/>
          <w:color w:val="auto"/>
          <w:kern w:val="0"/>
          <w:sz w:val="24"/>
          <w:szCs w:val="24"/>
          <w:highlight w:val="none"/>
          <w:lang w:val="en-US" w:eastAsia="zh-CN"/>
        </w:rPr>
      </w:pPr>
      <w:r>
        <w:rPr>
          <w:rStyle w:val="27"/>
          <w:rFonts w:hint="eastAsia" w:ascii="宋体" w:hAnsi="宋体" w:cs="宋体"/>
          <w:color w:val="auto"/>
          <w:kern w:val="0"/>
          <w:sz w:val="24"/>
          <w:highlight w:val="none"/>
          <w:lang w:val="en-US" w:eastAsia="zh-CN" w:bidi="ar"/>
        </w:rPr>
        <w:t>7、</w:t>
      </w:r>
      <w:r>
        <w:rPr>
          <w:rStyle w:val="27"/>
          <w:rFonts w:hint="eastAsia" w:ascii="宋体" w:hAnsi="宋体" w:cs="宋体"/>
          <w:color w:val="auto"/>
          <w:kern w:val="0"/>
          <w:sz w:val="24"/>
          <w:highlight w:val="none"/>
          <w:lang w:bidi="ar"/>
        </w:rPr>
        <w:t>支付方式</w:t>
      </w:r>
      <w:r>
        <w:rPr>
          <w:rStyle w:val="27"/>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szCs w:val="24"/>
          <w:highlight w:val="none"/>
          <w:lang w:val="en-US" w:eastAsia="zh-CN" w:bidi="ar-SA"/>
        </w:rPr>
        <w:t>合同签订后10日内采购人根据中标人开具的100%发票支付合同总金额的20%；项目完成后10日内，采购人支付合同剩余总金额的80%</w:t>
      </w:r>
      <w:r>
        <w:rPr>
          <w:rFonts w:hint="eastAsia"/>
          <w:color w:val="auto"/>
          <w:sz w:val="24"/>
          <w:szCs w:val="24"/>
          <w:lang w:eastAsia="zh-CN"/>
        </w:rPr>
        <w:t>。</w:t>
      </w:r>
    </w:p>
    <w:p>
      <w:pPr>
        <w:pageBreakBefore w:val="0"/>
        <w:widowControl w:val="0"/>
        <w:tabs>
          <w:tab w:val="left" w:pos="3402"/>
        </w:tabs>
        <w:kinsoku/>
        <w:wordWrap/>
        <w:topLinePunct w:val="0"/>
        <w:bidi w:val="0"/>
        <w:snapToGrid w:val="0"/>
        <w:spacing w:line="400" w:lineRule="exact"/>
        <w:ind w:firstLine="241" w:firstLineChars="100"/>
        <w:textAlignment w:val="auto"/>
        <w:rPr>
          <w:rFonts w:ascii="宋体" w:hAnsi="宋体" w:cs="宋体"/>
          <w:b/>
          <w:color w:val="auto"/>
          <w:sz w:val="24"/>
        </w:rPr>
      </w:pPr>
      <w:r>
        <w:rPr>
          <w:rFonts w:hint="eastAsia" w:ascii="宋体" w:hAnsi="宋体" w:cs="宋体"/>
          <w:b/>
          <w:bCs/>
          <w:color w:val="auto"/>
          <w:kern w:val="0"/>
          <w:sz w:val="24"/>
          <w:szCs w:val="24"/>
          <w:highlight w:val="none"/>
          <w:lang w:val="en-US" w:eastAsia="zh-CN"/>
        </w:rPr>
        <w:t>8、</w:t>
      </w:r>
      <w:r>
        <w:rPr>
          <w:rFonts w:hint="eastAsia" w:ascii="宋体" w:hAnsi="宋体" w:cs="宋体"/>
          <w:b/>
          <w:color w:val="auto"/>
          <w:sz w:val="24"/>
        </w:rPr>
        <w:t>违约责任</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.1、在签定采购合同之后，中标人要求解除合同的，视为中标人违约，对使用单位造成的损失的，中标人需支付相应的赔偿。</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.2、中标人若出现3次误送、漏送、错送等人为失误的情形，经采购人通知整改后，仍未整改到位，采购人有权解除合同。</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.3、中标人逾期供货, 影响采购人的, 采购人有权在指定的取价超市购买，此次采购的货物超过合同约定价格的差价由中标人支付, 并且还须支付逾期供货产生的违约金, 第一次逾期供货的须支付违约金5000元,出现第二次逾期供货的情况,采购人有权单方面终止合同，除此之外中标人还须支付违约金20000元。</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.4、中标人擅自停止供货时, 采购人有权在指定的取价超市购买, 此批次采购的货物超过合同约定价格的差价由中标人支付, 并且中标人擅自停止供货一次支付违约金10000元, 违约金可以从应付货款中支付</w:t>
      </w:r>
      <w:r>
        <w:rPr>
          <w:rFonts w:hint="eastAsia" w:ascii="宋体" w:hAnsi="宋体" w:cs="宋体"/>
          <w:color w:val="auto"/>
          <w:sz w:val="24"/>
          <w:lang w:eastAsia="zh-CN"/>
        </w:rPr>
        <w:t>；</w:t>
      </w:r>
      <w:r>
        <w:rPr>
          <w:rFonts w:hint="eastAsia" w:ascii="宋体" w:hAnsi="宋体" w:cs="宋体"/>
          <w:color w:val="auto"/>
          <w:sz w:val="24"/>
        </w:rPr>
        <w:t>出现第二次擅自停止供货的违约情况, 采购人有权单方面终止合同，除此之外中标人还须支付违约金40000元。</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.5、中标人销售给采购人的物资掺杂, 以次充好等不符合产品质量要求等违约情形的,采购人有权单方决定退货并责令中标人更换合格货物, 中标人未及时更换合格货物, 影响采购人的,采购人有权在指定的取价超市购买(采购的货物超过合同约定价格的差价由中标人支付。采购人发现商品为伪劣商品的, 发现一次处以 10000元的违约金, 并无条件退换商品, 违约金可以从应付货款中支付；发现两次的, 采购人有权单方面解除合同，除此之外中标人还须支付违约金40000元, 给采购人造成严重损失的, 还要承担相应的赔偿责任。</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.6、任何一方中途单方面解除合同，或因违约被守约方解除合同，违约方应当按合同总金额的10%向守约方支付违约金。</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.7、中标人由于食品安全管理不善造成的食品安全事故的由中标人承担一切法律及经济责任，并承担由此产生的一切费用；采购人有权解除合同。</w:t>
      </w:r>
    </w:p>
    <w:p>
      <w:pPr>
        <w:pageBreakBefore w:val="0"/>
        <w:widowControl w:val="0"/>
        <w:tabs>
          <w:tab w:val="left" w:pos="900"/>
        </w:tabs>
        <w:kinsoku/>
        <w:wordWrap/>
        <w:topLinePunct w:val="0"/>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.8、中标人有义务对采购人提供的</w:t>
      </w:r>
      <w:r>
        <w:rPr>
          <w:rFonts w:hint="eastAsia" w:ascii="宋体" w:hAnsi="宋体" w:cs="宋体"/>
          <w:color w:val="auto"/>
          <w:sz w:val="24"/>
          <w:lang w:eastAsia="zh-CN"/>
        </w:rPr>
        <w:t>福建省立医院工会委员会工会会员</w:t>
      </w:r>
      <w:r>
        <w:rPr>
          <w:rFonts w:hint="eastAsia" w:ascii="宋体" w:hAnsi="宋体" w:cs="宋体"/>
          <w:color w:val="auto"/>
          <w:sz w:val="24"/>
        </w:rPr>
        <w:t>信息保密，不擅自使用、复制、未经采购人书面许可中标人不得向第三方泄露采购人员工信息，中标人违反此保密义务的，应补偿由此给采购人及其员工造成的损失。</w:t>
      </w:r>
    </w:p>
    <w:p>
      <w:pPr>
        <w:pStyle w:val="19"/>
        <w:pageBreakBefore w:val="0"/>
        <w:widowControl w:val="0"/>
        <w:kinsoku/>
        <w:wordWrap/>
        <w:topLinePunct w:val="0"/>
        <w:bidi w:val="0"/>
        <w:spacing w:before="59" w:beforeAutospacing="0" w:after="59" w:afterAutospacing="0" w:line="400" w:lineRule="exact"/>
        <w:ind w:firstLine="241" w:firstLineChars="100"/>
        <w:textAlignment w:val="auto"/>
        <w:rPr>
          <w:rFonts w:ascii="宋体" w:hAnsi="宋体" w:cs="宋体"/>
          <w:b/>
          <w:color w:val="auto"/>
        </w:rPr>
      </w:pPr>
      <w:r>
        <w:rPr>
          <w:rFonts w:hint="eastAsia" w:ascii="宋体" w:hAnsi="宋体" w:cs="宋体"/>
          <w:b/>
          <w:color w:val="auto"/>
          <w:lang w:val="en-US" w:eastAsia="zh-CN"/>
        </w:rPr>
        <w:t>9</w:t>
      </w:r>
      <w:r>
        <w:rPr>
          <w:rFonts w:hint="eastAsia" w:ascii="宋体" w:hAnsi="宋体" w:cs="宋体"/>
          <w:b/>
          <w:color w:val="auto"/>
        </w:rPr>
        <w:t xml:space="preserve">、商品质量保证及服务承诺 </w:t>
      </w:r>
    </w:p>
    <w:p>
      <w:pPr>
        <w:pageBreakBefore w:val="0"/>
        <w:widowControl w:val="0"/>
        <w:tabs>
          <w:tab w:val="left" w:pos="3402"/>
        </w:tabs>
        <w:kinsoku/>
        <w:wordWrap/>
        <w:topLinePunct w:val="0"/>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.1、中标人应当查验所提供的货物的供货者的许可证和食品出厂检验合格证或者其他合格证明, 并且所供的商品应留有三分之二（含）以上的保质期限。中标人须将相关材料存档, 以便随时查看相关证明材料。</w:t>
      </w:r>
    </w:p>
    <w:p>
      <w:pPr>
        <w:pageBreakBefore w:val="0"/>
        <w:widowControl w:val="0"/>
        <w:tabs>
          <w:tab w:val="left" w:pos="3402"/>
        </w:tabs>
        <w:kinsoku/>
        <w:wordWrap/>
        <w:topLinePunct w:val="0"/>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.2、中标人所提供的货物如在保质期内由于货物质量问题造成的食物变质中毒事件,应在2小时内派项目负责人到达现场协调解决处理, 并承担《中华人民共和国食品安全法》及其它相关法律法规规章规定的一切责任。</w:t>
      </w:r>
    </w:p>
    <w:p>
      <w:pPr>
        <w:pageBreakBefore w:val="0"/>
        <w:widowControl w:val="0"/>
        <w:tabs>
          <w:tab w:val="left" w:pos="3402"/>
        </w:tabs>
        <w:kinsoku/>
        <w:wordWrap/>
        <w:topLinePunct w:val="0"/>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.3、中标人所提供的货物严格按照《国家三包法》特别是《中华人民共和国食品安全法》的有关规定执行, 若所提供的货物在送货途中出现破损的, 中标人将免费更换, 并保证供货质量、进度不受影响。</w:t>
      </w:r>
    </w:p>
    <w:p>
      <w:pPr>
        <w:pageBreakBefore w:val="0"/>
        <w:widowControl w:val="0"/>
        <w:tabs>
          <w:tab w:val="left" w:pos="3402"/>
        </w:tabs>
        <w:kinsoku/>
        <w:wordWrap/>
        <w:topLinePunct w:val="0"/>
        <w:bidi w:val="0"/>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.4、中标人承诺绝不降低采购货物的质量标准和档次, 所供的货物应完全按采购人确定的标准提供货物, 并保证所提供的货物是原厂原装, 未经拆封、品质优良的产品。所提供的货物质量等级、生产, 技术标准均符合《中华人民共和国食品安全法》等国家行业的规范和质量标准, 如有违反规定,中标人承担一切法律责任。</w:t>
      </w:r>
    </w:p>
    <w:p>
      <w:pPr>
        <w:pageBreakBefore w:val="0"/>
        <w:widowControl w:val="0"/>
        <w:tabs>
          <w:tab w:val="left" w:pos="3402"/>
        </w:tabs>
        <w:kinsoku/>
        <w:wordWrap/>
        <w:topLinePunct w:val="0"/>
        <w:bidi w:val="0"/>
        <w:snapToGrid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9.5、投标人应保障大米、食用油的充足供应，确保每人能够至少2次选择大米（10公斤或以上）、食用油（1.8L或以上）。</w:t>
      </w:r>
    </w:p>
    <w:p>
      <w:pPr>
        <w:pageBreakBefore w:val="0"/>
        <w:widowControl w:val="0"/>
        <w:tabs>
          <w:tab w:val="left" w:pos="3402"/>
        </w:tabs>
        <w:kinsoku/>
        <w:wordWrap/>
        <w:topLinePunct w:val="0"/>
        <w:bidi w:val="0"/>
        <w:snapToGrid w:val="0"/>
        <w:spacing w:line="400" w:lineRule="exact"/>
        <w:ind w:firstLine="241" w:firstLineChars="100"/>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10、售后服务及要求</w:t>
      </w:r>
    </w:p>
    <w:p>
      <w:pPr>
        <w:pageBreakBefore w:val="0"/>
        <w:widowControl w:val="0"/>
        <w:tabs>
          <w:tab w:val="left" w:pos="3402"/>
        </w:tabs>
        <w:kinsoku/>
        <w:wordWrap/>
        <w:topLinePunct w:val="0"/>
        <w:bidi w:val="0"/>
        <w:snapToGrid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10.1中标人对所提供的采购物资提供“三包”，对质量不合格产品实行包换、包退。</w:t>
      </w:r>
    </w:p>
    <w:p>
      <w:pPr>
        <w:pageBreakBefore w:val="0"/>
        <w:widowControl w:val="0"/>
        <w:tabs>
          <w:tab w:val="left" w:pos="3402"/>
        </w:tabs>
        <w:kinsoku/>
        <w:wordWrap/>
        <w:topLinePunct w:val="0"/>
        <w:bidi w:val="0"/>
        <w:snapToGrid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10.2中标人应接受采购人意见进行整改、及时退换货、遵守采购人管理制度及相关规定，满足采购人特殊采购模式的需求。</w:t>
      </w:r>
    </w:p>
    <w:p>
      <w:pPr>
        <w:pStyle w:val="19"/>
        <w:widowControl/>
        <w:spacing w:before="0" w:beforeAutospacing="0" w:after="0" w:afterAutospacing="0" w:line="440" w:lineRule="exact"/>
        <w:rPr>
          <w:rFonts w:hint="eastAsia" w:ascii="宋体" w:hAnsi="宋体" w:cs="宋体"/>
          <w:b/>
          <w:bCs/>
          <w:color w:val="auto"/>
          <w:highlight w:val="none"/>
        </w:rPr>
      </w:pPr>
    </w:p>
    <w:p>
      <w:pPr>
        <w:pStyle w:val="19"/>
        <w:widowControl/>
        <w:spacing w:before="0" w:beforeAutospacing="0" w:after="0" w:afterAutospacing="0" w:line="440" w:lineRule="exact"/>
        <w:rPr>
          <w:b/>
          <w:bCs/>
          <w:color w:val="auto"/>
          <w:highlight w:val="none"/>
        </w:rPr>
      </w:pPr>
      <w:r>
        <w:rPr>
          <w:rFonts w:hint="eastAsia" w:ascii="宋体" w:hAnsi="宋体" w:cs="宋体"/>
          <w:b/>
          <w:bCs/>
          <w:color w:val="auto"/>
          <w:highlight w:val="none"/>
        </w:rPr>
        <w:t>四、其他事项</w:t>
      </w:r>
    </w:p>
    <w:bookmarkEnd w:id="47"/>
    <w:p>
      <w:pPr>
        <w:widowControl w:val="0"/>
        <w:tabs>
          <w:tab w:val="left" w:pos="3402"/>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1、除招标文件另有规定外，若出现有关法律、法规和规章有强制性规定但招标文件未列明的情形，则投标人应按照有关法律、法规和规章强制性规定执行。</w:t>
      </w:r>
    </w:p>
    <w:p>
      <w:pPr>
        <w:widowControl w:val="0"/>
        <w:tabs>
          <w:tab w:val="left" w:pos="3402"/>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2、本项目不允许中标人以任何名义和理由进行转包，如有发现，采购人有权单方终止合同，视为中标人违约；中标人违约对采购人造成的损失的，需另行支付相应的赔偿。</w:t>
      </w:r>
    </w:p>
    <w:p>
      <w:pPr>
        <w:widowControl w:val="0"/>
        <w:tabs>
          <w:tab w:val="left" w:pos="3402"/>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3、本招标文件未明确的其它约定事项或条款，待采购人与中标人签订合同时，由双方协商订立。</w:t>
      </w:r>
    </w:p>
    <w:p>
      <w:pPr>
        <w:rPr>
          <w:rFonts w:hint="eastAsia"/>
          <w:color w:val="auto"/>
          <w:highlight w:val="none"/>
        </w:rPr>
      </w:pPr>
      <w:r>
        <w:rPr>
          <w:rFonts w:hint="eastAsia"/>
          <w:color w:val="auto"/>
          <w:highlight w:val="none"/>
        </w:rPr>
        <w:br w:type="page"/>
      </w:r>
    </w:p>
    <w:p>
      <w:pPr>
        <w:pStyle w:val="2"/>
        <w:jc w:val="center"/>
        <w:rPr>
          <w:color w:val="auto"/>
          <w:highlight w:val="none"/>
        </w:rPr>
      </w:pPr>
      <w:bookmarkStart w:id="62" w:name="_Toc3458"/>
      <w:r>
        <w:rPr>
          <w:rFonts w:hint="eastAsia"/>
          <w:color w:val="auto"/>
          <w:highlight w:val="none"/>
        </w:rPr>
        <w:t>第六章 采购合同（参考文本）</w:t>
      </w:r>
      <w:bookmarkEnd w:id="48"/>
      <w:bookmarkEnd w:id="62"/>
    </w:p>
    <w:p>
      <w:pPr>
        <w:pStyle w:val="56"/>
        <w:rPr>
          <w:rFonts w:hint="default"/>
          <w:color w:val="auto"/>
          <w:highlight w:val="none"/>
        </w:rPr>
      </w:pPr>
    </w:p>
    <w:p>
      <w:pPr>
        <w:pStyle w:val="56"/>
        <w:rPr>
          <w:rFonts w:hint="default"/>
          <w:color w:val="auto"/>
          <w:highlight w:val="none"/>
        </w:rPr>
      </w:pPr>
      <w:r>
        <w:rPr>
          <w:color w:val="auto"/>
          <w:highlight w:val="none"/>
        </w:rPr>
        <w:t>合同编号：</w:t>
      </w:r>
    </w:p>
    <w:p>
      <w:pPr>
        <w:pStyle w:val="56"/>
        <w:jc w:val="center"/>
        <w:outlineLvl w:val="1"/>
        <w:rPr>
          <w:color w:val="auto"/>
          <w:highlight w:val="none"/>
        </w:rPr>
      </w:pPr>
      <w:bookmarkStart w:id="63" w:name="_Toc26384"/>
      <w:r>
        <w:rPr>
          <w:b/>
          <w:color w:val="auto"/>
          <w:sz w:val="36"/>
          <w:highlight w:val="none"/>
        </w:rPr>
        <w:t>福建省政府采购合同（服务类）</w:t>
      </w:r>
      <w:bookmarkEnd w:id="63"/>
    </w:p>
    <w:p>
      <w:pPr>
        <w:pStyle w:val="56"/>
        <w:jc w:val="center"/>
        <w:outlineLvl w:val="3"/>
        <w:rPr>
          <w:color w:val="auto"/>
          <w:highlight w:val="none"/>
        </w:rPr>
      </w:pPr>
      <w:r>
        <w:rPr>
          <w:b/>
          <w:color w:val="auto"/>
          <w:sz w:val="24"/>
          <w:highlight w:val="none"/>
        </w:rPr>
        <w:t>编制说明</w:t>
      </w:r>
      <w:r>
        <w:rPr>
          <w:color w:val="auto"/>
          <w:highlight w:val="none"/>
        </w:rPr>
        <w:br w:type="textWrapping"/>
      </w:r>
    </w:p>
    <w:p>
      <w:pPr>
        <w:pStyle w:val="56"/>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56"/>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56"/>
        <w:jc w:val="left"/>
        <w:outlineLvl w:val="3"/>
        <w:rPr>
          <w:color w:val="auto"/>
          <w:highlight w:val="none"/>
        </w:rPr>
      </w:pPr>
      <w:r>
        <w:rPr>
          <w:b/>
          <w:color w:val="auto"/>
          <w:sz w:val="24"/>
          <w:highlight w:val="none"/>
        </w:rPr>
        <w:t>3.政府有关主管部门对若干合同有规范文本的，可使用相应合同文本。</w:t>
      </w:r>
    </w:p>
    <w:p>
      <w:pPr>
        <w:pStyle w:val="56"/>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56"/>
        <w:ind w:left="0"/>
        <w:jc w:val="left"/>
        <w:rPr>
          <w:color w:val="auto"/>
          <w:highlight w:val="none"/>
        </w:rPr>
      </w:pPr>
    </w:p>
    <w:p>
      <w:pPr>
        <w:pStyle w:val="56"/>
        <w:jc w:val="left"/>
        <w:rPr>
          <w:color w:val="auto"/>
          <w:highlight w:val="none"/>
        </w:rPr>
      </w:pPr>
      <w:r>
        <w:rPr>
          <w:color w:val="auto"/>
          <w:highlight w:val="none"/>
        </w:rPr>
        <w:t>甲方：</w:t>
      </w:r>
    </w:p>
    <w:p>
      <w:pPr>
        <w:pStyle w:val="56"/>
        <w:jc w:val="left"/>
        <w:rPr>
          <w:color w:val="auto"/>
          <w:highlight w:val="none"/>
        </w:rPr>
      </w:pPr>
      <w:r>
        <w:rPr>
          <w:color w:val="auto"/>
          <w:highlight w:val="none"/>
        </w:rPr>
        <w:t>住所地：________________</w:t>
      </w:r>
    </w:p>
    <w:p>
      <w:pPr>
        <w:pStyle w:val="56"/>
        <w:jc w:val="left"/>
        <w:rPr>
          <w:color w:val="auto"/>
          <w:highlight w:val="none"/>
        </w:rPr>
      </w:pPr>
      <w:r>
        <w:rPr>
          <w:color w:val="auto"/>
          <w:highlight w:val="none"/>
        </w:rPr>
        <w:t>联系人：________________</w:t>
      </w:r>
    </w:p>
    <w:p>
      <w:pPr>
        <w:pStyle w:val="56"/>
        <w:jc w:val="left"/>
        <w:rPr>
          <w:color w:val="auto"/>
          <w:highlight w:val="none"/>
        </w:rPr>
      </w:pPr>
      <w:r>
        <w:rPr>
          <w:color w:val="auto"/>
          <w:highlight w:val="none"/>
        </w:rPr>
        <w:t>联系电话：______________</w:t>
      </w:r>
    </w:p>
    <w:p>
      <w:pPr>
        <w:pStyle w:val="56"/>
        <w:jc w:val="left"/>
        <w:rPr>
          <w:color w:val="auto"/>
          <w:highlight w:val="none"/>
        </w:rPr>
      </w:pPr>
      <w:r>
        <w:rPr>
          <w:color w:val="auto"/>
          <w:highlight w:val="none"/>
        </w:rPr>
        <w:t>传真：________________</w:t>
      </w:r>
    </w:p>
    <w:p>
      <w:pPr>
        <w:pStyle w:val="56"/>
        <w:jc w:val="left"/>
        <w:rPr>
          <w:color w:val="auto"/>
          <w:highlight w:val="none"/>
        </w:rPr>
      </w:pPr>
      <w:r>
        <w:rPr>
          <w:color w:val="auto"/>
          <w:highlight w:val="none"/>
        </w:rPr>
        <w:t>电子邮箱：________________</w:t>
      </w:r>
      <w:r>
        <w:rPr>
          <w:color w:val="auto"/>
          <w:highlight w:val="none"/>
        </w:rPr>
        <w:br w:type="textWrapping"/>
      </w:r>
    </w:p>
    <w:p>
      <w:pPr>
        <w:pStyle w:val="56"/>
        <w:ind w:left="0"/>
        <w:jc w:val="left"/>
        <w:rPr>
          <w:color w:val="auto"/>
          <w:highlight w:val="none"/>
        </w:rPr>
      </w:pPr>
    </w:p>
    <w:p>
      <w:pPr>
        <w:pStyle w:val="56"/>
        <w:jc w:val="left"/>
        <w:rPr>
          <w:color w:val="auto"/>
          <w:highlight w:val="none"/>
        </w:rPr>
      </w:pPr>
      <w:r>
        <w:rPr>
          <w:color w:val="auto"/>
          <w:highlight w:val="none"/>
        </w:rPr>
        <w:t>乙方：________________</w:t>
      </w:r>
    </w:p>
    <w:p>
      <w:pPr>
        <w:pStyle w:val="56"/>
        <w:jc w:val="left"/>
        <w:rPr>
          <w:color w:val="auto"/>
          <w:highlight w:val="none"/>
        </w:rPr>
      </w:pPr>
      <w:r>
        <w:rPr>
          <w:color w:val="auto"/>
          <w:highlight w:val="none"/>
        </w:rPr>
        <w:t>住所地：________________</w:t>
      </w:r>
    </w:p>
    <w:p>
      <w:pPr>
        <w:pStyle w:val="56"/>
        <w:jc w:val="left"/>
        <w:rPr>
          <w:color w:val="auto"/>
          <w:highlight w:val="none"/>
        </w:rPr>
      </w:pPr>
      <w:r>
        <w:rPr>
          <w:color w:val="auto"/>
          <w:highlight w:val="none"/>
        </w:rPr>
        <w:t>联系人：______________</w:t>
      </w:r>
    </w:p>
    <w:p>
      <w:pPr>
        <w:pStyle w:val="56"/>
        <w:jc w:val="left"/>
        <w:rPr>
          <w:color w:val="auto"/>
          <w:highlight w:val="none"/>
        </w:rPr>
      </w:pPr>
      <w:r>
        <w:rPr>
          <w:color w:val="auto"/>
          <w:highlight w:val="none"/>
        </w:rPr>
        <w:t>联系电话：______________</w:t>
      </w:r>
    </w:p>
    <w:p>
      <w:pPr>
        <w:pStyle w:val="56"/>
        <w:jc w:val="left"/>
        <w:rPr>
          <w:color w:val="auto"/>
          <w:highlight w:val="none"/>
        </w:rPr>
      </w:pPr>
      <w:r>
        <w:rPr>
          <w:color w:val="auto"/>
          <w:highlight w:val="none"/>
        </w:rPr>
        <w:t>传真：________________</w:t>
      </w:r>
    </w:p>
    <w:p>
      <w:pPr>
        <w:pStyle w:val="56"/>
        <w:jc w:val="left"/>
        <w:rPr>
          <w:color w:val="auto"/>
          <w:highlight w:val="none"/>
        </w:rPr>
      </w:pPr>
      <w:r>
        <w:rPr>
          <w:color w:val="auto"/>
          <w:highlight w:val="none"/>
        </w:rPr>
        <w:t>电子邮箱：________________</w:t>
      </w:r>
    </w:p>
    <w:p>
      <w:pPr>
        <w:pStyle w:val="56"/>
        <w:jc w:val="left"/>
        <w:rPr>
          <w:color w:val="auto"/>
          <w:highlight w:val="none"/>
        </w:rPr>
      </w:pPr>
      <w:r>
        <w:rPr>
          <w:color w:val="auto"/>
          <w:highlight w:val="none"/>
        </w:rPr>
        <w:t>根据项目编号为___________的__________项目（以下简称：“本项目”）的采购结果，遵循平等、自愿、公平和诚实信用的原则，双方签署本合同，具体内容如下：</w:t>
      </w:r>
    </w:p>
    <w:p>
      <w:pPr>
        <w:pStyle w:val="56"/>
        <w:jc w:val="left"/>
        <w:outlineLvl w:val="3"/>
        <w:rPr>
          <w:color w:val="auto"/>
          <w:highlight w:val="none"/>
        </w:rPr>
      </w:pPr>
      <w:r>
        <w:rPr>
          <w:b/>
          <w:color w:val="auto"/>
          <w:sz w:val="24"/>
          <w:highlight w:val="none"/>
        </w:rPr>
        <w:t>一、合同组成部分</w:t>
      </w:r>
    </w:p>
    <w:p>
      <w:pPr>
        <w:pStyle w:val="56"/>
        <w:jc w:val="left"/>
        <w:rPr>
          <w:color w:val="auto"/>
          <w:highlight w:val="none"/>
        </w:rPr>
      </w:pPr>
      <w:r>
        <w:rPr>
          <w:color w:val="auto"/>
          <w:highlight w:val="none"/>
        </w:rPr>
        <w:t>1.1本合同条款及附件；</w:t>
      </w:r>
    </w:p>
    <w:p>
      <w:pPr>
        <w:pStyle w:val="56"/>
        <w:jc w:val="left"/>
        <w:rPr>
          <w:color w:val="auto"/>
          <w:highlight w:val="none"/>
        </w:rPr>
      </w:pPr>
      <w:r>
        <w:rPr>
          <w:color w:val="auto"/>
          <w:highlight w:val="none"/>
        </w:rPr>
        <w:t>1.2采购文件及其附件、补充文件；</w:t>
      </w:r>
    </w:p>
    <w:p>
      <w:pPr>
        <w:pStyle w:val="56"/>
        <w:jc w:val="left"/>
        <w:rPr>
          <w:color w:val="auto"/>
          <w:highlight w:val="none"/>
        </w:rPr>
      </w:pPr>
      <w:r>
        <w:rPr>
          <w:color w:val="auto"/>
          <w:highlight w:val="none"/>
        </w:rPr>
        <w:t>1.3乙方的响应文件及其附件、补充文件；</w:t>
      </w:r>
    </w:p>
    <w:p>
      <w:pPr>
        <w:pStyle w:val="56"/>
        <w:jc w:val="left"/>
        <w:rPr>
          <w:color w:val="auto"/>
          <w:highlight w:val="none"/>
        </w:rPr>
      </w:pPr>
      <w:r>
        <w:rPr>
          <w:color w:val="auto"/>
          <w:highlight w:val="none"/>
        </w:rPr>
        <w:t>1.4其他文件或材料：</w:t>
      </w:r>
    </w:p>
    <w:p>
      <w:pPr>
        <w:pStyle w:val="56"/>
        <w:jc w:val="left"/>
        <w:outlineLvl w:val="3"/>
        <w:rPr>
          <w:color w:val="auto"/>
          <w:highlight w:val="none"/>
        </w:rPr>
      </w:pPr>
      <w:r>
        <w:rPr>
          <w:b/>
          <w:color w:val="auto"/>
          <w:sz w:val="24"/>
          <w:highlight w:val="none"/>
        </w:rPr>
        <w:t>二、合同标的</w:t>
      </w:r>
      <w:r>
        <w:rPr>
          <w:color w:val="auto"/>
          <w:highlight w:val="none"/>
        </w:rPr>
        <w:br w:type="textWrapping"/>
      </w:r>
    </w:p>
    <w:p>
      <w:pPr>
        <w:pStyle w:val="56"/>
        <w:jc w:val="left"/>
        <w:outlineLvl w:val="3"/>
        <w:rPr>
          <w:color w:val="auto"/>
          <w:highlight w:val="none"/>
        </w:rPr>
      </w:pPr>
      <w:r>
        <w:rPr>
          <w:b/>
          <w:color w:val="auto"/>
          <w:sz w:val="24"/>
          <w:highlight w:val="none"/>
        </w:rPr>
        <w:t>三、价格形式及合同价款</w:t>
      </w:r>
    </w:p>
    <w:p>
      <w:pPr>
        <w:pStyle w:val="56"/>
        <w:jc w:val="left"/>
        <w:outlineLvl w:val="4"/>
        <w:rPr>
          <w:color w:val="auto"/>
          <w:highlight w:val="none"/>
        </w:rPr>
      </w:pPr>
      <w:r>
        <w:rPr>
          <w:b/>
          <w:color w:val="auto"/>
          <w:sz w:val="20"/>
          <w:highlight w:val="none"/>
        </w:rPr>
        <w:t>3.1价格形式</w:t>
      </w:r>
    </w:p>
    <w:p>
      <w:pPr>
        <w:pStyle w:val="56"/>
        <w:jc w:val="left"/>
        <w:rPr>
          <w:color w:val="auto"/>
          <w:highlight w:val="none"/>
        </w:rPr>
      </w:pPr>
    </w:p>
    <w:p>
      <w:pPr>
        <w:pStyle w:val="56"/>
        <w:spacing w:line="300" w:lineRule="auto"/>
        <w:jc w:val="left"/>
        <w:rPr>
          <w:color w:val="auto"/>
          <w:highlight w:val="none"/>
        </w:rPr>
      </w:pPr>
      <w:r>
        <w:rPr>
          <w:color w:val="auto"/>
          <w:highlight w:val="none"/>
        </w:rPr>
        <w:t>固定单价合同。完成约定服务事项的含税合同单价为：人民币（大写）元（￥_____________元）。</w:t>
      </w:r>
    </w:p>
    <w:p>
      <w:pPr>
        <w:pStyle w:val="56"/>
        <w:spacing w:line="300" w:lineRule="auto"/>
        <w:jc w:val="left"/>
        <w:rPr>
          <w:color w:val="auto"/>
          <w:highlight w:val="none"/>
        </w:rPr>
      </w:pPr>
      <w:r>
        <w:rPr>
          <w:color w:val="auto"/>
          <w:highlight w:val="none"/>
        </w:rPr>
        <w:t>固定总价合同。完成约定服务事项的含税服务费用为：人民币（大写）元（￥_____________元）。</w:t>
      </w:r>
    </w:p>
    <w:p>
      <w:pPr>
        <w:pStyle w:val="56"/>
        <w:spacing w:line="300" w:lineRule="auto"/>
        <w:jc w:val="left"/>
        <w:rPr>
          <w:color w:val="auto"/>
          <w:highlight w:val="none"/>
        </w:rPr>
      </w:pPr>
      <w:r>
        <w:rPr>
          <w:color w:val="auto"/>
          <w:highlight w:val="none"/>
        </w:rPr>
        <w:t>其他方式。</w:t>
      </w:r>
    </w:p>
    <w:p>
      <w:pPr>
        <w:pStyle w:val="56"/>
        <w:spacing w:line="300" w:lineRule="auto"/>
        <w:jc w:val="left"/>
        <w:rPr>
          <w:color w:val="auto"/>
          <w:highlight w:val="none"/>
        </w:rPr>
      </w:pPr>
    </w:p>
    <w:p>
      <w:pPr>
        <w:pStyle w:val="56"/>
        <w:jc w:val="left"/>
        <w:outlineLvl w:val="4"/>
        <w:rPr>
          <w:color w:val="auto"/>
          <w:highlight w:val="none"/>
        </w:rPr>
      </w:pPr>
      <w:r>
        <w:rPr>
          <w:b/>
          <w:color w:val="auto"/>
          <w:sz w:val="20"/>
          <w:highlight w:val="none"/>
        </w:rPr>
        <w:t>3.2合同价款包含范围</w:t>
      </w:r>
    </w:p>
    <w:p>
      <w:pPr>
        <w:pStyle w:val="56"/>
        <w:jc w:val="left"/>
        <w:outlineLvl w:val="4"/>
        <w:rPr>
          <w:color w:val="auto"/>
          <w:highlight w:val="none"/>
        </w:rPr>
      </w:pPr>
      <w:r>
        <w:rPr>
          <w:b/>
          <w:color w:val="auto"/>
          <w:sz w:val="20"/>
          <w:highlight w:val="none"/>
        </w:rPr>
        <w:t>3.3其他需说明的事项：</w:t>
      </w:r>
    </w:p>
    <w:p>
      <w:pPr>
        <w:pStyle w:val="56"/>
        <w:jc w:val="left"/>
        <w:outlineLvl w:val="3"/>
        <w:rPr>
          <w:color w:val="auto"/>
          <w:highlight w:val="none"/>
        </w:rPr>
      </w:pPr>
      <w:r>
        <w:rPr>
          <w:b/>
          <w:color w:val="auto"/>
          <w:sz w:val="24"/>
          <w:highlight w:val="none"/>
        </w:rPr>
        <w:t>四、合同标的及服务范围、地点和时间</w:t>
      </w:r>
    </w:p>
    <w:p>
      <w:pPr>
        <w:pStyle w:val="56"/>
        <w:jc w:val="left"/>
        <w:rPr>
          <w:color w:val="auto"/>
          <w:highlight w:val="none"/>
        </w:rPr>
      </w:pPr>
      <w:r>
        <w:rPr>
          <w:color w:val="auto"/>
          <w:highlight w:val="none"/>
        </w:rPr>
        <w:t>4.1项目名称：_____________</w:t>
      </w:r>
    </w:p>
    <w:p>
      <w:pPr>
        <w:pStyle w:val="56"/>
        <w:jc w:val="left"/>
        <w:rPr>
          <w:color w:val="auto"/>
          <w:highlight w:val="none"/>
        </w:rPr>
      </w:pPr>
      <w:r>
        <w:rPr>
          <w:color w:val="auto"/>
          <w:highlight w:val="none"/>
        </w:rPr>
        <w:t>4.2服务范围：_____________</w:t>
      </w:r>
    </w:p>
    <w:p>
      <w:pPr>
        <w:pStyle w:val="56"/>
        <w:jc w:val="left"/>
        <w:rPr>
          <w:color w:val="auto"/>
          <w:highlight w:val="none"/>
        </w:rPr>
      </w:pPr>
      <w:r>
        <w:rPr>
          <w:color w:val="auto"/>
          <w:highlight w:val="none"/>
        </w:rPr>
        <w:t>4.3服务地点：_____________</w:t>
      </w:r>
    </w:p>
    <w:p>
      <w:pPr>
        <w:pStyle w:val="56"/>
        <w:jc w:val="left"/>
        <w:rPr>
          <w:color w:val="auto"/>
          <w:highlight w:val="none"/>
        </w:rPr>
      </w:pPr>
      <w:r>
        <w:rPr>
          <w:color w:val="auto"/>
          <w:highlight w:val="none"/>
        </w:rPr>
        <w:t>4.4服务完成时间：_____________</w:t>
      </w:r>
    </w:p>
    <w:p>
      <w:pPr>
        <w:pStyle w:val="56"/>
        <w:jc w:val="left"/>
        <w:outlineLvl w:val="3"/>
        <w:rPr>
          <w:color w:val="auto"/>
          <w:highlight w:val="none"/>
        </w:rPr>
      </w:pPr>
      <w:r>
        <w:rPr>
          <w:b/>
          <w:color w:val="auto"/>
          <w:sz w:val="24"/>
          <w:highlight w:val="none"/>
        </w:rPr>
        <w:t>五、服务内容、质量标准和要求</w:t>
      </w:r>
    </w:p>
    <w:p>
      <w:pPr>
        <w:pStyle w:val="56"/>
        <w:jc w:val="left"/>
        <w:rPr>
          <w:color w:val="auto"/>
          <w:highlight w:val="none"/>
        </w:rPr>
      </w:pPr>
      <w:r>
        <w:rPr>
          <w:color w:val="auto"/>
          <w:highlight w:val="none"/>
        </w:rPr>
        <w:t>5.1服务工作量的计量方式：_____________</w:t>
      </w:r>
    </w:p>
    <w:p>
      <w:pPr>
        <w:pStyle w:val="56"/>
        <w:jc w:val="left"/>
        <w:rPr>
          <w:color w:val="auto"/>
          <w:highlight w:val="none"/>
        </w:rPr>
      </w:pPr>
      <w:r>
        <w:rPr>
          <w:color w:val="auto"/>
          <w:highlight w:val="none"/>
        </w:rPr>
        <w:t>5.2服务内容：_____________</w:t>
      </w:r>
    </w:p>
    <w:p>
      <w:pPr>
        <w:pStyle w:val="56"/>
        <w:jc w:val="left"/>
        <w:rPr>
          <w:color w:val="auto"/>
          <w:highlight w:val="none"/>
        </w:rPr>
      </w:pPr>
      <w:r>
        <w:rPr>
          <w:color w:val="auto"/>
          <w:highlight w:val="none"/>
        </w:rPr>
        <w:t>5.3技术保障、服务人员组成、所涉及的货物的质量标准：</w:t>
      </w:r>
    </w:p>
    <w:p>
      <w:pPr>
        <w:pStyle w:val="56"/>
        <w:jc w:val="left"/>
        <w:rPr>
          <w:color w:val="auto"/>
          <w:highlight w:val="none"/>
        </w:rPr>
      </w:pPr>
      <w:r>
        <w:rPr>
          <w:color w:val="auto"/>
          <w:highlight w:val="none"/>
        </w:rPr>
        <w:t>（1）服务技术保障：_____________</w:t>
      </w:r>
    </w:p>
    <w:p>
      <w:pPr>
        <w:pStyle w:val="56"/>
        <w:jc w:val="left"/>
        <w:rPr>
          <w:color w:val="auto"/>
          <w:highlight w:val="none"/>
        </w:rPr>
      </w:pPr>
      <w:r>
        <w:rPr>
          <w:color w:val="auto"/>
          <w:highlight w:val="none"/>
        </w:rPr>
        <w:t>（2）服务人员组成：_____________</w:t>
      </w:r>
    </w:p>
    <w:p>
      <w:pPr>
        <w:pStyle w:val="56"/>
        <w:jc w:val="left"/>
        <w:rPr>
          <w:color w:val="auto"/>
          <w:highlight w:val="none"/>
        </w:rPr>
      </w:pPr>
      <w:r>
        <w:rPr>
          <w:color w:val="auto"/>
          <w:highlight w:val="none"/>
        </w:rPr>
        <w:t>（3）服务设备及物资投入及质量标准：_____________</w:t>
      </w:r>
    </w:p>
    <w:p>
      <w:pPr>
        <w:pStyle w:val="56"/>
        <w:jc w:val="left"/>
        <w:rPr>
          <w:color w:val="auto"/>
          <w:highlight w:val="none"/>
        </w:rPr>
      </w:pPr>
      <w:r>
        <w:rPr>
          <w:color w:val="auto"/>
          <w:highlight w:val="none"/>
        </w:rPr>
        <w:t>5.4服务质量标准及要求：</w:t>
      </w:r>
    </w:p>
    <w:p>
      <w:pPr>
        <w:pStyle w:val="56"/>
        <w:jc w:val="left"/>
        <w:rPr>
          <w:color w:val="auto"/>
          <w:highlight w:val="none"/>
        </w:rPr>
      </w:pPr>
      <w:r>
        <w:rPr>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6"/>
        <w:jc w:val="left"/>
        <w:rPr>
          <w:color w:val="auto"/>
          <w:highlight w:val="none"/>
        </w:rPr>
      </w:pPr>
      <w:r>
        <w:rPr>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56"/>
        <w:jc w:val="left"/>
        <w:rPr>
          <w:color w:val="auto"/>
          <w:highlight w:val="none"/>
        </w:rPr>
      </w:pPr>
      <w:r>
        <w:rPr>
          <w:color w:val="auto"/>
          <w:highlight w:val="none"/>
        </w:rPr>
        <w:t>5.4.3其他要求：</w:t>
      </w:r>
    </w:p>
    <w:p>
      <w:pPr>
        <w:pStyle w:val="56"/>
        <w:jc w:val="left"/>
        <w:outlineLvl w:val="3"/>
        <w:rPr>
          <w:color w:val="auto"/>
          <w:highlight w:val="none"/>
        </w:rPr>
      </w:pPr>
      <w:r>
        <w:rPr>
          <w:b/>
          <w:color w:val="auto"/>
          <w:sz w:val="24"/>
          <w:highlight w:val="none"/>
        </w:rPr>
        <w:t>六、服务履约验收或考核</w:t>
      </w:r>
    </w:p>
    <w:p>
      <w:pPr>
        <w:pStyle w:val="56"/>
        <w:jc w:val="left"/>
        <w:rPr>
          <w:color w:val="auto"/>
          <w:highlight w:val="none"/>
        </w:rPr>
      </w:pPr>
      <w:r>
        <w:rPr>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56"/>
        <w:jc w:val="left"/>
        <w:outlineLvl w:val="3"/>
        <w:rPr>
          <w:color w:val="auto"/>
          <w:highlight w:val="none"/>
        </w:rPr>
      </w:pPr>
      <w:r>
        <w:rPr>
          <w:b/>
          <w:color w:val="auto"/>
          <w:sz w:val="24"/>
          <w:highlight w:val="none"/>
        </w:rPr>
        <w:t>七、甲方的权利与义务</w:t>
      </w:r>
    </w:p>
    <w:p>
      <w:pPr>
        <w:pStyle w:val="56"/>
        <w:jc w:val="left"/>
        <w:rPr>
          <w:color w:val="auto"/>
          <w:highlight w:val="none"/>
        </w:rPr>
      </w:pPr>
      <w:r>
        <w:rPr>
          <w:color w:val="auto"/>
          <w:highlight w:val="none"/>
        </w:rPr>
        <w:t>7.1甲方委派___________为联系人，联系方式___________，负责与乙方联系。如甲方联系人发生变更，甲方应书面告知乙方。</w:t>
      </w:r>
    </w:p>
    <w:p>
      <w:pPr>
        <w:pStyle w:val="56"/>
        <w:jc w:val="left"/>
        <w:rPr>
          <w:color w:val="auto"/>
          <w:highlight w:val="none"/>
        </w:rPr>
      </w:pPr>
      <w:r>
        <w:rPr>
          <w:color w:val="auto"/>
          <w:highlight w:val="none"/>
        </w:rPr>
        <w:t>7.2甲方应为乙方开展服务工作提供必要的工作条件，以及对内对外沟通和配合协助。</w:t>
      </w:r>
    </w:p>
    <w:p>
      <w:pPr>
        <w:pStyle w:val="56"/>
        <w:jc w:val="left"/>
        <w:rPr>
          <w:color w:val="auto"/>
          <w:highlight w:val="none"/>
        </w:rPr>
      </w:pPr>
      <w:r>
        <w:rPr>
          <w:color w:val="auto"/>
          <w:highlight w:val="none"/>
        </w:rPr>
        <w:t>7.3甲方应于___________之前提供服务所需的全部资料，并对所提供材料真实性、完整性、合法性负责。</w:t>
      </w:r>
    </w:p>
    <w:p>
      <w:pPr>
        <w:pStyle w:val="56"/>
        <w:jc w:val="left"/>
        <w:rPr>
          <w:color w:val="auto"/>
          <w:highlight w:val="none"/>
        </w:rPr>
      </w:pPr>
      <w:r>
        <w:rPr>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56"/>
        <w:jc w:val="left"/>
        <w:rPr>
          <w:color w:val="auto"/>
          <w:highlight w:val="none"/>
        </w:rPr>
      </w:pPr>
      <w:r>
        <w:rPr>
          <w:color w:val="auto"/>
          <w:highlight w:val="none"/>
        </w:rPr>
        <w:t>7.5甲方应按本合同约定及时足额支付服务费用及相关费用。</w:t>
      </w:r>
    </w:p>
    <w:p>
      <w:pPr>
        <w:pStyle w:val="56"/>
        <w:jc w:val="left"/>
        <w:rPr>
          <w:color w:val="auto"/>
          <w:highlight w:val="none"/>
        </w:rPr>
      </w:pPr>
      <w:r>
        <w:rPr>
          <w:color w:val="auto"/>
          <w:highlight w:val="none"/>
        </w:rPr>
        <w:t>7.6其他</w:t>
      </w:r>
    </w:p>
    <w:p>
      <w:pPr>
        <w:pStyle w:val="56"/>
        <w:jc w:val="left"/>
        <w:outlineLvl w:val="3"/>
        <w:rPr>
          <w:color w:val="auto"/>
          <w:highlight w:val="none"/>
        </w:rPr>
      </w:pPr>
      <w:r>
        <w:rPr>
          <w:b/>
          <w:color w:val="auto"/>
          <w:sz w:val="24"/>
          <w:highlight w:val="none"/>
        </w:rPr>
        <w:t>八、乙方的权利与义务</w:t>
      </w:r>
    </w:p>
    <w:p>
      <w:pPr>
        <w:pStyle w:val="56"/>
        <w:jc w:val="left"/>
        <w:rPr>
          <w:color w:val="auto"/>
          <w:highlight w:val="none"/>
        </w:rPr>
      </w:pPr>
      <w:r>
        <w:rPr>
          <w:color w:val="auto"/>
          <w:highlight w:val="none"/>
        </w:rPr>
        <w:t>8.1乙方委派___________为联系人，联系方式___________，负责与甲方联系。如乙方联系人发生变更，乙方应书面告知甲方</w:t>
      </w:r>
    </w:p>
    <w:p>
      <w:pPr>
        <w:pStyle w:val="56"/>
        <w:jc w:val="left"/>
        <w:rPr>
          <w:color w:val="auto"/>
          <w:highlight w:val="none"/>
        </w:rPr>
      </w:pPr>
      <w:r>
        <w:rPr>
          <w:color w:val="auto"/>
          <w:highlight w:val="none"/>
        </w:rPr>
        <w:t>8.2乙方应国家法律法规和{{乙方的权利与义务-响应要求-福建}}等要求开展{{乙方的权利与义务-开展服务-福建}}服务；</w:t>
      </w:r>
    </w:p>
    <w:p>
      <w:pPr>
        <w:pStyle w:val="56"/>
        <w:jc w:val="left"/>
        <w:rPr>
          <w:color w:val="auto"/>
          <w:highlight w:val="none"/>
        </w:rPr>
      </w:pPr>
      <w:r>
        <w:rPr>
          <w:color w:val="auto"/>
          <w:highlight w:val="none"/>
        </w:rPr>
        <w:t>8.3乙方及其所委派服务人员应按标准或协议约定方式出具服务成果，对并其真实性和合法性负法律责任；</w:t>
      </w:r>
    </w:p>
    <w:p>
      <w:pPr>
        <w:pStyle w:val="56"/>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56"/>
        <w:jc w:val="left"/>
        <w:rPr>
          <w:color w:val="auto"/>
          <w:highlight w:val="none"/>
        </w:rPr>
      </w:pPr>
      <w:r>
        <w:rPr>
          <w:color w:val="auto"/>
          <w:highlight w:val="none"/>
        </w:rPr>
        <w:t>8.5乙方对服务业务应当单独建档，保存完整的工作记录，并对服务过程使用和暂存甲方的文件、材料和财物应当妥善保管。</w:t>
      </w:r>
    </w:p>
    <w:p>
      <w:pPr>
        <w:pStyle w:val="56"/>
        <w:jc w:val="left"/>
        <w:rPr>
          <w:color w:val="auto"/>
          <w:highlight w:val="none"/>
        </w:rPr>
      </w:pPr>
      <w:r>
        <w:rPr>
          <w:color w:val="auto"/>
          <w:highlight w:val="none"/>
        </w:rPr>
        <w:t>8.6服务工作结束后,乙方将根据情况对甲方服务相关的管理制度及其他事项等提出改进意见。</w:t>
      </w:r>
    </w:p>
    <w:p>
      <w:pPr>
        <w:pStyle w:val="56"/>
        <w:jc w:val="left"/>
        <w:rPr>
          <w:color w:val="auto"/>
          <w:highlight w:val="none"/>
        </w:rPr>
      </w:pPr>
      <w:r>
        <w:rPr>
          <w:color w:val="auto"/>
          <w:highlight w:val="none"/>
        </w:rPr>
        <w:t>8.7其他</w:t>
      </w:r>
    </w:p>
    <w:p>
      <w:pPr>
        <w:pStyle w:val="56"/>
        <w:jc w:val="left"/>
        <w:outlineLvl w:val="3"/>
        <w:rPr>
          <w:color w:val="auto"/>
          <w:highlight w:val="none"/>
        </w:rPr>
      </w:pPr>
      <w:r>
        <w:rPr>
          <w:b/>
          <w:color w:val="auto"/>
          <w:sz w:val="24"/>
          <w:highlight w:val="none"/>
        </w:rPr>
        <w:t>九、资金支付方式、时间和条件</w:t>
      </w:r>
      <w:r>
        <w:rPr>
          <w:color w:val="auto"/>
          <w:highlight w:val="none"/>
        </w:rPr>
        <w:br w:type="textWrapping"/>
      </w:r>
    </w:p>
    <w:p>
      <w:pPr>
        <w:pStyle w:val="56"/>
        <w:jc w:val="left"/>
        <w:outlineLvl w:val="3"/>
        <w:rPr>
          <w:color w:val="auto"/>
          <w:highlight w:val="none"/>
        </w:rPr>
      </w:pPr>
      <w:r>
        <w:rPr>
          <w:b/>
          <w:color w:val="auto"/>
          <w:sz w:val="24"/>
          <w:highlight w:val="none"/>
        </w:rPr>
        <w:t>十、履约保证金</w:t>
      </w:r>
    </w:p>
    <w:p>
      <w:pPr>
        <w:pStyle w:val="56"/>
        <w:jc w:val="left"/>
        <w:rPr>
          <w:color w:val="auto"/>
          <w:highlight w:val="none"/>
        </w:rPr>
      </w:pPr>
      <w:r>
        <w:rPr>
          <w:color w:val="auto"/>
          <w:highlight w:val="none"/>
        </w:rPr>
        <w:t>□有，□无。具体如下：（按照采购文件规定填写）。</w:t>
      </w:r>
    </w:p>
    <w:p>
      <w:pPr>
        <w:pStyle w:val="56"/>
        <w:jc w:val="left"/>
        <w:rPr>
          <w:color w:val="auto"/>
          <w:highlight w:val="none"/>
        </w:rPr>
      </w:pPr>
      <w:r>
        <w:rPr>
          <w:color w:val="auto"/>
          <w:highlight w:val="none"/>
        </w:rPr>
        <w:t>10.1乙方向甲方缴纳人民币 / 元作为本合同的履约保证金。</w:t>
      </w:r>
    </w:p>
    <w:p>
      <w:pPr>
        <w:pStyle w:val="56"/>
        <w:jc w:val="left"/>
        <w:rPr>
          <w:color w:val="auto"/>
          <w:highlight w:val="none"/>
        </w:rPr>
      </w:pPr>
      <w:r>
        <w:rPr>
          <w:color w:val="auto"/>
          <w:highlight w:val="none"/>
        </w:rPr>
        <w:t>10.2履约保证金缴纳形式：支票/汇票/电汇/保函等非现金形式。</w:t>
      </w:r>
    </w:p>
    <w:p>
      <w:pPr>
        <w:pStyle w:val="56"/>
        <w:jc w:val="left"/>
        <w:rPr>
          <w:color w:val="auto"/>
          <w:highlight w:val="none"/>
        </w:rPr>
      </w:pPr>
      <w:r>
        <w:rPr>
          <w:color w:val="auto"/>
          <w:highlight w:val="none"/>
        </w:rPr>
        <w:t>10.3履约保证金合同履行完毕前有效，合同履行完毕后一次性结清退还。</w:t>
      </w:r>
    </w:p>
    <w:p>
      <w:pPr>
        <w:pStyle w:val="56"/>
        <w:jc w:val="left"/>
        <w:outlineLvl w:val="3"/>
        <w:rPr>
          <w:color w:val="auto"/>
          <w:highlight w:val="none"/>
        </w:rPr>
      </w:pPr>
      <w:r>
        <w:rPr>
          <w:b/>
          <w:color w:val="auto"/>
          <w:sz w:val="24"/>
          <w:highlight w:val="none"/>
        </w:rPr>
        <w:t>十一、合同期限</w:t>
      </w:r>
      <w:r>
        <w:rPr>
          <w:color w:val="auto"/>
          <w:highlight w:val="none"/>
        </w:rPr>
        <w:br w:type="textWrapping"/>
      </w:r>
    </w:p>
    <w:p>
      <w:pPr>
        <w:pStyle w:val="56"/>
        <w:jc w:val="left"/>
        <w:outlineLvl w:val="3"/>
        <w:rPr>
          <w:color w:val="auto"/>
          <w:highlight w:val="none"/>
        </w:rPr>
      </w:pPr>
      <w:r>
        <w:rPr>
          <w:b/>
          <w:color w:val="auto"/>
          <w:sz w:val="24"/>
          <w:highlight w:val="none"/>
        </w:rPr>
        <w:t>十二、保密条款</w:t>
      </w:r>
    </w:p>
    <w:p>
      <w:pPr>
        <w:pStyle w:val="56"/>
        <w:jc w:val="left"/>
        <w:rPr>
          <w:color w:val="auto"/>
          <w:highlight w:val="none"/>
        </w:rPr>
      </w:pPr>
      <w:r>
        <w:rPr>
          <w:color w:val="auto"/>
          <w:highlight w:val="none"/>
        </w:rPr>
        <w:t>12.1对于在采购和合同履行过程中所获悉的属于保密的内容，甲、乙双方均负有保密义务。</w:t>
      </w:r>
    </w:p>
    <w:p>
      <w:pPr>
        <w:pStyle w:val="56"/>
        <w:jc w:val="left"/>
        <w:rPr>
          <w:color w:val="auto"/>
          <w:highlight w:val="none"/>
        </w:rPr>
      </w:pPr>
      <w:r>
        <w:rPr>
          <w:color w:val="auto"/>
          <w:highlight w:val="none"/>
        </w:rPr>
        <w:t>12.2其他</w:t>
      </w:r>
    </w:p>
    <w:p>
      <w:pPr>
        <w:pStyle w:val="56"/>
        <w:jc w:val="left"/>
        <w:outlineLvl w:val="3"/>
        <w:rPr>
          <w:color w:val="auto"/>
          <w:highlight w:val="none"/>
        </w:rPr>
      </w:pPr>
      <w:r>
        <w:rPr>
          <w:b/>
          <w:color w:val="auto"/>
          <w:sz w:val="24"/>
          <w:highlight w:val="none"/>
        </w:rPr>
        <w:t>十三、违约责任</w:t>
      </w:r>
    </w:p>
    <w:p>
      <w:pPr>
        <w:pStyle w:val="56"/>
        <w:jc w:val="left"/>
        <w:rPr>
          <w:color w:val="auto"/>
          <w:highlight w:val="none"/>
        </w:rPr>
      </w:pPr>
      <w:r>
        <w:rPr>
          <w:color w:val="auto"/>
          <w:highlight w:val="none"/>
        </w:rPr>
        <w:t>13.1甲方违约责任</w:t>
      </w:r>
    </w:p>
    <w:p>
      <w:pPr>
        <w:pStyle w:val="56"/>
        <w:jc w:val="left"/>
        <w:rPr>
          <w:color w:val="auto"/>
          <w:highlight w:val="none"/>
        </w:rPr>
      </w:pPr>
      <w:r>
        <w:rPr>
          <w:color w:val="auto"/>
          <w:highlight w:val="none"/>
        </w:rPr>
        <w:t>（1）甲方无正当理由拒绝乙方提供合格服务的，甲方应向乙方偿付所拒收合同总价________的违约金</w:t>
      </w:r>
    </w:p>
    <w:p>
      <w:pPr>
        <w:pStyle w:val="56"/>
        <w:jc w:val="left"/>
        <w:rPr>
          <w:color w:val="auto"/>
          <w:highlight w:val="none"/>
        </w:rPr>
      </w:pPr>
      <w:r>
        <w:rPr>
          <w:color w:val="auto"/>
          <w:highlight w:val="none"/>
        </w:rPr>
        <w:t>（2）甲方无故逾期验收和办理合同款项支付手续的,甲方应按逾期付款总额每日________向乙方支付违约金。</w:t>
      </w:r>
    </w:p>
    <w:p>
      <w:pPr>
        <w:pStyle w:val="56"/>
        <w:jc w:val="left"/>
        <w:rPr>
          <w:color w:val="auto"/>
          <w:highlight w:val="none"/>
        </w:rPr>
      </w:pPr>
      <w:r>
        <w:rPr>
          <w:color w:val="auto"/>
          <w:highlight w:val="none"/>
        </w:rPr>
        <w:t>（3）其他违约情形</w:t>
      </w:r>
    </w:p>
    <w:p>
      <w:pPr>
        <w:pStyle w:val="56"/>
        <w:jc w:val="left"/>
        <w:rPr>
          <w:color w:val="auto"/>
          <w:highlight w:val="none"/>
        </w:rPr>
      </w:pPr>
      <w:r>
        <w:rPr>
          <w:color w:val="auto"/>
          <w:highlight w:val="none"/>
        </w:rPr>
        <w:t>13.2乙方违约责任</w:t>
      </w:r>
    </w:p>
    <w:p>
      <w:pPr>
        <w:pStyle w:val="56"/>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56"/>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56"/>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pPr>
        <w:pStyle w:val="56"/>
        <w:jc w:val="left"/>
        <w:rPr>
          <w:color w:val="auto"/>
          <w:highlight w:val="none"/>
        </w:rPr>
      </w:pPr>
      <w:r>
        <w:rPr>
          <w:color w:val="auto"/>
          <w:highlight w:val="none"/>
        </w:rPr>
        <w:t>（4）其他违约情形</w:t>
      </w:r>
    </w:p>
    <w:p>
      <w:pPr>
        <w:pStyle w:val="56"/>
        <w:jc w:val="left"/>
        <w:outlineLvl w:val="3"/>
        <w:rPr>
          <w:color w:val="auto"/>
          <w:highlight w:val="none"/>
        </w:rPr>
      </w:pPr>
      <w:r>
        <w:rPr>
          <w:b/>
          <w:color w:val="auto"/>
          <w:sz w:val="24"/>
          <w:highlight w:val="none"/>
        </w:rPr>
        <w:t>十四、不可抗力事件处理</w:t>
      </w:r>
    </w:p>
    <w:p>
      <w:pPr>
        <w:pStyle w:val="56"/>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6"/>
        <w:jc w:val="left"/>
        <w:outlineLvl w:val="3"/>
        <w:rPr>
          <w:color w:val="auto"/>
          <w:highlight w:val="none"/>
        </w:rPr>
      </w:pPr>
      <w:r>
        <w:rPr>
          <w:b/>
          <w:color w:val="auto"/>
          <w:sz w:val="24"/>
          <w:highlight w:val="none"/>
        </w:rPr>
        <w:t>十五、解决争议的方法</w:t>
      </w:r>
    </w:p>
    <w:p>
      <w:pPr>
        <w:pStyle w:val="56"/>
        <w:jc w:val="left"/>
        <w:rPr>
          <w:color w:val="auto"/>
          <w:highlight w:val="none"/>
        </w:rPr>
      </w:pPr>
      <w:r>
        <w:rPr>
          <w:color w:val="auto"/>
          <w:highlight w:val="none"/>
        </w:rPr>
        <w:t>15.1甲、乙双方协商解决。</w:t>
      </w:r>
    </w:p>
    <w:p>
      <w:pPr>
        <w:pStyle w:val="56"/>
        <w:jc w:val="left"/>
        <w:rPr>
          <w:color w:val="auto"/>
          <w:highlight w:val="none"/>
        </w:rPr>
      </w:pPr>
      <w:r>
        <w:rPr>
          <w:color w:val="auto"/>
          <w:highlight w:val="none"/>
        </w:rPr>
        <w:t>15.2若协商解决不成，双方明确按以下第_种方式解决：</w:t>
      </w:r>
    </w:p>
    <w:p>
      <w:pPr>
        <w:pStyle w:val="56"/>
        <w:jc w:val="left"/>
        <w:rPr>
          <w:color w:val="auto"/>
          <w:highlight w:val="none"/>
        </w:rPr>
      </w:pPr>
    </w:p>
    <w:p>
      <w:pPr>
        <w:pStyle w:val="56"/>
        <w:spacing w:line="300" w:lineRule="auto"/>
        <w:jc w:val="left"/>
        <w:rPr>
          <w:color w:val="auto"/>
          <w:highlight w:val="none"/>
        </w:rPr>
      </w:pPr>
      <w:r>
        <w:rPr>
          <w:color w:val="auto"/>
          <w:highlight w:val="none"/>
        </w:rPr>
        <w:t>1、提交仲裁委员会仲裁，具体如下：</w:t>
      </w:r>
    </w:p>
    <w:p>
      <w:pPr>
        <w:pStyle w:val="56"/>
        <w:spacing w:line="300" w:lineRule="auto"/>
        <w:jc w:val="left"/>
        <w:rPr>
          <w:color w:val="auto"/>
          <w:highlight w:val="none"/>
        </w:rPr>
      </w:pPr>
      <w:r>
        <w:rPr>
          <w:color w:val="auto"/>
          <w:highlight w:val="none"/>
        </w:rPr>
        <w:t>2、向人民法院提起诉讼。</w:t>
      </w:r>
    </w:p>
    <w:p>
      <w:pPr>
        <w:pStyle w:val="56"/>
        <w:jc w:val="left"/>
        <w:outlineLvl w:val="3"/>
        <w:rPr>
          <w:color w:val="auto"/>
          <w:highlight w:val="none"/>
        </w:rPr>
      </w:pPr>
      <w:r>
        <w:rPr>
          <w:b/>
          <w:color w:val="auto"/>
          <w:sz w:val="24"/>
          <w:highlight w:val="none"/>
        </w:rPr>
        <w:t>十六、合同其他条款</w:t>
      </w:r>
      <w:r>
        <w:rPr>
          <w:color w:val="auto"/>
          <w:highlight w:val="none"/>
        </w:rPr>
        <w:br w:type="textWrapping"/>
      </w:r>
    </w:p>
    <w:p>
      <w:pPr>
        <w:pStyle w:val="56"/>
        <w:jc w:val="left"/>
        <w:outlineLvl w:val="3"/>
        <w:rPr>
          <w:color w:val="auto"/>
          <w:highlight w:val="none"/>
        </w:rPr>
      </w:pPr>
      <w:r>
        <w:rPr>
          <w:b/>
          <w:color w:val="auto"/>
          <w:sz w:val="24"/>
          <w:highlight w:val="none"/>
        </w:rPr>
        <w:t>十七、其他约定</w:t>
      </w:r>
    </w:p>
    <w:p>
      <w:pPr>
        <w:pStyle w:val="56"/>
        <w:jc w:val="left"/>
        <w:rPr>
          <w:color w:val="auto"/>
          <w:highlight w:val="none"/>
        </w:rPr>
      </w:pPr>
      <w:r>
        <w:rPr>
          <w:color w:val="auto"/>
          <w:highlight w:val="none"/>
        </w:rPr>
        <w:t>17.1合同文件与本合同具有同等法律效力。</w:t>
      </w:r>
    </w:p>
    <w:p>
      <w:pPr>
        <w:pStyle w:val="56"/>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6"/>
        <w:jc w:val="left"/>
        <w:rPr>
          <w:color w:val="auto"/>
          <w:highlight w:val="none"/>
        </w:rPr>
      </w:pPr>
      <w:r>
        <w:rPr>
          <w:color w:val="auto"/>
          <w:highlight w:val="none"/>
        </w:rPr>
        <w:t>17.3本合同未尽事宜，遵照《中华人民共和国民法典》有关条文执行。</w:t>
      </w:r>
    </w:p>
    <w:p>
      <w:pPr>
        <w:pStyle w:val="56"/>
        <w:jc w:val="left"/>
        <w:rPr>
          <w:color w:val="auto"/>
          <w:highlight w:val="none"/>
        </w:rPr>
      </w:pPr>
      <w:r>
        <w:rPr>
          <w:color w:val="auto"/>
          <w:highlight w:val="none"/>
        </w:rPr>
        <w:t>17.4本合同正本一式_______份，具有同等法律效力，甲方、乙方各执_______份；副本_______份，_______</w:t>
      </w:r>
    </w:p>
    <w:p>
      <w:pPr>
        <w:pStyle w:val="56"/>
        <w:jc w:val="left"/>
        <w:rPr>
          <w:color w:val="auto"/>
          <w:highlight w:val="none"/>
        </w:rPr>
      </w:pPr>
      <w:r>
        <w:rPr>
          <w:color w:val="auto"/>
          <w:highlight w:val="none"/>
        </w:rPr>
        <w:t>17.5本合同已用于政府采购合同融资，为本项目提供合同融资的金融机构为：_______，甲乙双方应当按照融资合同的约定进行资金使用及款项支付。</w:t>
      </w:r>
    </w:p>
    <w:p>
      <w:pPr>
        <w:pStyle w:val="56"/>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56"/>
        <w:jc w:val="left"/>
        <w:rPr>
          <w:color w:val="auto"/>
          <w:highlight w:val="none"/>
        </w:rPr>
      </w:pPr>
      <w:r>
        <w:rPr>
          <w:color w:val="auto"/>
          <w:highlight w:val="none"/>
        </w:rPr>
        <w:t>17.6其他</w:t>
      </w:r>
    </w:p>
    <w:p>
      <w:pPr>
        <w:pStyle w:val="56"/>
        <w:jc w:val="left"/>
        <w:outlineLvl w:val="3"/>
        <w:rPr>
          <w:color w:val="auto"/>
          <w:highlight w:val="none"/>
        </w:rPr>
      </w:pPr>
      <w:r>
        <w:rPr>
          <w:b/>
          <w:color w:val="auto"/>
          <w:sz w:val="24"/>
          <w:highlight w:val="none"/>
        </w:rPr>
        <w:t>十八、合同附件</w:t>
      </w:r>
      <w:r>
        <w:rPr>
          <w:color w:val="auto"/>
          <w:highlight w:val="none"/>
        </w:rPr>
        <w:br w:type="textWrapping"/>
      </w:r>
      <w:r>
        <w:rPr>
          <w:color w:val="auto"/>
          <w:highlight w:val="none"/>
        </w:rPr>
        <w:br w:type="textWrapping"/>
      </w:r>
    </w:p>
    <w:p>
      <w:pPr>
        <w:pStyle w:val="56"/>
        <w:jc w:val="left"/>
        <w:rPr>
          <w:color w:val="auto"/>
          <w:highlight w:val="none"/>
        </w:rPr>
      </w:pPr>
    </w:p>
    <w:p>
      <w:pPr>
        <w:pStyle w:val="56"/>
        <w:jc w:val="left"/>
        <w:rPr>
          <w:color w:val="auto"/>
          <w:highlight w:val="none"/>
        </w:rPr>
      </w:pPr>
    </w:p>
    <w:p>
      <w:pPr>
        <w:pStyle w:val="56"/>
        <w:jc w:val="left"/>
        <w:rPr>
          <w:color w:val="auto"/>
          <w:highlight w:val="none"/>
        </w:rPr>
      </w:pPr>
      <w:r>
        <w:rPr>
          <w:color w:val="auto"/>
          <w:highlight w:val="none"/>
        </w:rPr>
        <w:t>甲方（采购人）：</w:t>
      </w:r>
    </w:p>
    <w:p>
      <w:pPr>
        <w:pStyle w:val="56"/>
        <w:jc w:val="left"/>
        <w:rPr>
          <w:color w:val="auto"/>
          <w:highlight w:val="none"/>
        </w:rPr>
      </w:pPr>
      <w:r>
        <w:rPr>
          <w:color w:val="auto"/>
          <w:highlight w:val="none"/>
        </w:rPr>
        <w:t>法定（授权）代表人：</w:t>
      </w:r>
    </w:p>
    <w:p>
      <w:pPr>
        <w:pStyle w:val="56"/>
        <w:jc w:val="left"/>
        <w:rPr>
          <w:color w:val="auto"/>
          <w:highlight w:val="none"/>
        </w:rPr>
      </w:pPr>
      <w:r>
        <w:rPr>
          <w:color w:val="auto"/>
          <w:highlight w:val="none"/>
        </w:rPr>
        <w:t>纳税人识别号：</w:t>
      </w:r>
    </w:p>
    <w:p>
      <w:pPr>
        <w:pStyle w:val="56"/>
        <w:jc w:val="left"/>
        <w:rPr>
          <w:color w:val="auto"/>
          <w:highlight w:val="none"/>
        </w:rPr>
      </w:pPr>
      <w:r>
        <w:rPr>
          <w:color w:val="auto"/>
          <w:highlight w:val="none"/>
        </w:rPr>
        <w:t>开户银行：</w:t>
      </w:r>
    </w:p>
    <w:p>
      <w:pPr>
        <w:pStyle w:val="56"/>
        <w:jc w:val="left"/>
        <w:rPr>
          <w:color w:val="auto"/>
          <w:highlight w:val="none"/>
        </w:rPr>
      </w:pPr>
      <w:r>
        <w:rPr>
          <w:color w:val="auto"/>
          <w:highlight w:val="none"/>
        </w:rPr>
        <w:t>账号：</w:t>
      </w:r>
    </w:p>
    <w:p>
      <w:pPr>
        <w:pStyle w:val="56"/>
        <w:jc w:val="left"/>
        <w:rPr>
          <w:color w:val="auto"/>
          <w:highlight w:val="none"/>
        </w:rPr>
      </w:pPr>
    </w:p>
    <w:p>
      <w:pPr>
        <w:pStyle w:val="56"/>
        <w:spacing w:after="375"/>
        <w:jc w:val="left"/>
        <w:rPr>
          <w:color w:val="auto"/>
          <w:highlight w:val="none"/>
        </w:rPr>
      </w:pPr>
    </w:p>
    <w:p>
      <w:pPr>
        <w:pStyle w:val="56"/>
        <w:jc w:val="left"/>
        <w:rPr>
          <w:color w:val="auto"/>
          <w:highlight w:val="none"/>
        </w:rPr>
      </w:pPr>
      <w:r>
        <w:rPr>
          <w:color w:val="auto"/>
          <w:highlight w:val="none"/>
        </w:rPr>
        <w:t>乙方（中标或成交人）：</w:t>
      </w:r>
    </w:p>
    <w:p>
      <w:pPr>
        <w:pStyle w:val="56"/>
        <w:jc w:val="left"/>
        <w:rPr>
          <w:color w:val="auto"/>
          <w:highlight w:val="none"/>
        </w:rPr>
      </w:pPr>
      <w:r>
        <w:rPr>
          <w:color w:val="auto"/>
          <w:highlight w:val="none"/>
        </w:rPr>
        <w:t>法定（授权）代表人：</w:t>
      </w:r>
    </w:p>
    <w:p>
      <w:pPr>
        <w:pStyle w:val="56"/>
        <w:jc w:val="left"/>
        <w:rPr>
          <w:color w:val="auto"/>
          <w:highlight w:val="none"/>
        </w:rPr>
      </w:pPr>
      <w:r>
        <w:rPr>
          <w:color w:val="auto"/>
          <w:highlight w:val="none"/>
        </w:rPr>
        <w:t>纳税人识别号：</w:t>
      </w:r>
    </w:p>
    <w:p>
      <w:pPr>
        <w:pStyle w:val="56"/>
        <w:jc w:val="left"/>
        <w:rPr>
          <w:color w:val="auto"/>
          <w:highlight w:val="none"/>
        </w:rPr>
      </w:pPr>
      <w:r>
        <w:rPr>
          <w:color w:val="auto"/>
          <w:highlight w:val="none"/>
        </w:rPr>
        <w:t>开户银行：</w:t>
      </w:r>
    </w:p>
    <w:p>
      <w:pPr>
        <w:pStyle w:val="56"/>
        <w:jc w:val="left"/>
        <w:rPr>
          <w:color w:val="auto"/>
          <w:highlight w:val="none"/>
        </w:rPr>
      </w:pPr>
      <w:r>
        <w:rPr>
          <w:color w:val="auto"/>
          <w:highlight w:val="none"/>
        </w:rPr>
        <w:t>账号：</w:t>
      </w:r>
    </w:p>
    <w:p>
      <w:pPr>
        <w:pStyle w:val="56"/>
        <w:jc w:val="left"/>
        <w:rPr>
          <w:color w:val="auto"/>
          <w:highlight w:val="none"/>
        </w:rPr>
      </w:pPr>
    </w:p>
    <w:p>
      <w:pPr>
        <w:pStyle w:val="56"/>
        <w:jc w:val="left"/>
        <w:rPr>
          <w:color w:val="auto"/>
          <w:highlight w:val="none"/>
        </w:rPr>
      </w:pPr>
      <w:r>
        <w:rPr>
          <w:color w:val="auto"/>
          <w:highlight w:val="none"/>
        </w:rPr>
        <w:t>签订地点：_____________</w:t>
      </w:r>
    </w:p>
    <w:p>
      <w:pPr>
        <w:pStyle w:val="56"/>
        <w:rPr>
          <w:rFonts w:hint="default"/>
          <w:color w:val="auto"/>
          <w:highlight w:val="none"/>
        </w:rPr>
      </w:pPr>
      <w:r>
        <w:rPr>
          <w:color w:val="auto"/>
          <w:highlight w:val="none"/>
        </w:rPr>
        <w:t>签订日期：____年___月___日</w:t>
      </w:r>
    </w:p>
    <w:p>
      <w:pPr>
        <w:pStyle w:val="56"/>
        <w:jc w:val="both"/>
        <w:rPr>
          <w:rFonts w:hint="default"/>
          <w:color w:val="auto"/>
          <w:highlight w:val="none"/>
        </w:rPr>
      </w:pPr>
    </w:p>
    <w:p>
      <w:pPr>
        <w:pStyle w:val="56"/>
        <w:jc w:val="both"/>
        <w:rPr>
          <w:rFonts w:hint="default"/>
          <w:color w:val="auto"/>
          <w:highlight w:val="none"/>
        </w:rPr>
      </w:pPr>
      <w:r>
        <w:rPr>
          <w:color w:val="auto"/>
          <w:highlight w:val="none"/>
        </w:rPr>
        <w:t xml:space="preserve"> </w:t>
      </w:r>
    </w:p>
    <w:p>
      <w:pPr>
        <w:rPr>
          <w:rFonts w:ascii="Cambria" w:hAnsi="Cambria"/>
          <w:color w:val="auto"/>
          <w:highlight w:val="none"/>
        </w:rPr>
      </w:pPr>
      <w:bookmarkStart w:id="64" w:name="_Toc51057769"/>
      <w:r>
        <w:rPr>
          <w:color w:val="auto"/>
          <w:highlight w:val="none"/>
        </w:rPr>
        <w:br w:type="page"/>
      </w:r>
    </w:p>
    <w:p>
      <w:pPr>
        <w:pStyle w:val="2"/>
        <w:jc w:val="center"/>
        <w:rPr>
          <w:color w:val="auto"/>
          <w:highlight w:val="none"/>
        </w:rPr>
      </w:pPr>
      <w:bookmarkStart w:id="65" w:name="_Toc1418"/>
      <w:r>
        <w:rPr>
          <w:rFonts w:hint="eastAsia"/>
          <w:color w:val="auto"/>
          <w:highlight w:val="none"/>
        </w:rPr>
        <w:t>第七章 投标文件格式</w:t>
      </w:r>
      <w:bookmarkEnd w:id="64"/>
      <w:bookmarkEnd w:id="65"/>
    </w:p>
    <w:p>
      <w:pPr>
        <w:pStyle w:val="19"/>
        <w:widowControl/>
        <w:spacing w:before="0" w:beforeAutospacing="0" w:after="0" w:afterAutospacing="0" w:line="400" w:lineRule="exact"/>
        <w:jc w:val="center"/>
        <w:rPr>
          <w:color w:val="auto"/>
          <w:highlight w:val="none"/>
        </w:rPr>
      </w:pPr>
      <w:r>
        <w:rPr>
          <w:rStyle w:val="27"/>
          <w:rFonts w:hint="eastAsia" w:ascii="宋体" w:hAnsi="宋体" w:cs="宋体"/>
          <w:color w:val="auto"/>
          <w:highlight w:val="none"/>
        </w:rPr>
        <w:t>编制说明</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1、除招标文件另有规定外，本章中：</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1.1涉及投标人的</w:t>
      </w:r>
      <w:r>
        <w:rPr>
          <w:rStyle w:val="27"/>
          <w:rFonts w:hint="eastAsia" w:ascii="宋体" w:hAnsi="宋体" w:cs="宋体"/>
          <w:color w:val="auto"/>
          <w:highlight w:val="none"/>
        </w:rPr>
        <w:t>“全称”</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投标人的全称</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牵头方的全称</w:t>
      </w:r>
      <w:r>
        <w:rPr>
          <w:rFonts w:hint="eastAsia" w:ascii="宋体" w:hAnsi="宋体" w:cs="宋体"/>
          <w:color w:val="auto"/>
          <w:highlight w:val="none"/>
        </w:rPr>
        <w:t>并加注</w:t>
      </w:r>
      <w:r>
        <w:rPr>
          <w:rStyle w:val="27"/>
          <w:rFonts w:hint="eastAsia" w:ascii="宋体" w:hAnsi="宋体" w:cs="宋体"/>
          <w:color w:val="auto"/>
          <w:highlight w:val="none"/>
        </w:rPr>
        <w:t>（联合体牵头方）</w:t>
      </w:r>
      <w:r>
        <w:rPr>
          <w:rFonts w:hint="eastAsia" w:ascii="宋体" w:hAnsi="宋体" w:cs="宋体"/>
          <w:color w:val="auto"/>
          <w:highlight w:val="none"/>
        </w:rPr>
        <w:t>，即应表述为：</w:t>
      </w:r>
      <w:r>
        <w:rPr>
          <w:rStyle w:val="27"/>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1.2涉及投标人</w:t>
      </w:r>
      <w:r>
        <w:rPr>
          <w:rStyle w:val="27"/>
          <w:rFonts w:hint="eastAsia" w:ascii="宋体" w:hAnsi="宋体" w:cs="宋体"/>
          <w:color w:val="auto"/>
          <w:highlight w:val="none"/>
        </w:rPr>
        <w:t>“加盖单位公章”</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加盖投标人的单位公章</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1.3涉及</w:t>
      </w:r>
      <w:r>
        <w:rPr>
          <w:rStyle w:val="27"/>
          <w:rFonts w:hint="eastAsia" w:ascii="宋体" w:hAnsi="宋体" w:cs="宋体"/>
          <w:color w:val="auto"/>
          <w:highlight w:val="none"/>
        </w:rPr>
        <w:t>“投标人代表签字”</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（1）不接受联合体投标的，指由</w:t>
      </w:r>
      <w:r>
        <w:rPr>
          <w:rStyle w:val="27"/>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（2）接受联合体投标且投标人为联合体的，指由</w:t>
      </w:r>
      <w:r>
        <w:rPr>
          <w:rStyle w:val="27"/>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19"/>
        <w:widowControl/>
        <w:spacing w:before="0" w:beforeAutospacing="0" w:after="0" w:afterAutospacing="0" w:line="400" w:lineRule="exact"/>
        <w:rPr>
          <w:rFonts w:ascii="宋体" w:hAnsi="宋体" w:cs="宋体"/>
          <w:color w:val="auto"/>
          <w:highlight w:val="none"/>
        </w:rPr>
      </w:pPr>
      <w:r>
        <w:rPr>
          <w:rFonts w:hint="eastAsia" w:ascii="宋体" w:hAnsi="宋体" w:cs="宋体"/>
          <w:color w:val="auto"/>
          <w:highlight w:val="none"/>
        </w:rPr>
        <w:t>1.4</w:t>
      </w:r>
      <w:r>
        <w:rPr>
          <w:rStyle w:val="27"/>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1.5</w:t>
      </w:r>
      <w:r>
        <w:rPr>
          <w:rFonts w:hint="eastAsia" w:ascii="宋体" w:hAnsi="宋体" w:cs="宋体"/>
          <w:b/>
          <w:bCs/>
          <w:color w:val="auto"/>
          <w:highlight w:val="none"/>
        </w:rPr>
        <w:t>“自然人”</w:t>
      </w:r>
      <w:r>
        <w:rPr>
          <w:rFonts w:hint="eastAsia" w:ascii="宋体" w:hAnsi="宋体" w:cs="宋体"/>
          <w:color w:val="auto"/>
          <w:highlight w:val="none"/>
        </w:rPr>
        <w:t>指具有完全民事行为能力、能够承担民事责任和义务的中国公民。</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2、除招标文件另有规定外，本章中</w:t>
      </w:r>
      <w:r>
        <w:rPr>
          <w:rStyle w:val="27"/>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2.1投标人应按照招标文件第四章第</w:t>
      </w:r>
      <w:r>
        <w:rPr>
          <w:rFonts w:cs="Calibri"/>
          <w:color w:val="auto"/>
          <w:highlight w:val="none"/>
        </w:rPr>
        <w:t>1.3</w:t>
      </w:r>
      <w:r>
        <w:rPr>
          <w:rFonts w:hint="eastAsia" w:ascii="宋体" w:hAnsi="宋体" w:cs="宋体"/>
          <w:color w:val="auto"/>
          <w:highlight w:val="none"/>
        </w:rPr>
        <w:t>条第（</w:t>
      </w:r>
      <w:r>
        <w:rPr>
          <w:rFonts w:cs="Calibri"/>
          <w:color w:val="auto"/>
          <w:highlight w:val="none"/>
        </w:rPr>
        <w:t>2</w:t>
      </w:r>
      <w:r>
        <w:rPr>
          <w:rFonts w:hint="eastAsia" w:ascii="宋体" w:hAnsi="宋体" w:cs="宋体"/>
          <w:color w:val="auto"/>
          <w:highlight w:val="none"/>
        </w:rPr>
        <w:t>）款规定及本章规定进行编制，如有必要，可增加附页，附页作为资格及资信文件的组成部分。</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2.2接受联合体投标且投标人为联合体的，联合体中的各方均应按照本章第</w:t>
      </w:r>
      <w:r>
        <w:rPr>
          <w:rFonts w:cs="Calibri"/>
          <w:color w:val="auto"/>
          <w:highlight w:val="none"/>
        </w:rPr>
        <w:t>2.1</w:t>
      </w:r>
      <w:r>
        <w:rPr>
          <w:rFonts w:hint="eastAsia" w:ascii="宋体" w:hAnsi="宋体" w:cs="宋体"/>
          <w:color w:val="auto"/>
          <w:highlight w:val="none"/>
        </w:rPr>
        <w:t>条规定提交相应的全部资料。</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3、投标人对投标文件的索引应编制页码。</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4、除招标文件另有规定外，本章中：</w:t>
      </w:r>
    </w:p>
    <w:p>
      <w:pPr>
        <w:pStyle w:val="19"/>
        <w:widowControl/>
        <w:spacing w:before="0" w:beforeAutospacing="0" w:after="0" w:afterAutospacing="0" w:line="400" w:lineRule="exact"/>
        <w:rPr>
          <w:color w:val="auto"/>
          <w:highlight w:val="none"/>
        </w:rPr>
      </w:pPr>
      <w:r>
        <w:rPr>
          <w:rFonts w:hint="eastAsia" w:ascii="宋体" w:hAnsi="宋体" w:cs="宋体"/>
          <w:color w:val="auto"/>
          <w:highlight w:val="none"/>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9"/>
        <w:widowControl/>
        <w:spacing w:before="0" w:beforeAutospacing="0" w:after="0" w:afterAutospacing="0" w:line="400" w:lineRule="exact"/>
        <w:rPr>
          <w:rFonts w:ascii="宋体" w:hAnsi="宋体" w:cs="宋体"/>
          <w:b/>
          <w:bCs/>
          <w:color w:val="auto"/>
          <w:highlight w:val="none"/>
        </w:rPr>
      </w:pPr>
      <w:r>
        <w:rPr>
          <w:rFonts w:hint="eastAsia" w:ascii="宋体" w:hAnsi="宋体" w:cs="宋体"/>
          <w:b/>
          <w:bCs/>
          <w:color w:val="auto"/>
          <w:highlight w:val="none"/>
        </w:rPr>
        <w:t>4.2投标人提供注明“复印件无效”的证明材料或资料，投标文件正本中应提供原件。5、本章提供格式仅供参考，投标人应根据自身实际情况制作投标文件。</w:t>
      </w:r>
    </w:p>
    <w:p>
      <w:pPr>
        <w:pStyle w:val="20"/>
        <w:rPr>
          <w:rFonts w:hint="default"/>
          <w:color w:val="auto"/>
          <w:highlight w:val="none"/>
        </w:rPr>
      </w:pPr>
    </w:p>
    <w:p>
      <w:pPr>
        <w:pStyle w:val="19"/>
        <w:widowControl/>
        <w:rPr>
          <w:rFonts w:ascii="宋体" w:hAnsi="宋体" w:cs="宋体"/>
          <w:color w:val="auto"/>
          <w:sz w:val="21"/>
          <w:szCs w:val="21"/>
          <w:highlight w:val="none"/>
        </w:rPr>
      </w:pPr>
    </w:p>
    <w:p>
      <w:pPr>
        <w:rPr>
          <w:rStyle w:val="27"/>
          <w:rFonts w:ascii="宋体" w:hAnsi="宋体" w:cs="宋体"/>
          <w:color w:val="auto"/>
          <w:sz w:val="28"/>
          <w:szCs w:val="28"/>
          <w:highlight w:val="none"/>
        </w:rPr>
      </w:pPr>
      <w:r>
        <w:rPr>
          <w:rStyle w:val="27"/>
          <w:rFonts w:hint="eastAsia" w:ascii="宋体" w:hAnsi="宋体" w:cs="宋体"/>
          <w:color w:val="auto"/>
          <w:sz w:val="28"/>
          <w:szCs w:val="28"/>
          <w:highlight w:val="none"/>
        </w:rPr>
        <w:br w:type="page"/>
      </w:r>
    </w:p>
    <w:p>
      <w:pPr>
        <w:pStyle w:val="19"/>
        <w:widowControl/>
        <w:jc w:val="center"/>
        <w:rPr>
          <w:color w:val="auto"/>
          <w:highlight w:val="none"/>
        </w:rPr>
      </w:pPr>
      <w:r>
        <w:rPr>
          <w:rStyle w:val="27"/>
          <w:rFonts w:hint="eastAsia" w:ascii="宋体" w:hAnsi="宋体" w:cs="宋体"/>
          <w:color w:val="auto"/>
          <w:sz w:val="28"/>
          <w:szCs w:val="28"/>
          <w:highlight w:val="none"/>
        </w:rPr>
        <w:t>封面格式</w:t>
      </w:r>
    </w:p>
    <w:p>
      <w:pPr>
        <w:pStyle w:val="19"/>
        <w:widowControl/>
        <w:spacing w:before="156" w:beforeLines="50" w:beforeAutospacing="0" w:after="156" w:afterLines="50" w:afterAutospacing="0"/>
        <w:jc w:val="center"/>
        <w:rPr>
          <w:rStyle w:val="27"/>
          <w:rFonts w:hint="eastAsia" w:ascii="宋体" w:hAnsi="宋体" w:eastAsia="宋体" w:cs="宋体"/>
          <w:color w:val="auto"/>
          <w:sz w:val="48"/>
          <w:szCs w:val="48"/>
          <w:highlight w:val="none"/>
          <w:lang w:eastAsia="zh-CN"/>
        </w:rPr>
      </w:pPr>
    </w:p>
    <w:p>
      <w:pPr>
        <w:pStyle w:val="19"/>
        <w:widowControl/>
        <w:spacing w:before="156" w:beforeLines="50" w:beforeAutospacing="0" w:after="156" w:afterLines="50" w:afterAutospacing="0"/>
        <w:jc w:val="center"/>
        <w:rPr>
          <w:color w:val="auto"/>
          <w:sz w:val="48"/>
          <w:szCs w:val="48"/>
          <w:highlight w:val="none"/>
        </w:rPr>
      </w:pPr>
      <w:r>
        <w:rPr>
          <w:rStyle w:val="27"/>
          <w:rFonts w:hint="eastAsia" w:ascii="宋体" w:hAnsi="宋体" w:cs="宋体"/>
          <w:color w:val="auto"/>
          <w:sz w:val="48"/>
          <w:szCs w:val="48"/>
          <w:highlight w:val="none"/>
          <w:lang w:eastAsia="zh-CN"/>
        </w:rPr>
        <w:t>福建省立医院工会委员会2024年工会会员法定节假日慰问品采购项目</w:t>
      </w:r>
      <w:r>
        <w:rPr>
          <w:rStyle w:val="27"/>
          <w:rFonts w:hint="eastAsia" w:ascii="宋体" w:hAnsi="宋体" w:cs="宋体"/>
          <w:color w:val="auto"/>
          <w:sz w:val="48"/>
          <w:szCs w:val="48"/>
          <w:highlight w:val="none"/>
        </w:rPr>
        <w:t>投标文件</w:t>
      </w:r>
    </w:p>
    <w:p>
      <w:pPr>
        <w:pStyle w:val="19"/>
        <w:widowControl/>
        <w:jc w:val="center"/>
        <w:rPr>
          <w:color w:val="auto"/>
          <w:highlight w:val="none"/>
        </w:rPr>
      </w:pPr>
      <w:r>
        <w:rPr>
          <w:rStyle w:val="27"/>
          <w:rFonts w:hint="eastAsia" w:ascii="宋体" w:hAnsi="宋体" w:cs="宋体"/>
          <w:color w:val="auto"/>
          <w:sz w:val="48"/>
          <w:szCs w:val="48"/>
          <w:highlight w:val="none"/>
        </w:rPr>
        <w:t>（资格及资信证明部分）</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6"/>
          <w:szCs w:val="36"/>
          <w:highlight w:val="none"/>
          <w:u w:val="single"/>
        </w:rPr>
        <w:t>（填写正本或副本）</w:t>
      </w:r>
    </w:p>
    <w:p>
      <w:pPr>
        <w:pStyle w:val="19"/>
        <w:widowControl/>
        <w:rPr>
          <w:color w:val="auto"/>
          <w:highlight w:val="none"/>
        </w:rPr>
      </w:pPr>
    </w:p>
    <w:p>
      <w:pPr>
        <w:pStyle w:val="19"/>
        <w:widowControl/>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项目编号：</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所投采购包：</w:t>
      </w:r>
      <w:r>
        <w:rPr>
          <w:rStyle w:val="27"/>
          <w:rFonts w:hint="eastAsia" w:ascii="宋体" w:hAnsi="宋体" w:cs="宋体"/>
          <w:color w:val="auto"/>
          <w:sz w:val="31"/>
          <w:szCs w:val="31"/>
          <w:highlight w:val="none"/>
          <w:u w:val="single"/>
        </w:rPr>
        <w:t>（由投标人填写）</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19"/>
        <w:widowControl/>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jc w:val="center"/>
        <w:rPr>
          <w:color w:val="auto"/>
          <w:highlight w:val="none"/>
        </w:rPr>
      </w:pPr>
      <w:r>
        <w:rPr>
          <w:rStyle w:val="27"/>
          <w:rFonts w:hint="eastAsia" w:ascii="宋体" w:hAnsi="宋体" w:cs="宋体"/>
          <w:color w:val="auto"/>
          <w:sz w:val="28"/>
          <w:szCs w:val="28"/>
          <w:highlight w:val="none"/>
        </w:rPr>
        <w:t>索引</w:t>
      </w:r>
    </w:p>
    <w:p>
      <w:pPr>
        <w:pStyle w:val="19"/>
        <w:widowControl/>
        <w:rPr>
          <w:color w:val="auto"/>
          <w:highlight w:val="none"/>
        </w:rPr>
      </w:pPr>
      <w:r>
        <w:rPr>
          <w:rFonts w:hint="eastAsia" w:ascii="宋体" w:hAnsi="宋体" w:cs="宋体"/>
          <w:color w:val="auto"/>
          <w:sz w:val="28"/>
          <w:szCs w:val="28"/>
          <w:highlight w:val="none"/>
        </w:rPr>
        <w:t>一、投标函</w:t>
      </w:r>
    </w:p>
    <w:p>
      <w:pPr>
        <w:pStyle w:val="19"/>
        <w:widowControl/>
        <w:rPr>
          <w:color w:val="auto"/>
          <w:highlight w:val="none"/>
        </w:rPr>
      </w:pPr>
      <w:r>
        <w:rPr>
          <w:rFonts w:hint="eastAsia" w:ascii="宋体" w:hAnsi="宋体" w:cs="宋体"/>
          <w:color w:val="auto"/>
          <w:sz w:val="28"/>
          <w:szCs w:val="28"/>
          <w:highlight w:val="none"/>
        </w:rPr>
        <w:t>二、投标人的资格及资信证明文件</w:t>
      </w:r>
    </w:p>
    <w:p>
      <w:pPr>
        <w:pStyle w:val="19"/>
        <w:widowControl/>
        <w:rPr>
          <w:rFonts w:ascii="宋体" w:hAnsi="宋体" w:cs="宋体"/>
          <w:color w:val="auto"/>
          <w:sz w:val="28"/>
          <w:szCs w:val="28"/>
          <w:highlight w:val="none"/>
        </w:rPr>
      </w:pPr>
      <w:r>
        <w:rPr>
          <w:rFonts w:hint="eastAsia" w:ascii="宋体" w:hAnsi="宋体" w:cs="宋体"/>
          <w:color w:val="auto"/>
          <w:sz w:val="28"/>
          <w:szCs w:val="28"/>
          <w:highlight w:val="none"/>
        </w:rPr>
        <w:t>三、投标保证金</w:t>
      </w:r>
    </w:p>
    <w:p>
      <w:pPr>
        <w:pStyle w:val="19"/>
        <w:widowControl/>
        <w:rPr>
          <w:rFonts w:ascii="宋体" w:hAnsi="宋体" w:cs="宋体"/>
          <w:color w:val="auto"/>
          <w:sz w:val="28"/>
          <w:szCs w:val="28"/>
          <w:highlight w:val="none"/>
        </w:rPr>
      </w:pPr>
      <w:r>
        <w:rPr>
          <w:rFonts w:hint="eastAsia" w:ascii="宋体" w:hAnsi="宋体" w:cs="宋体"/>
          <w:color w:val="auto"/>
          <w:sz w:val="28"/>
          <w:szCs w:val="28"/>
          <w:highlight w:val="none"/>
        </w:rPr>
        <w:t>四、退回投标保证金的申请函</w:t>
      </w:r>
    </w:p>
    <w:p>
      <w:pPr>
        <w:pStyle w:val="19"/>
        <w:widowControl/>
        <w:rPr>
          <w:rFonts w:ascii="宋体" w:hAnsi="宋体" w:cs="宋体"/>
          <w:color w:val="auto"/>
          <w:sz w:val="28"/>
          <w:szCs w:val="28"/>
          <w:highlight w:val="none"/>
        </w:rPr>
      </w:pPr>
      <w:r>
        <w:rPr>
          <w:rFonts w:hint="eastAsia" w:ascii="宋体" w:hAnsi="宋体" w:cs="宋体"/>
          <w:color w:val="auto"/>
          <w:sz w:val="28"/>
          <w:szCs w:val="28"/>
          <w:highlight w:val="none"/>
        </w:rPr>
        <w:t>五、招标代理服务费承诺书</w:t>
      </w:r>
    </w:p>
    <w:p>
      <w:pPr>
        <w:pStyle w:val="19"/>
        <w:widowControl/>
        <w:rPr>
          <w:rFonts w:ascii="宋体" w:hAnsi="宋体" w:cs="宋体"/>
          <w:color w:val="auto"/>
          <w:sz w:val="28"/>
          <w:szCs w:val="28"/>
          <w:highlight w:val="none"/>
        </w:rPr>
      </w:pPr>
    </w:p>
    <w:p>
      <w:pPr>
        <w:pStyle w:val="19"/>
        <w:widowControl/>
        <w:jc w:val="center"/>
        <w:rPr>
          <w:color w:val="auto"/>
          <w:highlight w:val="none"/>
        </w:rPr>
      </w:pPr>
      <w:r>
        <w:rPr>
          <w:rFonts w:hint="eastAsia" w:ascii="宋体" w:hAnsi="宋体" w:cs="宋体"/>
          <w:color w:val="auto"/>
          <w:sz w:val="21"/>
          <w:szCs w:val="21"/>
          <w:highlight w:val="none"/>
        </w:rPr>
        <w:t>★注意</w:t>
      </w:r>
    </w:p>
    <w:p>
      <w:pPr>
        <w:pStyle w:val="19"/>
        <w:widowControl/>
        <w:ind w:firstLine="420"/>
        <w:rPr>
          <w:rFonts w:ascii="宋体" w:hAnsi="宋体" w:cs="宋体"/>
          <w:color w:val="auto"/>
          <w:sz w:val="21"/>
          <w:szCs w:val="21"/>
          <w:highlight w:val="none"/>
        </w:rPr>
      </w:pPr>
      <w:r>
        <w:rPr>
          <w:rFonts w:hint="eastAsia" w:ascii="宋体" w:hAnsi="宋体" w:cs="宋体"/>
          <w:color w:val="auto"/>
          <w:sz w:val="21"/>
          <w:szCs w:val="21"/>
          <w:highlight w:val="none"/>
        </w:rPr>
        <w:t>资格及资信证明部分中不得出现报价部分的全部或部分的投标报价信息（或组成资料），否则</w:t>
      </w:r>
      <w:r>
        <w:rPr>
          <w:rStyle w:val="27"/>
          <w:rFonts w:hint="eastAsia" w:ascii="宋体" w:hAnsi="宋体" w:cs="宋体"/>
          <w:color w:val="auto"/>
          <w:sz w:val="21"/>
          <w:szCs w:val="21"/>
          <w:highlight w:val="none"/>
        </w:rPr>
        <w:t>资格审查不合格</w:t>
      </w:r>
      <w:r>
        <w:rPr>
          <w:rFonts w:hint="eastAsia" w:ascii="宋体" w:hAnsi="宋体" w:cs="宋体"/>
          <w:color w:val="auto"/>
          <w:sz w:val="21"/>
          <w:szCs w:val="21"/>
          <w:highlight w:val="none"/>
        </w:rPr>
        <w:t>。</w:t>
      </w: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一、投标函</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兹收到贵单位关于</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项目（项目编号：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）的投标邀请，本投标人代表</w:t>
      </w:r>
      <w:r>
        <w:rPr>
          <w:rFonts w:hint="eastAsia" w:ascii="宋体" w:hAnsi="宋体" w:cs="宋体"/>
          <w:color w:val="auto"/>
          <w:sz w:val="21"/>
          <w:szCs w:val="21"/>
          <w:highlight w:val="none"/>
          <w:u w:val="single"/>
        </w:rPr>
        <w:t>（填写“全名”）</w:t>
      </w:r>
      <w:r>
        <w:rPr>
          <w:rFonts w:hint="eastAsia" w:ascii="宋体" w:hAnsi="宋体" w:cs="宋体"/>
          <w:color w:val="auto"/>
          <w:sz w:val="21"/>
          <w:szCs w:val="21"/>
          <w:highlight w:val="none"/>
        </w:rPr>
        <w:t>已获得我方正式授权并代表投标人</w:t>
      </w:r>
      <w:r>
        <w:rPr>
          <w:rFonts w:hint="eastAsia" w:ascii="宋体" w:hAnsi="宋体" w:cs="宋体"/>
          <w:color w:val="auto"/>
          <w:sz w:val="21"/>
          <w:szCs w:val="21"/>
          <w:highlight w:val="none"/>
          <w:u w:val="single"/>
        </w:rPr>
        <w:t>（填写“全称”）</w:t>
      </w:r>
      <w:r>
        <w:rPr>
          <w:rFonts w:hint="eastAsia" w:ascii="宋体" w:hAnsi="宋体" w:cs="宋体"/>
          <w:color w:val="auto"/>
          <w:sz w:val="21"/>
          <w:szCs w:val="21"/>
          <w:highlight w:val="none"/>
        </w:rPr>
        <w:t>参加投标，并提交招标文件规定份数的投标文件正本和副本。我方提交的全部投标文件均由下述部分组成：</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（1）资格及资信证明部分</w:t>
      </w:r>
    </w:p>
    <w:p>
      <w:pPr>
        <w:pStyle w:val="19"/>
        <w:spacing w:before="0" w:beforeAutospacing="0" w:after="0" w:afterAutospacing="0" w:line="440" w:lineRule="exact"/>
        <w:ind w:firstLine="420"/>
        <w:rPr>
          <w:color w:val="auto"/>
          <w:sz w:val="21"/>
          <w:szCs w:val="21"/>
          <w:highlight w:val="none"/>
        </w:rPr>
      </w:pPr>
      <w:r>
        <w:rPr>
          <w:rFonts w:hint="eastAsia"/>
          <w:color w:val="auto"/>
          <w:sz w:val="21"/>
          <w:szCs w:val="21"/>
          <w:highlight w:val="none"/>
        </w:rPr>
        <w:t>①投标函</w:t>
      </w:r>
    </w:p>
    <w:p>
      <w:pPr>
        <w:pStyle w:val="19"/>
        <w:spacing w:before="0" w:beforeAutospacing="0" w:after="0" w:afterAutospacing="0" w:line="440" w:lineRule="exact"/>
        <w:ind w:firstLine="420"/>
        <w:rPr>
          <w:color w:val="auto"/>
          <w:sz w:val="21"/>
          <w:szCs w:val="21"/>
          <w:highlight w:val="none"/>
        </w:rPr>
      </w:pPr>
      <w:r>
        <w:rPr>
          <w:rFonts w:hint="eastAsia"/>
          <w:color w:val="auto"/>
          <w:sz w:val="21"/>
          <w:szCs w:val="21"/>
          <w:highlight w:val="none"/>
        </w:rPr>
        <w:t>②投标人的资格及资信证明文件</w:t>
      </w:r>
    </w:p>
    <w:p>
      <w:pPr>
        <w:pStyle w:val="19"/>
        <w:spacing w:before="0" w:beforeAutospacing="0" w:after="0" w:afterAutospacing="0" w:line="440" w:lineRule="exact"/>
        <w:ind w:firstLine="420"/>
        <w:rPr>
          <w:color w:val="auto"/>
          <w:sz w:val="21"/>
          <w:szCs w:val="21"/>
          <w:highlight w:val="none"/>
        </w:rPr>
      </w:pPr>
      <w:r>
        <w:rPr>
          <w:rFonts w:hint="eastAsia"/>
          <w:color w:val="auto"/>
          <w:sz w:val="21"/>
          <w:szCs w:val="21"/>
          <w:highlight w:val="none"/>
        </w:rPr>
        <w:t>③投标保证金</w:t>
      </w:r>
    </w:p>
    <w:p>
      <w:pPr>
        <w:pStyle w:val="19"/>
        <w:spacing w:before="0" w:beforeAutospacing="0" w:after="0" w:afterAutospacing="0" w:line="440" w:lineRule="exact"/>
        <w:ind w:firstLine="420"/>
        <w:rPr>
          <w:color w:val="auto"/>
          <w:sz w:val="21"/>
          <w:szCs w:val="21"/>
          <w:highlight w:val="none"/>
        </w:rPr>
      </w:pPr>
      <w:r>
        <w:rPr>
          <w:rFonts w:hint="eastAsia"/>
          <w:color w:val="auto"/>
          <w:sz w:val="21"/>
          <w:szCs w:val="21"/>
          <w:highlight w:val="none"/>
        </w:rPr>
        <w:t>④退回投标保证金的申请函</w:t>
      </w:r>
    </w:p>
    <w:p>
      <w:pPr>
        <w:pStyle w:val="19"/>
        <w:spacing w:before="0" w:beforeAutospacing="0" w:after="0" w:afterAutospacing="0" w:line="440" w:lineRule="exact"/>
        <w:ind w:firstLine="420"/>
        <w:rPr>
          <w:rFonts w:ascii="宋体" w:hAnsi="宋体" w:cs="宋体"/>
          <w:color w:val="auto"/>
          <w:sz w:val="21"/>
          <w:szCs w:val="21"/>
          <w:highlight w:val="none"/>
        </w:rPr>
      </w:pPr>
      <w:r>
        <w:rPr>
          <w:rFonts w:hint="eastAsia"/>
          <w:color w:val="auto"/>
          <w:sz w:val="21"/>
          <w:szCs w:val="21"/>
          <w:highlight w:val="none"/>
        </w:rPr>
        <w:t>⑤招标代理服务费承诺书</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（2）报价部分</w:t>
      </w:r>
    </w:p>
    <w:p>
      <w:pPr>
        <w:pStyle w:val="19"/>
        <w:widowControl/>
        <w:spacing w:before="0" w:beforeAutospacing="0" w:after="0" w:afterAutospacing="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①开标一览表</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（3）技术商务部分</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①标的说明一览表</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②技术和服务要求响应表</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③商务条件响应表</w:t>
      </w:r>
    </w:p>
    <w:p>
      <w:pPr>
        <w:pStyle w:val="19"/>
        <w:widowControl/>
        <w:spacing w:before="0" w:beforeAutospacing="0" w:after="0" w:afterAutospacing="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④技术商务部分评分内容对应表</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⑤投标人提交的其他资料（若有）</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根据本函，本投标人代表宣布我方保证遵守招标文件的全部规定，同时：</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1、</w:t>
      </w:r>
      <w:r>
        <w:rPr>
          <w:rStyle w:val="27"/>
          <w:rFonts w:hint="eastAsia" w:ascii="宋体" w:hAnsi="宋体" w:cs="宋体"/>
          <w:color w:val="auto"/>
          <w:sz w:val="21"/>
          <w:szCs w:val="21"/>
          <w:highlight w:val="none"/>
        </w:rPr>
        <w:t>确认：</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1.1所投采购包的投标报价详见“开标一览表”及“投标分项报价表”。</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1.2我方已详细审查全部招标文件[包括但不限于：有关附件（若有）、澄清或修改（若有）等]，并自行承担因对全部招标文件理解不正确或误解而产生的相应后果和责任。</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w:t>
      </w:r>
      <w:r>
        <w:rPr>
          <w:rStyle w:val="27"/>
          <w:rFonts w:hint="eastAsia" w:ascii="宋体" w:hAnsi="宋体" w:cs="宋体"/>
          <w:color w:val="auto"/>
          <w:sz w:val="21"/>
          <w:szCs w:val="21"/>
          <w:highlight w:val="none"/>
        </w:rPr>
        <w:t>承诺及声明：</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2.1我方具备招标文件第一章载明的“投标人的资格要求”且符合招标文件第三章载明的“二、投标人”之规定，否则</w:t>
      </w:r>
      <w:r>
        <w:rPr>
          <w:rStyle w:val="27"/>
          <w:rFonts w:hint="eastAsia" w:ascii="宋体" w:hAnsi="宋体" w:cs="宋体"/>
          <w:color w:val="auto"/>
          <w:sz w:val="21"/>
          <w:szCs w:val="21"/>
          <w:highlight w:val="none"/>
        </w:rPr>
        <w:t>投标无效。</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2.3我方提供的标的价格不高于同期市场价格，否则产生不利后果由我方承担责任。</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2.4投标保证金：若出现招标文件第三章规定的不予退还情形，同意贵单位不予退还。</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2.5投标有效期：按照招标文件第三章规定执行，并在招标文件第二章载明的期限内保持有效。</w:t>
      </w:r>
    </w:p>
    <w:p>
      <w:pPr>
        <w:pStyle w:val="19"/>
        <w:widowControl/>
        <w:spacing w:before="0" w:beforeAutospacing="0" w:after="0" w:afterAutospacing="0" w:line="440" w:lineRule="exact"/>
        <w:ind w:firstLine="420"/>
        <w:rPr>
          <w:color w:val="auto"/>
          <w:highlight w:val="none"/>
        </w:rPr>
      </w:pPr>
      <w:r>
        <w:rPr>
          <w:rFonts w:hint="eastAsia" w:ascii="宋体" w:hAnsi="宋体" w:cs="宋体"/>
          <w:color w:val="auto"/>
          <w:sz w:val="21"/>
          <w:szCs w:val="21"/>
          <w:highlight w:val="none"/>
        </w:rPr>
        <w:t>2.6若中标，将按照招标文件、我方投标文件及采购合同履行责任和义务。</w:t>
      </w:r>
    </w:p>
    <w:p>
      <w:pPr>
        <w:pStyle w:val="19"/>
        <w:widowControl/>
        <w:spacing w:before="0" w:beforeAutospacing="0" w:after="0" w:afterAutospacing="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2.7若贵单位要求，我方同意提供与本项目投标有关的一切资料、数据或文件，并完全理解贵单位不一定要接受最低的投标报价或收到的任何投标。</w:t>
      </w:r>
    </w:p>
    <w:p>
      <w:pPr>
        <w:pStyle w:val="19"/>
        <w:widowControl/>
        <w:spacing w:before="0" w:beforeAutospacing="0" w:after="0" w:afterAutospacing="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2.8我方承诺投标文件所提供的全部资料真实可靠，并接受评标委员会、采购人、采购代理机构、监管部门进一步审查其中任何资料真实性的要求。</w:t>
      </w:r>
    </w:p>
    <w:p>
      <w:pPr>
        <w:pStyle w:val="19"/>
        <w:widowControl/>
        <w:spacing w:before="0" w:beforeAutospacing="0" w:after="0" w:afterAutospacing="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2.9除招标文件另有规定外，对于贵单位按照下述联络方式发出的任何信息或通知，均视为我方已收悉前述信息或通知的全部内容：</w:t>
      </w:r>
    </w:p>
    <w:p>
      <w:pPr>
        <w:pStyle w:val="20"/>
        <w:rPr>
          <w:rFonts w:hint="default"/>
          <w:color w:val="auto"/>
          <w:highlight w:val="none"/>
        </w:rPr>
      </w:pPr>
    </w:p>
    <w:p>
      <w:pPr>
        <w:pStyle w:val="19"/>
        <w:widowControl/>
        <w:spacing w:line="260" w:lineRule="exact"/>
        <w:ind w:firstLine="420"/>
        <w:rPr>
          <w:color w:val="auto"/>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w:t>
      </w:r>
    </w:p>
    <w:p>
      <w:pPr>
        <w:pStyle w:val="19"/>
        <w:widowControl/>
        <w:spacing w:line="260" w:lineRule="exact"/>
        <w:ind w:firstLine="420"/>
        <w:rPr>
          <w:color w:val="auto"/>
          <w:highlight w:val="none"/>
        </w:rPr>
      </w:pPr>
      <w:r>
        <w:rPr>
          <w:rFonts w:hint="eastAsia" w:ascii="宋体" w:hAnsi="宋体" w:cs="宋体"/>
          <w:color w:val="auto"/>
          <w:sz w:val="21"/>
          <w:szCs w:val="21"/>
          <w:highlight w:val="none"/>
        </w:rPr>
        <w:t>联系方法：</w:t>
      </w:r>
      <w:r>
        <w:rPr>
          <w:rFonts w:hint="eastAsia" w:ascii="宋体" w:hAnsi="宋体" w:cs="宋体"/>
          <w:color w:val="auto"/>
          <w:sz w:val="21"/>
          <w:szCs w:val="21"/>
          <w:highlight w:val="none"/>
          <w:u w:val="single"/>
        </w:rPr>
        <w:t>（包括但不限于：联系人、联系电话、手机、传真、电子邮箱等）</w:t>
      </w:r>
    </w:p>
    <w:p>
      <w:pPr>
        <w:pStyle w:val="19"/>
        <w:widowControl/>
        <w:spacing w:line="260" w:lineRule="exact"/>
        <w:ind w:firstLine="42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260" w:lineRule="exact"/>
        <w:ind w:firstLine="42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260" w:lineRule="exact"/>
        <w:ind w:firstLine="420"/>
        <w:rPr>
          <w:rStyle w:val="27"/>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二、投标人的资格及资信证明文件</w:t>
      </w:r>
    </w:p>
    <w:p>
      <w:pPr>
        <w:pStyle w:val="19"/>
        <w:widowControl/>
        <w:jc w:val="center"/>
        <w:rPr>
          <w:color w:val="auto"/>
          <w:highlight w:val="none"/>
        </w:rPr>
      </w:pPr>
      <w:r>
        <w:rPr>
          <w:rStyle w:val="27"/>
          <w:rFonts w:hint="eastAsia" w:ascii="宋体" w:hAnsi="宋体" w:cs="宋体"/>
          <w:color w:val="auto"/>
          <w:sz w:val="21"/>
          <w:szCs w:val="21"/>
          <w:highlight w:val="none"/>
        </w:rPr>
        <w:t>二-1单位负责人授权书（若有）</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ind w:firstLine="420"/>
        <w:rPr>
          <w:color w:val="auto"/>
          <w:highlight w:val="none"/>
        </w:rPr>
      </w:pPr>
      <w:r>
        <w:rPr>
          <w:rFonts w:hint="eastAsia" w:ascii="宋体" w:hAnsi="宋体" w:cs="宋体"/>
          <w:color w:val="auto"/>
          <w:sz w:val="21"/>
          <w:szCs w:val="21"/>
          <w:highlight w:val="none"/>
        </w:rPr>
        <w:t>我方的单位负责人</w:t>
      </w:r>
      <w:r>
        <w:rPr>
          <w:rFonts w:hint="eastAsia" w:ascii="宋体" w:hAnsi="宋体" w:cs="宋体"/>
          <w:color w:val="auto"/>
          <w:sz w:val="21"/>
          <w:szCs w:val="21"/>
          <w:highlight w:val="none"/>
          <w:u w:val="single"/>
        </w:rPr>
        <w:t>（填写“单位负责人全名”）</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（填写“投标人代表全名”）</w:t>
      </w:r>
      <w:r>
        <w:rPr>
          <w:rFonts w:hint="eastAsia" w:ascii="宋体" w:hAnsi="宋体" w:cs="宋体"/>
          <w:color w:val="auto"/>
          <w:sz w:val="21"/>
          <w:szCs w:val="21"/>
          <w:highlight w:val="none"/>
        </w:rPr>
        <w:t>为投标人代表，代表我方参加</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项目（项目编号：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9"/>
        <w:widowControl/>
        <w:ind w:firstLine="420"/>
        <w:rPr>
          <w:color w:val="auto"/>
          <w:highlight w:val="none"/>
        </w:rPr>
      </w:pPr>
      <w:r>
        <w:rPr>
          <w:rFonts w:hint="eastAsia" w:ascii="宋体" w:hAnsi="宋体" w:cs="宋体"/>
          <w:color w:val="auto"/>
          <w:sz w:val="21"/>
          <w:szCs w:val="21"/>
          <w:highlight w:val="none"/>
        </w:rPr>
        <w:t>投标人代表无转委权。特此授权。</w:t>
      </w:r>
    </w:p>
    <w:p>
      <w:pPr>
        <w:pStyle w:val="19"/>
        <w:widowControl/>
        <w:jc w:val="center"/>
        <w:rPr>
          <w:color w:val="auto"/>
          <w:highlight w:val="none"/>
        </w:rPr>
      </w:pPr>
      <w:r>
        <w:rPr>
          <w:rFonts w:hint="eastAsia" w:ascii="宋体" w:hAnsi="宋体" w:cs="宋体"/>
          <w:color w:val="auto"/>
          <w:sz w:val="21"/>
          <w:szCs w:val="21"/>
          <w:highlight w:val="none"/>
        </w:rPr>
        <w:t>（以下无正文）</w:t>
      </w:r>
    </w:p>
    <w:p>
      <w:pPr>
        <w:pStyle w:val="19"/>
        <w:widowControl/>
        <w:rPr>
          <w:color w:val="auto"/>
          <w:highlight w:val="none"/>
        </w:rPr>
      </w:pPr>
      <w:r>
        <w:rPr>
          <w:rFonts w:hint="eastAsia" w:ascii="宋体" w:hAnsi="宋体" w:cs="宋体"/>
          <w:color w:val="auto"/>
          <w:sz w:val="21"/>
          <w:szCs w:val="21"/>
          <w:highlight w:val="none"/>
        </w:rPr>
        <w:t>单位负责人：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w:t>
      </w:r>
    </w:p>
    <w:p>
      <w:pPr>
        <w:pStyle w:val="19"/>
        <w:widowControl/>
        <w:rPr>
          <w:color w:val="auto"/>
          <w:highlight w:val="none"/>
        </w:rPr>
      </w:pPr>
      <w:r>
        <w:rPr>
          <w:rFonts w:hint="eastAsia" w:ascii="宋体" w:hAnsi="宋体" w:cs="宋体"/>
          <w:color w:val="auto"/>
          <w:sz w:val="21"/>
          <w:szCs w:val="21"/>
          <w:highlight w:val="none"/>
        </w:rPr>
        <w:t>投标人代表：</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w:t>
      </w:r>
    </w:p>
    <w:p>
      <w:pPr>
        <w:pStyle w:val="19"/>
        <w:widowControl/>
        <w:rPr>
          <w:color w:val="auto"/>
          <w:highlight w:val="none"/>
        </w:rPr>
      </w:pPr>
      <w:r>
        <w:rPr>
          <w:rFonts w:hint="eastAsia" w:ascii="宋体" w:hAnsi="宋体" w:cs="宋体"/>
          <w:color w:val="auto"/>
          <w:sz w:val="21"/>
          <w:szCs w:val="21"/>
          <w:highlight w:val="none"/>
        </w:rPr>
        <w:t>授权方</w:t>
      </w:r>
    </w:p>
    <w:p>
      <w:pPr>
        <w:pStyle w:val="19"/>
        <w:widowControl/>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rPr>
          <w:color w:val="auto"/>
          <w:highlight w:val="none"/>
        </w:rPr>
      </w:pPr>
      <w:r>
        <w:rPr>
          <w:rFonts w:hint="eastAsia" w:ascii="宋体" w:hAnsi="宋体" w:cs="宋体"/>
          <w:color w:val="auto"/>
          <w:sz w:val="21"/>
          <w:szCs w:val="21"/>
          <w:highlight w:val="none"/>
        </w:rPr>
        <w:t>单位负责人签字或盖章：</w:t>
      </w:r>
      <w:r>
        <w:rPr>
          <w:rFonts w:hint="eastAsia" w:ascii="宋体" w:hAnsi="宋体" w:cs="宋体"/>
          <w:color w:val="auto"/>
          <w:sz w:val="21"/>
          <w:szCs w:val="21"/>
          <w:highlight w:val="none"/>
          <w:u w:val="single"/>
        </w:rPr>
        <w:t>                   </w:t>
      </w:r>
    </w:p>
    <w:p>
      <w:pPr>
        <w:pStyle w:val="19"/>
        <w:widowControl/>
        <w:rPr>
          <w:color w:val="auto"/>
          <w:highlight w:val="none"/>
        </w:rPr>
      </w:pPr>
      <w:r>
        <w:rPr>
          <w:rFonts w:hint="eastAsia" w:ascii="宋体" w:hAnsi="宋体" w:cs="宋体"/>
          <w:color w:val="auto"/>
          <w:sz w:val="21"/>
          <w:szCs w:val="21"/>
          <w:highlight w:val="none"/>
        </w:rPr>
        <w:t>接受授权方</w:t>
      </w:r>
    </w:p>
    <w:p>
      <w:pPr>
        <w:pStyle w:val="19"/>
        <w:widowControl/>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jc w:val="right"/>
        <w:rPr>
          <w:color w:val="auto"/>
          <w:highlight w:val="none"/>
        </w:rPr>
      </w:pPr>
      <w:r>
        <w:rPr>
          <w:rFonts w:hint="eastAsia" w:ascii="宋体" w:hAnsi="宋体" w:cs="宋体"/>
          <w:color w:val="auto"/>
          <w:sz w:val="21"/>
          <w:szCs w:val="21"/>
          <w:highlight w:val="none"/>
        </w:rPr>
        <w:t>签署日期：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color w:val="auto"/>
          <w:highlight w:val="none"/>
        </w:rPr>
      </w:pPr>
      <w:r>
        <w:rPr>
          <w:rFonts w:hint="eastAsia" w:ascii="宋体" w:hAnsi="宋体" w:cs="宋体"/>
          <w:color w:val="auto"/>
          <w:sz w:val="21"/>
          <w:szCs w:val="21"/>
          <w:highlight w:val="none"/>
        </w:rPr>
        <w:t>附：单位负责人、投标人代表的身份证正反面复印件</w:t>
      </w:r>
    </w:p>
    <w:tbl>
      <w:tblPr>
        <w:tblStyle w:val="24"/>
        <w:tblW w:w="84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tblCellSpacing w:w="15" w:type="dxa"/>
        </w:trPr>
        <w:tc>
          <w:tcPr>
            <w:tcW w:w="8360" w:type="dxa"/>
            <w:tcMar>
              <w:top w:w="0" w:type="dxa"/>
              <w:left w:w="105" w:type="dxa"/>
              <w:bottom w:w="0" w:type="dxa"/>
              <w:right w:w="105" w:type="dxa"/>
            </w:tcMar>
            <w:vAlign w:val="center"/>
          </w:tcPr>
          <w:p>
            <w:pPr>
              <w:pStyle w:val="19"/>
              <w:widowControl/>
              <w:jc w:val="center"/>
              <w:rPr>
                <w:color w:val="auto"/>
                <w:highlight w:val="none"/>
              </w:rPr>
            </w:pPr>
            <w:r>
              <w:rPr>
                <w:rStyle w:val="27"/>
                <w:rFonts w:hint="eastAsia" w:ascii="宋体" w:hAnsi="宋体" w:cs="宋体"/>
                <w:color w:val="auto"/>
                <w:sz w:val="21"/>
                <w:szCs w:val="21"/>
                <w:highlight w:val="none"/>
              </w:rPr>
              <w:t> 要求：真实有效且内容完整、清晰、整洁。</w:t>
            </w:r>
          </w:p>
        </w:tc>
      </w:tr>
    </w:tbl>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1、企业（银行、保险、石油石化、电力、电信等行业除外）、事业单位和社会团体法人的“单位负责人”指</w:t>
      </w:r>
      <w:r>
        <w:rPr>
          <w:rStyle w:val="27"/>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3、投标人（自然人除外）：若投标人代表为单位负责人授权的委托代理人，应提供本授权书；若投标人代表为单位负责人，应在此项下提交其身份证正反面复印件，可不提供本授权书。</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4、投标人为自然人的，可不填写本授权书。</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5、投标文件正本中的本授权书（若有）应为原件。</w:t>
      </w: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二-2营业执照等证明文件</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ind w:firstLine="420"/>
        <w:rPr>
          <w:color w:val="auto"/>
          <w:highlight w:val="none"/>
        </w:rPr>
      </w:pPr>
      <w:r>
        <w:rPr>
          <w:rFonts w:hint="eastAsia" w:ascii="宋体" w:hAnsi="宋体" w:cs="宋体"/>
          <w:color w:val="auto"/>
          <w:sz w:val="21"/>
          <w:szCs w:val="21"/>
          <w:highlight w:val="none"/>
        </w:rPr>
        <w:t>（ ）投标人为法人（包括企业、事业单位和社会团体）的</w:t>
      </w:r>
    </w:p>
    <w:p>
      <w:pPr>
        <w:pStyle w:val="19"/>
        <w:widowControl/>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签发的我方统一社会信用代码</w:t>
      </w:r>
      <w:r>
        <w:rPr>
          <w:rFonts w:hint="eastAsia" w:ascii="宋体" w:hAnsi="宋体" w:cs="宋体"/>
          <w:color w:val="auto"/>
          <w:sz w:val="21"/>
          <w:szCs w:val="21"/>
          <w:highlight w:val="none"/>
          <w:u w:val="single"/>
        </w:rPr>
        <w:t>（请填写法人的具体证照名称）</w:t>
      </w:r>
      <w:r>
        <w:rPr>
          <w:rFonts w:hint="eastAsia" w:ascii="宋体" w:hAnsi="宋体" w:cs="宋体"/>
          <w:color w:val="auto"/>
          <w:sz w:val="21"/>
          <w:szCs w:val="21"/>
          <w:highlight w:val="none"/>
        </w:rPr>
        <w:t>复印件，该证明材料真实有效，否则我方负全部责任。</w:t>
      </w:r>
    </w:p>
    <w:p>
      <w:pPr>
        <w:pStyle w:val="19"/>
        <w:widowControl/>
        <w:ind w:firstLine="420"/>
        <w:rPr>
          <w:color w:val="auto"/>
          <w:highlight w:val="none"/>
        </w:rPr>
      </w:pPr>
      <w:r>
        <w:rPr>
          <w:rFonts w:hint="eastAsia" w:ascii="宋体" w:hAnsi="宋体" w:cs="宋体"/>
          <w:color w:val="auto"/>
          <w:sz w:val="21"/>
          <w:szCs w:val="21"/>
          <w:highlight w:val="none"/>
        </w:rPr>
        <w:t>（ ）投标人为非法人（包括其他组织、自然人）的</w:t>
      </w:r>
    </w:p>
    <w:p>
      <w:pPr>
        <w:pStyle w:val="19"/>
        <w:widowControl/>
        <w:ind w:firstLine="420"/>
        <w:rPr>
          <w:rFonts w:ascii="宋体" w:hAnsi="宋体" w:cs="宋体"/>
          <w:color w:val="auto"/>
          <w:sz w:val="21"/>
          <w:szCs w:val="21"/>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（请填写非自然人的非法人的具体证照名称）</w:t>
      </w:r>
      <w:r>
        <w:rPr>
          <w:rFonts w:hint="eastAsia" w:ascii="宋体" w:hAnsi="宋体" w:cs="宋体"/>
          <w:color w:val="auto"/>
          <w:sz w:val="21"/>
          <w:szCs w:val="21"/>
          <w:highlight w:val="none"/>
        </w:rPr>
        <w:t>复印件，该证明材料真实有效，否则我方负全部责任。</w:t>
      </w:r>
    </w:p>
    <w:p>
      <w:pPr>
        <w:pStyle w:val="19"/>
        <w:widowControl/>
        <w:spacing w:before="0" w:beforeAutospacing="0" w:after="150" w:afterAutospacing="0"/>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（请填写自然人的身份证件名称）</w:t>
      </w:r>
      <w:r>
        <w:rPr>
          <w:rFonts w:hint="eastAsia" w:ascii="宋体" w:hAnsi="宋体" w:cs="宋体"/>
          <w:color w:val="auto"/>
          <w:sz w:val="21"/>
          <w:szCs w:val="21"/>
          <w:highlight w:val="none"/>
        </w:rPr>
        <w:t>复印件，该证明材料真实有效，否则我方负全部责任。</w:t>
      </w:r>
    </w:p>
    <w:p>
      <w:pPr>
        <w:pStyle w:val="19"/>
        <w:widowControl/>
        <w:spacing w:before="0" w:beforeAutospacing="0" w:after="0" w:afterAutospacing="0"/>
        <w:rPr>
          <w:rFonts w:ascii="宋体" w:hAnsi="宋体" w:cs="宋体"/>
          <w:color w:val="auto"/>
          <w:sz w:val="21"/>
          <w:szCs w:val="21"/>
          <w:highlight w:val="none"/>
        </w:rPr>
      </w:pP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3、投标人提供的相应证明材料复印件均应符合：内容完整、清晰、整洁，并由投标人加盖其单位公章。</w:t>
      </w:r>
    </w:p>
    <w:p>
      <w:pPr>
        <w:pStyle w:val="20"/>
        <w:rPr>
          <w:rFonts w:hint="default"/>
          <w:color w:val="auto"/>
          <w:highlight w:val="none"/>
        </w:rPr>
      </w:pP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二-3财务状况报告（财务报告、或资信证明）</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）投标人提供财务报告的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□企业适用：现附上我方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财务报告复印件，包括资产负债表、利润表、现金流量表、所有者权益变动表（若有）及其附注（若有）、</w:t>
      </w:r>
      <w:r>
        <w:rPr>
          <w:rFonts w:hint="eastAsia" w:ascii="宋体" w:hAnsi="宋体" w:cs="宋体"/>
          <w:b/>
          <w:bCs/>
          <w:color w:val="auto"/>
          <w:sz w:val="21"/>
          <w:szCs w:val="21"/>
          <w:highlight w:val="none"/>
        </w:rPr>
        <w:t>会计师事务所营业执照和注册会计师资格证书</w:t>
      </w:r>
      <w:r>
        <w:rPr>
          <w:rFonts w:hint="eastAsia" w:ascii="宋体" w:hAnsi="宋体" w:cs="宋体"/>
          <w:color w:val="auto"/>
          <w:sz w:val="21"/>
          <w:szCs w:val="21"/>
          <w:highlight w:val="none"/>
        </w:rPr>
        <w:t>，上述证明材料真实有效，否则我方负全部责任。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□事业单位适用：现附上我方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□社会团体、民办非企适用：现附上我方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财务报告复印件，包括资产负债表、业务活动表、现金流量表、会计师事务所营业执照和注册会计师资格证书，上述证明材料真实有效，否则我方负全部责任。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）投标人提供资信证明的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□自然人适用：现附上我方银行：</w:t>
      </w:r>
      <w:r>
        <w:rPr>
          <w:rFonts w:hint="eastAsia" w:ascii="宋体" w:hAnsi="宋体" w:cs="宋体"/>
          <w:color w:val="auto"/>
          <w:sz w:val="21"/>
          <w:szCs w:val="21"/>
          <w:highlight w:val="none"/>
          <w:u w:val="single"/>
        </w:rPr>
        <w:t>（填写自然人的“个人账户的开户银行全称”）</w:t>
      </w:r>
      <w:r>
        <w:rPr>
          <w:rFonts w:hint="eastAsia" w:ascii="宋体" w:hAnsi="宋体" w:cs="宋体"/>
          <w:color w:val="auto"/>
          <w:sz w:val="21"/>
          <w:szCs w:val="21"/>
          <w:highlight w:val="none"/>
        </w:rPr>
        <w:t>出具的资信证明复印件，上述证明材料真实有效，否则我方负全部责任。</w:t>
      </w:r>
    </w:p>
    <w:p>
      <w:pPr>
        <w:pStyle w:val="19"/>
        <w:widowControl/>
        <w:spacing w:before="0" w:beforeAutospacing="0" w:after="120" w:afterAutospacing="0"/>
        <w:rPr>
          <w:rFonts w:ascii="宋体" w:hAnsi="宋体" w:cs="宋体"/>
          <w:color w:val="auto"/>
          <w:sz w:val="21"/>
          <w:szCs w:val="21"/>
          <w:highlight w:val="none"/>
        </w:rPr>
      </w:pP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2、投标人提供的财务报告复印件（成立年限按照投标截止时间推算）应符合下列规定：</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2.1成立年限满</w:t>
      </w:r>
      <w:r>
        <w:rPr>
          <w:rFonts w:cs="Calibri"/>
          <w:color w:val="auto"/>
          <w:sz w:val="21"/>
          <w:szCs w:val="21"/>
          <w:highlight w:val="none"/>
        </w:rPr>
        <w:t>1</w:t>
      </w:r>
      <w:r>
        <w:rPr>
          <w:rFonts w:hint="eastAsia" w:ascii="宋体" w:hAnsi="宋体" w:cs="宋体"/>
          <w:color w:val="auto"/>
          <w:sz w:val="21"/>
          <w:szCs w:val="21"/>
          <w:highlight w:val="none"/>
        </w:rPr>
        <w:t>年及以上的投标人，提供经审计的上一年度的年度财务报告</w:t>
      </w:r>
      <w:r>
        <w:rPr>
          <w:rFonts w:hint="eastAsia" w:ascii="宋体" w:hAnsi="宋体" w:cs="宋体"/>
          <w:b/>
          <w:bCs/>
          <w:color w:val="auto"/>
          <w:sz w:val="21"/>
          <w:szCs w:val="21"/>
          <w:highlight w:val="none"/>
        </w:rPr>
        <w:t>（“上一年度”是指2022年度）</w:t>
      </w:r>
      <w:r>
        <w:rPr>
          <w:rFonts w:hint="eastAsia" w:ascii="宋体" w:hAnsi="宋体" w:cs="宋体"/>
          <w:color w:val="auto"/>
          <w:sz w:val="21"/>
          <w:szCs w:val="21"/>
          <w:highlight w:val="none"/>
        </w:rPr>
        <w:t>。</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2.2成立年限满半年但不足</w:t>
      </w:r>
      <w:r>
        <w:rPr>
          <w:rFonts w:cs="Calibri"/>
          <w:color w:val="auto"/>
          <w:sz w:val="21"/>
          <w:szCs w:val="21"/>
          <w:highlight w:val="none"/>
        </w:rPr>
        <w:t>1</w:t>
      </w:r>
      <w:r>
        <w:rPr>
          <w:rFonts w:hint="eastAsia" w:ascii="宋体" w:hAnsi="宋体" w:cs="宋体"/>
          <w:color w:val="auto"/>
          <w:sz w:val="21"/>
          <w:szCs w:val="21"/>
          <w:highlight w:val="none"/>
        </w:rPr>
        <w:t>年的投标人，提供该半年度中任一季度的季度财务报告或该半年度的半年度财务报告。</w:t>
      </w:r>
    </w:p>
    <w:p>
      <w:pPr>
        <w:pStyle w:val="19"/>
        <w:widowControl/>
        <w:spacing w:before="0" w:beforeAutospacing="0" w:after="0" w:afterAutospacing="0"/>
        <w:rPr>
          <w:rFonts w:ascii="宋体" w:hAnsi="宋体" w:cs="宋体"/>
          <w:color w:val="auto"/>
          <w:sz w:val="21"/>
          <w:szCs w:val="21"/>
          <w:highlight w:val="none"/>
        </w:rPr>
      </w:pPr>
      <w:r>
        <w:rPr>
          <w:rStyle w:val="27"/>
          <w:rFonts w:hint="eastAsia" w:ascii="宋体" w:hAnsi="宋体" w:cs="宋体"/>
          <w:color w:val="auto"/>
          <w:sz w:val="21"/>
          <w:szCs w:val="21"/>
          <w:highlight w:val="none"/>
        </w:rPr>
        <w:t>※无法按照本格式第2.1、2.2条规定提供财务报告复印件的投标人（包括但不限于：成立年限满1年及以上的投标人、成立年限满半年但不足1年的投标人、成立年限不足半年的投标人）：可选择提供开户银行出具的资信证明复印件（若资信证明中有标注“复印无效”等，投标人须在投标文件“资格及资信证明部分”正本中提供资信证明原件）。</w:t>
      </w:r>
    </w:p>
    <w:p>
      <w:pPr>
        <w:pStyle w:val="19"/>
        <w:widowControl/>
        <w:numPr>
          <w:ilvl w:val="0"/>
          <w:numId w:val="3"/>
        </w:numPr>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投标人提供的相应证明材料复印件均应符合：内容完整、清晰、整洁，并由投标人加盖其单位公章。</w:t>
      </w:r>
    </w:p>
    <w:p>
      <w:pPr>
        <w:pStyle w:val="19"/>
        <w:widowControl/>
        <w:spacing w:before="0" w:beforeAutospacing="0" w:after="0" w:afterAutospacing="0"/>
        <w:rPr>
          <w:rFonts w:ascii="宋体" w:hAnsi="宋体" w:cs="宋体"/>
          <w:color w:val="auto"/>
          <w:sz w:val="21"/>
          <w:szCs w:val="21"/>
          <w:highlight w:val="none"/>
        </w:rPr>
      </w:pP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-4依法缴纳税收证明材料</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1、依法缴纳税收的投标人</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）法人（包括企业、事业单位和社会团体）的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）非法人（包括其他组织、自然人）的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2、依法免税的投标人</w:t>
      </w:r>
    </w:p>
    <w:p>
      <w:pPr>
        <w:pStyle w:val="19"/>
        <w:widowControl/>
        <w:spacing w:before="0" w:beforeAutospacing="0" w:after="120" w:afterAutospacing="0"/>
        <w:ind w:firstLine="336"/>
        <w:rPr>
          <w:rFonts w:ascii="宋体" w:hAnsi="宋体" w:cs="宋体"/>
          <w:color w:val="auto"/>
          <w:sz w:val="21"/>
          <w:szCs w:val="21"/>
          <w:highlight w:val="none"/>
        </w:rPr>
      </w:pPr>
      <w:r>
        <w:rPr>
          <w:rFonts w:hint="eastAsia" w:ascii="宋体" w:hAnsi="宋体" w:cs="宋体"/>
          <w:color w:val="auto"/>
          <w:sz w:val="21"/>
          <w:szCs w:val="21"/>
          <w:highlight w:val="none"/>
        </w:rPr>
        <w:t>（ ）现附上我方依法免税的证明材料复印件，上述证明材料真实有效，否则我方负全部责任。</w:t>
      </w:r>
    </w:p>
    <w:p>
      <w:pPr>
        <w:pStyle w:val="20"/>
        <w:rPr>
          <w:rFonts w:hint="default"/>
          <w:color w:val="auto"/>
          <w:highlight w:val="none"/>
        </w:rPr>
      </w:pPr>
    </w:p>
    <w:p>
      <w:pPr>
        <w:pStyle w:val="19"/>
        <w:widowControl/>
        <w:spacing w:before="0" w:beforeAutospacing="0" w:after="0" w:afterAutospacing="0"/>
        <w:rPr>
          <w:rFonts w:ascii="宋体" w:hAnsi="宋体" w:cs="宋体"/>
          <w:color w:val="auto"/>
          <w:sz w:val="21"/>
          <w:szCs w:val="21"/>
          <w:highlight w:val="none"/>
        </w:rPr>
      </w:pPr>
      <w:r>
        <w:rPr>
          <w:rFonts w:cs="Calibri"/>
          <w:color w:val="auto"/>
          <w:sz w:val="21"/>
          <w:szCs w:val="21"/>
          <w:highlight w:val="none"/>
        </w:rPr>
        <w:t> </w:t>
      </w:r>
      <w:r>
        <w:rPr>
          <w:rFonts w:hint="eastAsia" w:ascii="宋体" w:hAnsi="宋体" w:cs="宋体"/>
          <w:color w:val="auto"/>
          <w:sz w:val="21"/>
          <w:szCs w:val="21"/>
          <w:highlight w:val="none"/>
        </w:rPr>
        <w:t>※注意：</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2、投标人提供的税收凭据复印件应符合下列规定：</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2.1投标截止时间前（不含投标截止时间的当月）已依法缴纳税收的投标人，提供投标截止时间前六个月（不含投标截止时间的当月）中任一月份的税收缴纳凭据复印件。</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2.2投标截止时间的当月成立的投标人，视同满足本项资格条件要求。</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3、若为依法免税范围的投标人，提供依法免税证明材料的，视同满足本项资格条件要求。</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4、投标人提供的相应证明材料复印件均应符合：内容完整、清晰、整洁，并由投标人加盖其单位公章。</w:t>
      </w:r>
    </w:p>
    <w:p>
      <w:pPr>
        <w:pStyle w:val="19"/>
        <w:widowControl/>
        <w:spacing w:before="0" w:beforeAutospacing="0" w:after="0" w:afterAutospacing="0"/>
        <w:rPr>
          <w:rFonts w:ascii="宋体" w:hAnsi="宋体" w:cs="宋体"/>
          <w:color w:val="auto"/>
          <w:sz w:val="21"/>
          <w:szCs w:val="21"/>
          <w:highlight w:val="none"/>
        </w:rPr>
      </w:pP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二-5依法缴纳社会保障资金证明材料</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1、依法缴纳社会保障资金的投标人</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）法人（包括企业、事业单位和社会团体）的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 ）非法人（包括其他组织、自然人）的</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2、依法不需要缴纳或暂缓缴纳社会保障资金的投标人</w:t>
      </w:r>
    </w:p>
    <w:p>
      <w:pPr>
        <w:pStyle w:val="19"/>
        <w:widowControl/>
        <w:spacing w:before="0" w:beforeAutospacing="0" w:after="120" w:afterAutospacing="0"/>
        <w:ind w:firstLine="336"/>
        <w:rPr>
          <w:rFonts w:ascii="宋体" w:hAnsi="宋体" w:cs="宋体"/>
          <w:color w:val="auto"/>
          <w:sz w:val="21"/>
          <w:szCs w:val="21"/>
          <w:highlight w:val="none"/>
        </w:rPr>
      </w:pPr>
      <w:r>
        <w:rPr>
          <w:rFonts w:hint="eastAsia" w:ascii="宋体" w:hAnsi="宋体" w:cs="宋体"/>
          <w:color w:val="auto"/>
          <w:sz w:val="21"/>
          <w:szCs w:val="21"/>
          <w:highlight w:val="none"/>
        </w:rPr>
        <w:t>（ ）现附上我方依法不需要缴纳或暂缓缴纳社会保障资金证明材料复印件，上述证明材料真实有效，否则我方负全部责任。</w:t>
      </w:r>
    </w:p>
    <w:p>
      <w:pPr>
        <w:pStyle w:val="20"/>
        <w:rPr>
          <w:rFonts w:hint="default"/>
          <w:color w:val="auto"/>
          <w:highlight w:val="none"/>
        </w:rPr>
      </w:pP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2、投标人提供的社会保险凭据复印件应符合下列规定：</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2.2投标截止时间的当月成立的投标人，视同满足本项资格条件要求。</w:t>
      </w:r>
    </w:p>
    <w:p>
      <w:pPr>
        <w:pStyle w:val="19"/>
        <w:widowControl/>
        <w:spacing w:before="0" w:beforeAutospacing="0" w:after="0" w:afterAutospacing="0"/>
        <w:rPr>
          <w:rFonts w:ascii="宋体" w:hAnsi="宋体" w:cs="宋体"/>
          <w:color w:val="auto"/>
          <w:sz w:val="21"/>
          <w:szCs w:val="21"/>
          <w:highlight w:val="none"/>
        </w:rPr>
      </w:pPr>
      <w:r>
        <w:rPr>
          <w:rFonts w:hint="eastAsia" w:ascii="宋体" w:hAnsi="宋体" w:cs="宋体"/>
          <w:color w:val="auto"/>
          <w:sz w:val="21"/>
          <w:szCs w:val="21"/>
          <w:highlight w:val="none"/>
        </w:rPr>
        <w:t>3、若为依法不需要缴纳或暂缓缴纳社会保障资金的投标人，提供依法不需要缴纳或暂缓缴纳社会保障资金证明材料的，视同满足本项资格条件要求。</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4、投标人提供的相应证明材料复印件均应符合：内容完整、清晰、整洁，并由投标人加盖其单位公章。</w:t>
      </w:r>
    </w:p>
    <w:p>
      <w:pPr>
        <w:pStyle w:val="19"/>
        <w:widowControl/>
        <w:spacing w:before="0" w:beforeAutospacing="0" w:after="0" w:afterAutospacing="0"/>
        <w:rPr>
          <w:rFonts w:ascii="宋体" w:hAnsi="宋体" w:cs="宋体"/>
          <w:color w:val="auto"/>
          <w:sz w:val="21"/>
          <w:szCs w:val="21"/>
          <w:highlight w:val="none"/>
        </w:rPr>
      </w:pP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0" w:beforeAutospacing="0" w:after="0" w:afterAutospacing="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color w:val="auto"/>
          <w:highlight w:val="none"/>
        </w:rPr>
      </w:pPr>
      <w:r>
        <w:rPr>
          <w:rFonts w:hint="eastAsia" w:ascii="宋体" w:hAnsi="宋体" w:cs="宋体"/>
          <w:color w:val="auto"/>
          <w:sz w:val="21"/>
          <w:szCs w:val="21"/>
          <w:highlight w:val="none"/>
        </w:rPr>
        <w:t> </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spacing w:line="260" w:lineRule="exact"/>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-6具备履行合同所必需设备和专业技术能力的声明函</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line="260" w:lineRule="exact"/>
        <w:ind w:firstLine="420"/>
        <w:rPr>
          <w:color w:val="auto"/>
          <w:highlight w:val="none"/>
        </w:rPr>
      </w:pPr>
      <w:r>
        <w:rPr>
          <w:rFonts w:hint="eastAsia" w:ascii="宋体" w:hAnsi="宋体" w:cs="宋体"/>
          <w:color w:val="auto"/>
          <w:sz w:val="21"/>
          <w:szCs w:val="21"/>
          <w:highlight w:val="none"/>
        </w:rPr>
        <w:t>我方具备履行合同所必需的设备和专业技术能力，否则产生不利后果由我方承担责任。</w:t>
      </w:r>
    </w:p>
    <w:p>
      <w:pPr>
        <w:pStyle w:val="19"/>
        <w:widowControl/>
        <w:spacing w:line="260" w:lineRule="exact"/>
        <w:ind w:firstLine="420"/>
        <w:rPr>
          <w:color w:val="auto"/>
          <w:highlight w:val="none"/>
        </w:rPr>
      </w:pPr>
      <w:r>
        <w:rPr>
          <w:rFonts w:hint="eastAsia" w:ascii="宋体" w:hAnsi="宋体" w:cs="宋体"/>
          <w:color w:val="auto"/>
          <w:sz w:val="21"/>
          <w:szCs w:val="21"/>
          <w:highlight w:val="none"/>
        </w:rPr>
        <w:t>特此声明。</w:t>
      </w:r>
    </w:p>
    <w:p>
      <w:pPr>
        <w:pStyle w:val="19"/>
        <w:widowControl/>
        <w:spacing w:line="260" w:lineRule="exact"/>
        <w:rPr>
          <w:rFonts w:ascii="宋体" w:hAnsi="宋体" w:cs="宋体"/>
          <w:color w:val="auto"/>
          <w:sz w:val="21"/>
          <w:szCs w:val="21"/>
          <w:highlight w:val="none"/>
        </w:rPr>
      </w:pPr>
    </w:p>
    <w:p>
      <w:pPr>
        <w:pStyle w:val="19"/>
        <w:widowControl/>
        <w:spacing w:line="260" w:lineRule="exact"/>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line="260" w:lineRule="exact"/>
        <w:rPr>
          <w:color w:val="auto"/>
          <w:highlight w:val="none"/>
        </w:rPr>
      </w:pPr>
      <w:r>
        <w:rPr>
          <w:rFonts w:hint="eastAsia" w:ascii="宋体" w:hAnsi="宋体" w:cs="宋体"/>
          <w:color w:val="auto"/>
          <w:sz w:val="21"/>
          <w:szCs w:val="21"/>
          <w:highlight w:val="none"/>
        </w:rPr>
        <w:t>1、投标人应提供本声明函。</w:t>
      </w:r>
    </w:p>
    <w:p>
      <w:pPr>
        <w:pStyle w:val="19"/>
        <w:widowControl/>
        <w:spacing w:line="260" w:lineRule="exact"/>
        <w:rPr>
          <w:color w:val="auto"/>
          <w:highlight w:val="none"/>
        </w:rPr>
      </w:pPr>
      <w:r>
        <w:rPr>
          <w:rFonts w:hint="eastAsia" w:ascii="宋体" w:hAnsi="宋体" w:cs="宋体"/>
          <w:color w:val="auto"/>
          <w:sz w:val="21"/>
          <w:szCs w:val="21"/>
          <w:highlight w:val="none"/>
        </w:rPr>
        <w:t>2、投标文件正本中的本声明函应为原件。</w:t>
      </w:r>
    </w:p>
    <w:p>
      <w:pPr>
        <w:pStyle w:val="19"/>
        <w:widowControl/>
        <w:spacing w:line="260" w:lineRule="exact"/>
        <w:rPr>
          <w:color w:val="auto"/>
          <w:highlight w:val="none"/>
        </w:rPr>
      </w:pPr>
      <w:r>
        <w:rPr>
          <w:rFonts w:hint="eastAsia" w:ascii="宋体" w:hAnsi="宋体" w:cs="宋体"/>
          <w:color w:val="auto"/>
          <w:sz w:val="21"/>
          <w:szCs w:val="21"/>
          <w:highlight w:val="none"/>
        </w:rPr>
        <w:t>3、请投标人根据实际情况如实声明，否则</w:t>
      </w:r>
      <w:r>
        <w:rPr>
          <w:rStyle w:val="27"/>
          <w:rFonts w:hint="eastAsia" w:ascii="宋体" w:hAnsi="宋体" w:cs="宋体"/>
          <w:color w:val="auto"/>
          <w:sz w:val="21"/>
          <w:szCs w:val="21"/>
          <w:highlight w:val="none"/>
        </w:rPr>
        <w:t>视为提供虚假材料。</w:t>
      </w:r>
    </w:p>
    <w:p>
      <w:pPr>
        <w:pStyle w:val="19"/>
        <w:widowControl/>
        <w:spacing w:line="260" w:lineRule="exact"/>
        <w:rPr>
          <w:rFonts w:ascii="宋体" w:hAnsi="宋体" w:cs="宋体"/>
          <w:color w:val="auto"/>
          <w:sz w:val="21"/>
          <w:szCs w:val="21"/>
          <w:highlight w:val="none"/>
        </w:rPr>
      </w:pPr>
    </w:p>
    <w:p>
      <w:pPr>
        <w:pStyle w:val="19"/>
        <w:widowControl/>
        <w:spacing w:line="260" w:lineRule="exact"/>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260" w:lineRule="exact"/>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26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spacing w:line="260" w:lineRule="exact"/>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spacing w:line="260" w:lineRule="exact"/>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-7参加采购活动前三年内在经营活动中没有重大违法记录书面声明</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9"/>
        <w:widowControl/>
        <w:spacing w:before="0" w:beforeAutospacing="0" w:after="120" w:afterAutospacing="0"/>
        <w:ind w:firstLine="336"/>
        <w:rPr>
          <w:color w:val="auto"/>
          <w:sz w:val="21"/>
          <w:szCs w:val="21"/>
          <w:highlight w:val="none"/>
        </w:rPr>
      </w:pPr>
      <w:r>
        <w:rPr>
          <w:rFonts w:hint="eastAsia" w:ascii="宋体" w:hAnsi="宋体" w:cs="宋体"/>
          <w:color w:val="auto"/>
          <w:sz w:val="21"/>
          <w:szCs w:val="21"/>
          <w:highlight w:val="none"/>
        </w:rPr>
        <w:t>特此声明。</w:t>
      </w:r>
    </w:p>
    <w:p>
      <w:pPr>
        <w:pStyle w:val="19"/>
        <w:widowControl/>
        <w:spacing w:before="0" w:beforeAutospacing="0" w:after="120" w:afterAutospacing="0"/>
        <w:rPr>
          <w:color w:val="auto"/>
          <w:sz w:val="21"/>
          <w:szCs w:val="21"/>
          <w:highlight w:val="none"/>
        </w:rPr>
      </w:pPr>
      <w:r>
        <w:rPr>
          <w:rFonts w:cs="Calibri"/>
          <w:color w:val="auto"/>
          <w:sz w:val="21"/>
          <w:szCs w:val="21"/>
          <w:highlight w:val="none"/>
        </w:rPr>
        <w:t> </w:t>
      </w:r>
    </w:p>
    <w:p>
      <w:pPr>
        <w:pStyle w:val="19"/>
        <w:widowControl/>
        <w:spacing w:before="0" w:beforeAutospacing="0" w:after="120" w:afterAutospacing="0"/>
        <w:rPr>
          <w:color w:val="auto"/>
          <w:sz w:val="21"/>
          <w:szCs w:val="21"/>
          <w:highlight w:val="none"/>
        </w:rPr>
      </w:pPr>
      <w:r>
        <w:rPr>
          <w:rFonts w:hint="eastAsia" w:ascii="宋体" w:hAnsi="宋体" w:cs="宋体"/>
          <w:color w:val="auto"/>
          <w:sz w:val="21"/>
          <w:szCs w:val="21"/>
          <w:highlight w:val="none"/>
        </w:rPr>
        <w:t>※注意：</w:t>
      </w:r>
    </w:p>
    <w:p>
      <w:pPr>
        <w:pStyle w:val="19"/>
        <w:widowControl/>
        <w:spacing w:before="0" w:beforeAutospacing="0" w:after="120" w:afterAutospacing="0"/>
        <w:rPr>
          <w:color w:val="auto"/>
          <w:sz w:val="21"/>
          <w:szCs w:val="21"/>
          <w:highlight w:val="none"/>
        </w:rPr>
      </w:pPr>
      <w:r>
        <w:rPr>
          <w:rFonts w:hint="eastAsia" w:ascii="宋体" w:hAnsi="宋体" w:cs="宋体"/>
          <w:color w:val="auto"/>
          <w:sz w:val="21"/>
          <w:szCs w:val="21"/>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9"/>
        <w:widowControl/>
        <w:spacing w:before="0" w:beforeAutospacing="0" w:after="120" w:afterAutospacing="0"/>
        <w:rPr>
          <w:color w:val="auto"/>
          <w:sz w:val="21"/>
          <w:szCs w:val="21"/>
          <w:highlight w:val="none"/>
        </w:rPr>
      </w:pPr>
      <w:r>
        <w:rPr>
          <w:rFonts w:hint="eastAsia" w:ascii="宋体" w:hAnsi="宋体" w:cs="宋体"/>
          <w:color w:val="auto"/>
          <w:sz w:val="21"/>
          <w:szCs w:val="21"/>
          <w:highlight w:val="none"/>
        </w:rPr>
        <w:t>  请投标人根据实际情况如实声明，否则</w:t>
      </w:r>
      <w:r>
        <w:rPr>
          <w:rStyle w:val="27"/>
          <w:rFonts w:hint="eastAsia" w:ascii="宋体" w:hAnsi="宋体" w:cs="宋体"/>
          <w:bCs/>
          <w:color w:val="auto"/>
          <w:sz w:val="21"/>
          <w:szCs w:val="21"/>
          <w:highlight w:val="none"/>
        </w:rPr>
        <w:t>视为提供虚假材料。</w:t>
      </w:r>
    </w:p>
    <w:p>
      <w:pPr>
        <w:pStyle w:val="19"/>
        <w:widowControl/>
        <w:spacing w:line="260" w:lineRule="exact"/>
        <w:rPr>
          <w:rFonts w:ascii="宋体" w:hAnsi="宋体" w:cs="宋体"/>
          <w:color w:val="auto"/>
          <w:sz w:val="21"/>
          <w:szCs w:val="21"/>
          <w:highlight w:val="none"/>
        </w:rPr>
      </w:pPr>
    </w:p>
    <w:p>
      <w:pPr>
        <w:pStyle w:val="19"/>
        <w:widowControl/>
        <w:spacing w:line="260" w:lineRule="exact"/>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260" w:lineRule="exact"/>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260" w:lineRule="exact"/>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spacing w:line="260" w:lineRule="exact"/>
        <w:rPr>
          <w:color w:val="auto"/>
          <w:highlight w:val="none"/>
        </w:rPr>
      </w:pPr>
      <w:r>
        <w:rPr>
          <w:rFonts w:hint="eastAsia" w:ascii="宋体" w:hAnsi="宋体" w:cs="宋体"/>
          <w:color w:val="auto"/>
          <w:sz w:val="21"/>
          <w:szCs w:val="21"/>
          <w:highlight w:val="none"/>
        </w:rPr>
        <w:t> </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-8信用记录查询提示</w:t>
      </w:r>
    </w:p>
    <w:p>
      <w:pPr>
        <w:pStyle w:val="19"/>
        <w:widowControl/>
        <w:spacing w:before="0" w:beforeAutospacing="0" w:after="120" w:afterAutospacing="0"/>
        <w:ind w:firstLine="420" w:firstLineChars="200"/>
        <w:rPr>
          <w:color w:val="auto"/>
          <w:sz w:val="21"/>
          <w:szCs w:val="21"/>
          <w:highlight w:val="none"/>
        </w:rPr>
      </w:pPr>
      <w:r>
        <w:rPr>
          <w:rFonts w:hint="eastAsia" w:ascii="宋体" w:hAnsi="宋体" w:cs="宋体"/>
          <w:color w:val="auto"/>
          <w:sz w:val="21"/>
          <w:szCs w:val="21"/>
          <w:highlight w:val="none"/>
        </w:rPr>
        <w:t>1、由资格审查小组通过网站查询并打印投标人的信用记录。</w:t>
      </w:r>
    </w:p>
    <w:p>
      <w:pPr>
        <w:pStyle w:val="19"/>
        <w:widowControl/>
        <w:spacing w:before="0" w:beforeAutospacing="0" w:after="120" w:afterAutospacing="0"/>
        <w:ind w:firstLine="420" w:firstLineChars="200"/>
        <w:rPr>
          <w:color w:val="auto"/>
          <w:sz w:val="21"/>
          <w:szCs w:val="21"/>
          <w:highlight w:val="none"/>
        </w:rPr>
      </w:pPr>
      <w:r>
        <w:rPr>
          <w:rFonts w:hint="eastAsia" w:ascii="宋体" w:hAnsi="宋体" w:cs="宋体"/>
          <w:color w:val="auto"/>
          <w:sz w:val="21"/>
          <w:szCs w:val="21"/>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9"/>
        <w:widowControl/>
        <w:spacing w:before="0" w:beforeAutospacing="0" w:after="120" w:afterAutospacing="0"/>
        <w:ind w:firstLine="420" w:firstLineChars="200"/>
        <w:rPr>
          <w:color w:val="auto"/>
          <w:sz w:val="21"/>
          <w:szCs w:val="21"/>
          <w:highlight w:val="none"/>
        </w:rPr>
      </w:pPr>
      <w:r>
        <w:rPr>
          <w:rFonts w:hint="eastAsia" w:ascii="宋体" w:hAnsi="宋体" w:cs="宋体"/>
          <w:color w:val="auto"/>
          <w:sz w:val="21"/>
          <w:szCs w:val="21"/>
          <w:highlight w:val="none"/>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9"/>
        <w:widowControl/>
        <w:rPr>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w:t>
      </w:r>
      <w:r>
        <w:rPr>
          <w:rStyle w:val="27"/>
          <w:rFonts w:hint="eastAsia" w:ascii="宋体" w:hAnsi="宋体" w:cs="宋体"/>
          <w:color w:val="auto"/>
          <w:sz w:val="21"/>
          <w:szCs w:val="21"/>
          <w:highlight w:val="none"/>
          <w:lang w:val="en-US" w:eastAsia="zh-CN"/>
        </w:rPr>
        <w:t>9</w:t>
      </w:r>
      <w:r>
        <w:rPr>
          <w:rStyle w:val="27"/>
          <w:rFonts w:hint="eastAsia" w:ascii="宋体" w:hAnsi="宋体" w:cs="宋体"/>
          <w:color w:val="auto"/>
          <w:sz w:val="21"/>
          <w:szCs w:val="21"/>
          <w:highlight w:val="none"/>
        </w:rPr>
        <w:t>其他资格证明文件</w:t>
      </w:r>
      <w:r>
        <w:rPr>
          <w:rFonts w:hint="eastAsia" w:ascii="宋体" w:hAnsi="宋体" w:cs="宋体"/>
          <w:color w:val="auto"/>
          <w:sz w:val="21"/>
          <w:szCs w:val="21"/>
          <w:highlight w:val="none"/>
        </w:rPr>
        <w:t> </w:t>
      </w:r>
    </w:p>
    <w:p>
      <w:pPr>
        <w:pStyle w:val="19"/>
        <w:widowControl/>
        <w:jc w:val="center"/>
        <w:rPr>
          <w:rFonts w:ascii="宋体" w:hAnsi="宋体" w:cs="宋体"/>
          <w:color w:val="auto"/>
          <w:sz w:val="21"/>
          <w:szCs w:val="21"/>
          <w:highlight w:val="none"/>
        </w:rPr>
      </w:pPr>
    </w:p>
    <w:p>
      <w:pPr>
        <w:pStyle w:val="19"/>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投标人须具备有效的《食品生产许可证》或《食品经营许可证》或《食品流通许可证》，须提供有效证书复印件。</w:t>
      </w:r>
    </w:p>
    <w:p>
      <w:pPr>
        <w:pStyle w:val="19"/>
        <w:widowControl/>
        <w:jc w:val="center"/>
        <w:rPr>
          <w:rFonts w:hint="eastAsia" w:ascii="宋体" w:hAnsi="宋体" w:cs="宋体"/>
          <w:color w:val="auto"/>
          <w:sz w:val="21"/>
          <w:szCs w:val="21"/>
          <w:highlight w:val="none"/>
        </w:rPr>
      </w:pPr>
    </w:p>
    <w:p>
      <w:pPr>
        <w:pStyle w:val="19"/>
        <w:widowControl/>
        <w:jc w:val="center"/>
        <w:rPr>
          <w:color w:val="auto"/>
          <w:highlight w:val="none"/>
        </w:rPr>
      </w:pPr>
      <w:r>
        <w:rPr>
          <w:rFonts w:hint="eastAsia" w:ascii="宋体" w:hAnsi="宋体" w:cs="宋体"/>
          <w:color w:val="auto"/>
          <w:sz w:val="21"/>
          <w:szCs w:val="21"/>
          <w:highlight w:val="none"/>
        </w:rPr>
        <w:t>编制说明</w:t>
      </w:r>
    </w:p>
    <w:p>
      <w:pPr>
        <w:pStyle w:val="19"/>
        <w:widowControl/>
        <w:jc w:val="center"/>
        <w:rPr>
          <w:color w:val="auto"/>
          <w:highlight w:val="none"/>
        </w:rPr>
      </w:pPr>
      <w:r>
        <w:rPr>
          <w:rFonts w:hint="eastAsia" w:ascii="宋体" w:hAnsi="宋体" w:cs="宋体"/>
          <w:color w:val="auto"/>
          <w:sz w:val="21"/>
          <w:szCs w:val="21"/>
          <w:highlight w:val="none"/>
        </w:rPr>
        <w:t> </w:t>
      </w:r>
    </w:p>
    <w:p>
      <w:pPr>
        <w:pStyle w:val="19"/>
        <w:widowControl/>
        <w:ind w:firstLine="420"/>
        <w:rPr>
          <w:color w:val="auto"/>
          <w:highlight w:val="none"/>
        </w:rPr>
      </w:pPr>
      <w:r>
        <w:rPr>
          <w:rFonts w:hint="eastAsia" w:ascii="宋体" w:hAnsi="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19"/>
        <w:widowControl/>
        <w:rPr>
          <w:color w:val="auto"/>
          <w:highlight w:val="none"/>
        </w:rPr>
      </w:pPr>
      <w:r>
        <w:rPr>
          <w:rStyle w:val="27"/>
          <w:rFonts w:hint="eastAsia" w:ascii="宋体" w:hAnsi="宋体" w:cs="宋体"/>
          <w:color w:val="auto"/>
          <w:sz w:val="21"/>
          <w:szCs w:val="21"/>
          <w:highlight w:val="none"/>
        </w:rPr>
        <w:t> </w:t>
      </w: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r>
        <w:rPr>
          <w:rFonts w:cs="Calibri"/>
          <w:color w:val="auto"/>
          <w:sz w:val="21"/>
          <w:szCs w:val="21"/>
          <w:highlight w:val="none"/>
        </w:rPr>
        <w:br w:type="page"/>
      </w:r>
    </w:p>
    <w:p>
      <w:pPr>
        <w:pStyle w:val="19"/>
        <w:widowControl/>
        <w:jc w:val="center"/>
        <w:rPr>
          <w:color w:val="auto"/>
          <w:highlight w:val="none"/>
        </w:rPr>
      </w:pPr>
      <w:r>
        <w:rPr>
          <w:rFonts w:hint="eastAsia" w:ascii="宋体" w:hAnsi="宋体" w:cs="宋体"/>
          <w:color w:val="auto"/>
          <w:sz w:val="21"/>
          <w:szCs w:val="21"/>
          <w:highlight w:val="none"/>
        </w:rPr>
        <w:t>三</w:t>
      </w:r>
      <w:r>
        <w:rPr>
          <w:rStyle w:val="27"/>
          <w:rFonts w:hint="eastAsia" w:ascii="宋体" w:hAnsi="宋体" w:cs="宋体"/>
          <w:color w:val="auto"/>
          <w:sz w:val="21"/>
          <w:szCs w:val="21"/>
          <w:highlight w:val="none"/>
        </w:rPr>
        <w:t>、投标保证金</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 </w:t>
      </w:r>
    </w:p>
    <w:p>
      <w:pPr>
        <w:pStyle w:val="19"/>
        <w:widowControl/>
        <w:jc w:val="center"/>
        <w:rPr>
          <w:color w:val="auto"/>
          <w:highlight w:val="none"/>
        </w:rPr>
      </w:pPr>
      <w:r>
        <w:rPr>
          <w:rFonts w:hint="eastAsia" w:ascii="宋体" w:hAnsi="宋体" w:cs="宋体"/>
          <w:color w:val="auto"/>
          <w:sz w:val="21"/>
          <w:szCs w:val="21"/>
          <w:highlight w:val="none"/>
        </w:rPr>
        <w:t>编制说明</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1、在此项下提交的</w:t>
      </w:r>
      <w:r>
        <w:rPr>
          <w:rStyle w:val="27"/>
          <w:rFonts w:hint="eastAsia" w:ascii="宋体" w:hAnsi="宋体" w:cs="宋体"/>
          <w:color w:val="auto"/>
          <w:sz w:val="21"/>
          <w:szCs w:val="21"/>
          <w:highlight w:val="none"/>
        </w:rPr>
        <w:t>“投标保证金”</w:t>
      </w:r>
      <w:r>
        <w:rPr>
          <w:rFonts w:hint="eastAsia" w:ascii="宋体" w:hAnsi="宋体" w:cs="宋体"/>
          <w:color w:val="auto"/>
          <w:sz w:val="21"/>
          <w:szCs w:val="21"/>
          <w:highlight w:val="none"/>
        </w:rPr>
        <w:t>材料可使用转账凭证复印件。</w:t>
      </w:r>
    </w:p>
    <w:p>
      <w:pPr>
        <w:pStyle w:val="19"/>
        <w:widowControl/>
        <w:rPr>
          <w:color w:val="auto"/>
          <w:highlight w:val="none"/>
        </w:rPr>
      </w:pPr>
      <w:r>
        <w:rPr>
          <w:rFonts w:hint="eastAsia" w:ascii="宋体" w:hAnsi="宋体" w:cs="宋体"/>
          <w:color w:val="auto"/>
          <w:sz w:val="21"/>
          <w:szCs w:val="21"/>
          <w:highlight w:val="none"/>
        </w:rPr>
        <w:t>2、投标保证金是否已提交的认定按照招标文件第三章规定执行。</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color w:val="auto"/>
          <w:szCs w:val="21"/>
          <w:highlight w:val="none"/>
        </w:rPr>
        <w:br w:type="page"/>
      </w:r>
    </w:p>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四、退回投标保证金的申请函</w:t>
      </w:r>
    </w:p>
    <w:p>
      <w:pPr>
        <w:spacing w:line="380" w:lineRule="exact"/>
        <w:jc w:val="center"/>
        <w:rPr>
          <w:rFonts w:ascii="宋体" w:hAnsi="宋体"/>
          <w:b/>
          <w:color w:val="auto"/>
          <w:sz w:val="36"/>
          <w:highlight w:val="none"/>
        </w:rPr>
      </w:pPr>
    </w:p>
    <w:p>
      <w:pPr>
        <w:widowControl/>
        <w:spacing w:line="580" w:lineRule="exact"/>
        <w:jc w:val="left"/>
        <w:rPr>
          <w:rFonts w:ascii="宋体" w:hAnsi="宋体" w:cs="宋体"/>
          <w:color w:val="auto"/>
          <w:kern w:val="0"/>
          <w:szCs w:val="21"/>
          <w:highlight w:val="none"/>
        </w:rPr>
      </w:pPr>
      <w:r>
        <w:rPr>
          <w:rFonts w:hint="eastAsia" w:ascii="宋体" w:hAnsi="宋体" w:cs="宋体"/>
          <w:color w:val="auto"/>
          <w:szCs w:val="21"/>
          <w:highlight w:val="none"/>
        </w:rPr>
        <w:t>致：福建榕卫招标有限公司：</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兹有我公司参加贵公司</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日（开标时间）的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（项目名称)的招标活动中，我公司认可本次招标项目结果并对本次招标流程和结果没有任何异议。我公司以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（同城转</w:t>
      </w:r>
      <w:r>
        <w:rPr>
          <w:rFonts w:hint="eastAsia" w:ascii="宋体" w:hAnsi="宋体" w:cs="宋体"/>
          <w:color w:val="auto"/>
          <w:szCs w:val="21"/>
          <w:highlight w:val="none"/>
          <w:lang w:eastAsia="zh-CN"/>
        </w:rPr>
        <w:t>账</w:t>
      </w:r>
      <w:r>
        <w:rPr>
          <w:rFonts w:hint="eastAsia" w:ascii="宋体" w:hAnsi="宋体" w:cs="宋体"/>
          <w:color w:val="auto"/>
          <w:szCs w:val="21"/>
          <w:highlight w:val="none"/>
        </w:rPr>
        <w:t>/异地电汇）形式缴纳投标保证金（大写）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         ），我公司为</w:t>
      </w:r>
      <w:r>
        <w:rPr>
          <w:rFonts w:hint="eastAsia" w:ascii="宋体" w:hAnsi="宋体" w:cs="宋体"/>
          <w:color w:val="auto"/>
          <w:szCs w:val="21"/>
          <w:highlight w:val="none"/>
          <w:u w:val="single"/>
        </w:rPr>
        <w:t xml:space="preserve">            （填写中标方或未中标方）</w:t>
      </w:r>
      <w:r>
        <w:rPr>
          <w:rFonts w:hint="eastAsia" w:ascii="宋体" w:hAnsi="宋体" w:cs="宋体"/>
          <w:color w:val="auto"/>
          <w:szCs w:val="21"/>
          <w:highlight w:val="none"/>
        </w:rPr>
        <w:t>，如我司中标，请贵公司待我公司按照招标文件的规定缴纳中标服务费并将所签订的采购合同原件以及《退回投标保证金的申请函》送到贵公司后给予办理退还投标保证金；如未中标，依相关规定可以退回时，则请将《退回投标保证金的申请函》送达贵公司后给予办理退还投标保证金。 </w:t>
      </w:r>
    </w:p>
    <w:p>
      <w:pPr>
        <w:spacing w:line="540" w:lineRule="exact"/>
        <w:rPr>
          <w:rFonts w:ascii="宋体" w:hAnsi="宋体" w:cs="宋体"/>
          <w:color w:val="auto"/>
          <w:szCs w:val="21"/>
          <w:highlight w:val="none"/>
        </w:rPr>
      </w:pP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投标人全称（全称并加盖公章）：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pacing w:line="500" w:lineRule="exact"/>
        <w:jc w:val="left"/>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公司所属省份、市/县：</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pPr>
        <w:widowControl/>
        <w:spacing w:line="500" w:lineRule="exact"/>
        <w:jc w:val="right"/>
        <w:rPr>
          <w:rFonts w:ascii="宋体" w:hAnsi="宋体" w:cs="宋体"/>
          <w:color w:val="auto"/>
          <w:szCs w:val="21"/>
          <w:highlight w:val="none"/>
        </w:rPr>
      </w:pPr>
    </w:p>
    <w:p>
      <w:pPr>
        <w:rPr>
          <w:rFonts w:ascii="宋体" w:hAnsi="宋体" w:cs="宋体"/>
          <w:color w:val="auto"/>
          <w:szCs w:val="21"/>
          <w:highlight w:val="none"/>
        </w:rPr>
      </w:pPr>
    </w:p>
    <w:p>
      <w:pPr>
        <w:spacing w:line="5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投标人（全称并加盖公章）： </w:t>
      </w:r>
      <w:r>
        <w:rPr>
          <w:rFonts w:hint="eastAsia" w:ascii="宋体" w:hAnsi="宋体" w:cs="宋体"/>
          <w:color w:val="auto"/>
          <w:szCs w:val="21"/>
          <w:highlight w:val="none"/>
          <w:u w:val="single"/>
        </w:rPr>
        <w:t xml:space="preserve">                 </w:t>
      </w:r>
    </w:p>
    <w:p>
      <w:pPr>
        <w:spacing w:line="580" w:lineRule="exact"/>
        <w:rPr>
          <w:rFonts w:ascii="宋体" w:hAnsi="宋体" w:cs="宋体"/>
          <w:color w:val="auto"/>
          <w:szCs w:val="21"/>
          <w:highlight w:val="none"/>
        </w:rPr>
      </w:pPr>
      <w:r>
        <w:rPr>
          <w:rFonts w:hint="eastAsia" w:ascii="宋体" w:hAnsi="宋体" w:cs="宋体"/>
          <w:color w:val="auto"/>
          <w:szCs w:val="21"/>
          <w:highlight w:val="none"/>
        </w:rPr>
        <w:t xml:space="preserve">                        投标人代表签字：</w:t>
      </w:r>
      <w:r>
        <w:rPr>
          <w:rFonts w:hint="eastAsia" w:ascii="宋体" w:hAnsi="宋体" w:cs="宋体"/>
          <w:color w:val="auto"/>
          <w:szCs w:val="21"/>
          <w:highlight w:val="none"/>
          <w:u w:val="single"/>
        </w:rPr>
        <w:t xml:space="preserve">                         </w:t>
      </w:r>
    </w:p>
    <w:p>
      <w:pPr>
        <w:spacing w:line="580" w:lineRule="exact"/>
        <w:ind w:firstLine="2520" w:firstLineChars="1200"/>
        <w:rPr>
          <w:rFonts w:ascii="宋体" w:hAnsi="宋体" w:cs="宋体"/>
          <w:color w:val="auto"/>
          <w:szCs w:val="21"/>
          <w:highlight w:val="none"/>
          <w:u w:val="single"/>
        </w:rPr>
      </w:pPr>
      <w:r>
        <w:rPr>
          <w:rFonts w:hint="eastAsia" w:ascii="宋体" w:hAnsi="宋体" w:cs="宋体"/>
          <w:color w:val="auto"/>
          <w:szCs w:val="21"/>
          <w:highlight w:val="none"/>
        </w:rPr>
        <w:t>邮 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spacing w:line="5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p>
    <w:p>
      <w:pPr>
        <w:spacing w:line="580" w:lineRule="exact"/>
        <w:rPr>
          <w:rFonts w:ascii="宋体" w:hAnsi="宋体"/>
          <w:color w:val="auto"/>
          <w:szCs w:val="21"/>
          <w:highlight w:val="none"/>
          <w:u w:val="single"/>
        </w:rPr>
      </w:pPr>
    </w:p>
    <w:p>
      <w:pPr>
        <w:rPr>
          <w:color w:val="auto"/>
          <w:szCs w:val="21"/>
          <w:highlight w:val="none"/>
        </w:rPr>
      </w:pPr>
    </w:p>
    <w:p>
      <w:pPr>
        <w:rPr>
          <w:color w:val="auto"/>
          <w:szCs w:val="21"/>
          <w:highlight w:val="none"/>
        </w:rPr>
      </w:pPr>
    </w:p>
    <w:p>
      <w:pPr>
        <w:spacing w:line="500" w:lineRule="exact"/>
        <w:rPr>
          <w:rFonts w:ascii="宋体" w:hAnsi="宋体" w:cs="宋体"/>
          <w:b/>
          <w:color w:val="auto"/>
          <w:szCs w:val="21"/>
          <w:highlight w:val="none"/>
        </w:rPr>
      </w:pPr>
    </w:p>
    <w:p>
      <w:pPr>
        <w:tabs>
          <w:tab w:val="left" w:pos="900"/>
          <w:tab w:val="left" w:pos="5166"/>
        </w:tabs>
        <w:spacing w:line="620" w:lineRule="exact"/>
        <w:jc w:val="center"/>
        <w:rPr>
          <w:rFonts w:ascii="宋体"/>
          <w:b/>
          <w:color w:val="auto"/>
          <w:sz w:val="36"/>
          <w:highlight w:val="none"/>
        </w:rPr>
      </w:pPr>
      <w:r>
        <w:rPr>
          <w:color w:val="auto"/>
          <w:szCs w:val="21"/>
          <w:highlight w:val="none"/>
        </w:rPr>
        <w:br w:type="page"/>
      </w:r>
      <w:r>
        <w:rPr>
          <w:rFonts w:hint="eastAsia" w:ascii="宋体" w:hAnsi="宋体" w:cs="宋体"/>
          <w:b/>
          <w:bCs/>
          <w:color w:val="auto"/>
          <w:kern w:val="0"/>
          <w:szCs w:val="21"/>
          <w:highlight w:val="none"/>
        </w:rPr>
        <w:t>五、招标代理服务费承诺书</w:t>
      </w:r>
    </w:p>
    <w:p>
      <w:pPr>
        <w:adjustRightInd w:val="0"/>
        <w:snapToGrid w:val="0"/>
        <w:spacing w:before="156" w:beforeLines="50" w:after="156" w:afterLines="50"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福建榕卫招标有限公司</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我公司在贵公司组织的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项目（招标项目编号：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的招投标活动中，如获中标，我公司保证按招标文件规定的收费标准在领取中标（成交）通知书前一次性付清本项目招标代理服务费。如在中标（成交）公告公示期满后中标人（成交人）仍未领取并交纳招标代理服务费的，每超过一日应按照招标代理服务费金额</w:t>
      </w:r>
      <w:r>
        <w:rPr>
          <w:rFonts w:hint="eastAsia" w:ascii="宋体" w:hAnsi="宋体" w:cs="宋体"/>
          <w:color w:val="auto"/>
          <w:szCs w:val="21"/>
          <w:highlight w:val="none"/>
          <w:u w:val="single"/>
        </w:rPr>
        <w:t>2</w:t>
      </w:r>
      <w:r>
        <w:rPr>
          <w:rFonts w:hint="eastAsia" w:ascii="宋体" w:hAnsi="宋体" w:cs="宋体"/>
          <w:color w:val="auto"/>
          <w:szCs w:val="21"/>
          <w:highlight w:val="none"/>
        </w:rPr>
        <w:t>％向贵公司支付逾期付款违约金，并赔偿对贵公司造成的损失和依法维权的全部费用（包括但不限于诉讼或仲裁费、财产保全或证据保全费、强制执行费、评估费、拍卖费、鉴定费、律师费、差旅费、调查取证费等）。</w:t>
      </w:r>
      <w:r>
        <w:rPr>
          <w:rFonts w:hint="eastAsia" w:ascii="宋体" w:hAnsi="宋体"/>
          <w:color w:val="auto"/>
          <w:szCs w:val="21"/>
          <w:highlight w:val="none"/>
        </w:rPr>
        <w:t>同时郑重承诺，如因供应商自身原因在中标（</w:t>
      </w:r>
      <w:r>
        <w:rPr>
          <w:rFonts w:ascii="宋体" w:hAnsi="宋体"/>
          <w:color w:val="auto"/>
          <w:szCs w:val="21"/>
          <w:highlight w:val="none"/>
        </w:rPr>
        <w:t>成交</w:t>
      </w:r>
      <w:r>
        <w:rPr>
          <w:rFonts w:hint="eastAsia" w:ascii="宋体" w:hAnsi="宋体"/>
          <w:color w:val="auto"/>
          <w:szCs w:val="21"/>
          <w:highlight w:val="none"/>
        </w:rPr>
        <w:t>）后导致中标（</w:t>
      </w:r>
      <w:r>
        <w:rPr>
          <w:rFonts w:ascii="宋体" w:hAnsi="宋体"/>
          <w:color w:val="auto"/>
          <w:szCs w:val="21"/>
          <w:highlight w:val="none"/>
        </w:rPr>
        <w:t>成交</w:t>
      </w:r>
      <w:r>
        <w:rPr>
          <w:rFonts w:hint="eastAsia" w:ascii="宋体" w:hAnsi="宋体"/>
          <w:color w:val="auto"/>
          <w:szCs w:val="21"/>
          <w:highlight w:val="none"/>
        </w:rPr>
        <w:t>）结果无效，无权要求招标代理机构返还招标代理服务费。</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上述违约金及损失金额支付前，贵公司有权不退还投标保证金并有权在投标保证金中优先扣除上述违约金及损失金额。</w:t>
      </w:r>
    </w:p>
    <w:p>
      <w:pPr>
        <w:adjustRightInd w:val="0"/>
        <w:snapToGrid w:val="0"/>
        <w:spacing w:line="440" w:lineRule="exact"/>
        <w:ind w:firstLine="420" w:firstLineChars="200"/>
        <w:rPr>
          <w:rFonts w:ascii="宋体" w:hAnsi="宋体" w:cs="宋体"/>
          <w:color w:val="auto"/>
          <w:szCs w:val="21"/>
          <w:highlight w:val="none"/>
        </w:rPr>
      </w:pP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adjustRightInd w:val="0"/>
        <w:snapToGrid w:val="0"/>
        <w:spacing w:line="440" w:lineRule="exact"/>
        <w:ind w:firstLine="420" w:firstLineChars="200"/>
        <w:rPr>
          <w:rFonts w:ascii="宋体" w:hAnsi="宋体" w:cs="宋体"/>
          <w:color w:val="auto"/>
          <w:szCs w:val="21"/>
          <w:highlight w:val="none"/>
        </w:rPr>
      </w:pPr>
    </w:p>
    <w:p>
      <w:pPr>
        <w:adjustRightInd w:val="0"/>
        <w:snapToGrid w:val="0"/>
        <w:spacing w:line="440" w:lineRule="exact"/>
        <w:rPr>
          <w:rFonts w:ascii="宋体" w:hAnsi="宋体" w:cs="宋体"/>
          <w:color w:val="auto"/>
          <w:szCs w:val="21"/>
          <w:highlight w:val="none"/>
        </w:rPr>
      </w:pPr>
    </w:p>
    <w:p>
      <w:pPr>
        <w:adjustRightInd w:val="0"/>
        <w:snapToGrid w:val="0"/>
        <w:spacing w:line="440" w:lineRule="exact"/>
        <w:ind w:firstLine="420" w:firstLineChars="200"/>
        <w:rPr>
          <w:rFonts w:ascii="宋体" w:hAnsi="宋体" w:cs="宋体"/>
          <w:color w:val="auto"/>
          <w:szCs w:val="21"/>
          <w:highlight w:val="none"/>
        </w:rPr>
      </w:pPr>
    </w:p>
    <w:p>
      <w:pPr>
        <w:adjustRightInd w:val="0"/>
        <w:snapToGrid w:val="0"/>
        <w:spacing w:line="440" w:lineRule="exact"/>
        <w:ind w:firstLine="420" w:firstLineChars="200"/>
        <w:rPr>
          <w:rFonts w:ascii="宋体" w:hAnsi="宋体" w:cs="宋体"/>
          <w:color w:val="auto"/>
          <w:szCs w:val="21"/>
          <w:highlight w:val="none"/>
        </w:rPr>
      </w:pP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投标人（全称并加盖公章）：</w:t>
      </w:r>
      <w:r>
        <w:rPr>
          <w:rFonts w:hint="eastAsia" w:ascii="宋体" w:hAnsi="宋体" w:cs="宋体"/>
          <w:color w:val="auto"/>
          <w:szCs w:val="21"/>
          <w:highlight w:val="none"/>
          <w:u w:val="single"/>
        </w:rPr>
        <w:t xml:space="preserve">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r>
        <w:rPr>
          <w:rFonts w:hint="eastAsia" w:ascii="宋体" w:hAnsi="宋体" w:cs="宋体"/>
          <w:color w:val="auto"/>
          <w:szCs w:val="21"/>
          <w:highlight w:val="none"/>
          <w:u w:val="single"/>
        </w:rPr>
        <w:t xml:space="preserve">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 </w:t>
      </w:r>
      <w:r>
        <w:rPr>
          <w:rFonts w:hint="eastAsia" w:ascii="宋体" w:hAnsi="宋体" w:cs="宋体"/>
          <w:color w:val="auto"/>
          <w:szCs w:val="21"/>
          <w:highlight w:val="none"/>
          <w:u w:val="single"/>
        </w:rPr>
        <w:t xml:space="preserve">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ind w:firstLine="480" w:firstLineChars="200"/>
        <w:rPr>
          <w:rFonts w:ascii="宋体" w:hAnsi="宋体"/>
          <w:color w:val="auto"/>
          <w:sz w:val="24"/>
          <w:highlight w:val="none"/>
        </w:rPr>
      </w:pPr>
    </w:p>
    <w:p>
      <w:pPr>
        <w:pStyle w:val="19"/>
        <w:spacing w:before="76" w:beforeAutospacing="0" w:after="76" w:afterAutospacing="0" w:line="500" w:lineRule="exact"/>
        <w:ind w:firstLine="420" w:firstLineChars="200"/>
        <w:rPr>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jc w:val="both"/>
        <w:rPr>
          <w:rStyle w:val="27"/>
          <w:rFonts w:ascii="宋体" w:hAnsi="宋体" w:cs="宋体"/>
          <w:color w:val="auto"/>
          <w:sz w:val="28"/>
          <w:szCs w:val="28"/>
          <w:highlight w:val="none"/>
        </w:rPr>
      </w:pPr>
    </w:p>
    <w:p>
      <w:pPr>
        <w:rPr>
          <w:rStyle w:val="27"/>
          <w:rFonts w:ascii="宋体" w:hAnsi="宋体" w:cs="宋体"/>
          <w:color w:val="auto"/>
          <w:sz w:val="28"/>
          <w:szCs w:val="28"/>
          <w:highlight w:val="none"/>
        </w:rPr>
      </w:pPr>
      <w:r>
        <w:rPr>
          <w:rStyle w:val="27"/>
          <w:rFonts w:hint="eastAsia" w:ascii="宋体" w:hAnsi="宋体" w:cs="宋体"/>
          <w:color w:val="auto"/>
          <w:sz w:val="28"/>
          <w:szCs w:val="28"/>
          <w:highlight w:val="none"/>
        </w:rPr>
        <w:br w:type="page"/>
      </w:r>
    </w:p>
    <w:p>
      <w:pPr>
        <w:pStyle w:val="19"/>
        <w:widowControl/>
        <w:jc w:val="center"/>
        <w:rPr>
          <w:color w:val="auto"/>
          <w:highlight w:val="none"/>
        </w:rPr>
      </w:pPr>
      <w:r>
        <w:rPr>
          <w:rStyle w:val="27"/>
          <w:rFonts w:hint="eastAsia" w:ascii="宋体" w:hAnsi="宋体" w:cs="宋体"/>
          <w:color w:val="auto"/>
          <w:sz w:val="28"/>
          <w:szCs w:val="28"/>
          <w:highlight w:val="none"/>
        </w:rPr>
        <w:t>封面格式</w:t>
      </w:r>
    </w:p>
    <w:p>
      <w:pPr>
        <w:pStyle w:val="19"/>
        <w:widowControl/>
        <w:spacing w:before="156" w:beforeLines="50" w:beforeAutospacing="0" w:after="156" w:afterLines="50" w:afterAutospacing="0"/>
        <w:jc w:val="center"/>
        <w:rPr>
          <w:rStyle w:val="27"/>
          <w:rFonts w:hint="eastAsia" w:ascii="宋体" w:hAnsi="宋体" w:eastAsia="宋体" w:cs="宋体"/>
          <w:color w:val="auto"/>
          <w:sz w:val="48"/>
          <w:szCs w:val="48"/>
          <w:highlight w:val="none"/>
          <w:lang w:eastAsia="zh-CN"/>
        </w:rPr>
      </w:pPr>
    </w:p>
    <w:p>
      <w:pPr>
        <w:pStyle w:val="19"/>
        <w:widowControl/>
        <w:spacing w:before="156" w:beforeLines="50" w:beforeAutospacing="0" w:after="156" w:afterLines="50" w:afterAutospacing="0"/>
        <w:jc w:val="center"/>
        <w:rPr>
          <w:color w:val="auto"/>
          <w:highlight w:val="none"/>
        </w:rPr>
      </w:pPr>
      <w:r>
        <w:rPr>
          <w:rStyle w:val="27"/>
          <w:rFonts w:hint="eastAsia" w:ascii="宋体" w:hAnsi="宋体" w:cs="宋体"/>
          <w:color w:val="auto"/>
          <w:sz w:val="48"/>
          <w:szCs w:val="48"/>
          <w:highlight w:val="none"/>
          <w:lang w:eastAsia="zh-CN"/>
        </w:rPr>
        <w:t>福建省立医院工会委员会2024年工会会员法定节假日慰问品采购项目</w:t>
      </w:r>
      <w:r>
        <w:rPr>
          <w:rStyle w:val="27"/>
          <w:rFonts w:hint="eastAsia" w:ascii="宋体" w:hAnsi="宋体" w:cs="宋体"/>
          <w:color w:val="auto"/>
          <w:sz w:val="48"/>
          <w:szCs w:val="48"/>
          <w:highlight w:val="none"/>
        </w:rPr>
        <w:t>投标文件</w:t>
      </w:r>
    </w:p>
    <w:p>
      <w:pPr>
        <w:pStyle w:val="19"/>
        <w:widowControl/>
        <w:jc w:val="center"/>
        <w:rPr>
          <w:color w:val="auto"/>
          <w:highlight w:val="none"/>
        </w:rPr>
      </w:pPr>
      <w:r>
        <w:rPr>
          <w:rStyle w:val="27"/>
          <w:rFonts w:hint="eastAsia" w:ascii="宋体" w:hAnsi="宋体" w:cs="宋体"/>
          <w:color w:val="auto"/>
          <w:sz w:val="48"/>
          <w:szCs w:val="48"/>
          <w:highlight w:val="none"/>
        </w:rPr>
        <w:t>（报价部分）</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6"/>
          <w:szCs w:val="36"/>
          <w:highlight w:val="none"/>
          <w:u w:val="single"/>
        </w:rPr>
        <w:t>（填写正本或副本）</w:t>
      </w:r>
    </w:p>
    <w:p>
      <w:pPr>
        <w:pStyle w:val="19"/>
        <w:widowControl/>
        <w:rPr>
          <w:color w:val="auto"/>
          <w:highlight w:val="none"/>
        </w:rPr>
      </w:pPr>
      <w:r>
        <w:rPr>
          <w:rFonts w:hint="eastAsia" w:ascii="宋体" w:hAnsi="宋体" w:cs="宋体"/>
          <w:color w:val="auto"/>
          <w:sz w:val="36"/>
          <w:szCs w:val="36"/>
          <w:highlight w:val="none"/>
        </w:rPr>
        <w:t> </w:t>
      </w:r>
    </w:p>
    <w:p>
      <w:pPr>
        <w:pStyle w:val="19"/>
        <w:widowControl/>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项目编号：</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所投采购包：</w:t>
      </w:r>
      <w:r>
        <w:rPr>
          <w:rStyle w:val="27"/>
          <w:rFonts w:hint="eastAsia" w:ascii="宋体" w:hAnsi="宋体" w:cs="宋体"/>
          <w:color w:val="auto"/>
          <w:sz w:val="31"/>
          <w:szCs w:val="31"/>
          <w:highlight w:val="none"/>
          <w:u w:val="single"/>
        </w:rPr>
        <w:t>（由投标人填写）</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19"/>
        <w:widowControl/>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jc w:val="center"/>
        <w:rPr>
          <w:rStyle w:val="27"/>
          <w:rFonts w:ascii="宋体" w:hAnsi="宋体" w:cs="宋体"/>
          <w:color w:val="auto"/>
          <w:sz w:val="28"/>
          <w:szCs w:val="28"/>
          <w:highlight w:val="none"/>
        </w:rPr>
      </w:pPr>
    </w:p>
    <w:p>
      <w:pPr>
        <w:pStyle w:val="19"/>
        <w:widowControl/>
        <w:jc w:val="center"/>
        <w:rPr>
          <w:color w:val="auto"/>
          <w:highlight w:val="none"/>
        </w:rPr>
      </w:pPr>
      <w:r>
        <w:rPr>
          <w:rStyle w:val="27"/>
          <w:rFonts w:hint="eastAsia" w:ascii="宋体" w:hAnsi="宋体" w:cs="宋体"/>
          <w:color w:val="auto"/>
          <w:sz w:val="28"/>
          <w:szCs w:val="28"/>
          <w:highlight w:val="none"/>
        </w:rPr>
        <w:t>索引</w:t>
      </w:r>
    </w:p>
    <w:p>
      <w:pPr>
        <w:pStyle w:val="19"/>
        <w:widowControl/>
        <w:rPr>
          <w:color w:val="auto"/>
          <w:highlight w:val="none"/>
        </w:rPr>
      </w:pPr>
      <w:r>
        <w:rPr>
          <w:rFonts w:hint="eastAsia" w:ascii="宋体" w:hAnsi="宋体" w:cs="宋体"/>
          <w:color w:val="auto"/>
          <w:sz w:val="28"/>
          <w:szCs w:val="28"/>
          <w:highlight w:val="none"/>
        </w:rPr>
        <w:t>一、开标一览表</w:t>
      </w: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rPr>
          <w:rFonts w:ascii="宋体" w:hAnsi="宋体" w:cs="宋体"/>
          <w:color w:val="auto"/>
          <w:sz w:val="28"/>
          <w:szCs w:val="28"/>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56"/>
        <w:jc w:val="center"/>
        <w:rPr>
          <w:rFonts w:hint="default"/>
          <w:color w:val="auto"/>
          <w:highlight w:val="none"/>
        </w:rPr>
      </w:pPr>
      <w:r>
        <w:rPr>
          <w:b/>
          <w:color w:val="auto"/>
          <w:sz w:val="28"/>
          <w:highlight w:val="none"/>
        </w:rPr>
        <w:t>一、开标一览表</w:t>
      </w:r>
    </w:p>
    <w:p>
      <w:pPr>
        <w:pStyle w:val="56"/>
        <w:ind w:firstLine="480"/>
        <w:rPr>
          <w:rFonts w:hint="default"/>
          <w:color w:val="auto"/>
          <w:highlight w:val="none"/>
          <w:u w:val="single"/>
          <w:lang w:eastAsia="zh-CN"/>
        </w:rPr>
      </w:pPr>
      <w:r>
        <w:rPr>
          <w:color w:val="auto"/>
          <w:highlight w:val="none"/>
        </w:rPr>
        <w:t>项目编号：</w:t>
      </w:r>
      <w:r>
        <w:rPr>
          <w:color w:val="auto"/>
          <w:highlight w:val="none"/>
          <w:u w:val="single"/>
          <w:lang w:eastAsia="zh-CN"/>
        </w:rPr>
        <w:t xml:space="preserve">                        </w:t>
      </w:r>
    </w:p>
    <w:p>
      <w:pPr>
        <w:pStyle w:val="56"/>
        <w:ind w:firstLine="480"/>
        <w:jc w:val="right"/>
        <w:rPr>
          <w:rFonts w:hint="default"/>
          <w:color w:val="auto"/>
          <w:highlight w:val="none"/>
        </w:rPr>
      </w:pPr>
      <w:r>
        <w:rPr>
          <w:color w:val="auto"/>
          <w:highlight w:val="none"/>
        </w:rPr>
        <w:t>货币及单位：人民币元</w:t>
      </w: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4"/>
        <w:gridCol w:w="1231"/>
        <w:gridCol w:w="4078"/>
        <w:gridCol w:w="1587"/>
        <w:gridCol w:w="11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5" w:hRule="atLeast"/>
        </w:trPr>
        <w:tc>
          <w:tcPr>
            <w:tcW w:w="954" w:type="dxa"/>
            <w:vAlign w:val="center"/>
          </w:tcPr>
          <w:p>
            <w:pPr>
              <w:pStyle w:val="56"/>
              <w:jc w:val="center"/>
              <w:rPr>
                <w:rFonts w:hint="default"/>
                <w:color w:val="auto"/>
                <w:highlight w:val="none"/>
              </w:rPr>
            </w:pPr>
            <w:r>
              <w:rPr>
                <w:color w:val="auto"/>
                <w:highlight w:val="none"/>
                <w:lang w:eastAsia="zh-CN"/>
              </w:rPr>
              <w:t>采购</w:t>
            </w:r>
            <w:r>
              <w:rPr>
                <w:color w:val="auto"/>
                <w:highlight w:val="none"/>
              </w:rPr>
              <w:t>包</w:t>
            </w:r>
          </w:p>
        </w:tc>
        <w:tc>
          <w:tcPr>
            <w:tcW w:w="1231" w:type="dxa"/>
            <w:tcBorders>
              <w:right w:val="single" w:color="auto" w:sz="4" w:space="0"/>
            </w:tcBorders>
            <w:vAlign w:val="center"/>
          </w:tcPr>
          <w:p>
            <w:pPr>
              <w:pStyle w:val="56"/>
              <w:jc w:val="center"/>
              <w:rPr>
                <w:rFonts w:hint="default" w:eastAsiaTheme="minorEastAsia"/>
                <w:color w:val="auto"/>
                <w:highlight w:val="none"/>
                <w:lang w:val="en-US" w:eastAsia="zh-CN"/>
              </w:rPr>
            </w:pPr>
            <w:r>
              <w:rPr>
                <w:rFonts w:hint="eastAsia"/>
                <w:color w:val="auto"/>
                <w:highlight w:val="none"/>
                <w:lang w:val="en-US" w:eastAsia="zh-CN"/>
              </w:rPr>
              <w:t>项目名称</w:t>
            </w:r>
          </w:p>
        </w:tc>
        <w:tc>
          <w:tcPr>
            <w:tcW w:w="4078" w:type="dxa"/>
            <w:tcBorders>
              <w:left w:val="single" w:color="auto" w:sz="4" w:space="0"/>
            </w:tcBorders>
            <w:vAlign w:val="center"/>
          </w:tcPr>
          <w:p>
            <w:pPr>
              <w:pStyle w:val="56"/>
              <w:jc w:val="center"/>
              <w:rPr>
                <w:color w:val="auto"/>
                <w:highlight w:val="none"/>
              </w:rPr>
            </w:pPr>
            <w:r>
              <w:rPr>
                <w:color w:val="auto"/>
                <w:highlight w:val="none"/>
              </w:rPr>
              <w:t>投标报价</w:t>
            </w:r>
            <w:r>
              <w:rPr>
                <w:rFonts w:hint="eastAsia"/>
                <w:color w:val="auto"/>
                <w:highlight w:val="none"/>
                <w:lang w:eastAsia="zh-CN"/>
              </w:rPr>
              <w:t>（</w:t>
            </w:r>
            <w:r>
              <w:rPr>
                <w:rFonts w:hint="eastAsia"/>
                <w:color w:val="auto"/>
                <w:highlight w:val="none"/>
                <w:lang w:val="en-US" w:eastAsia="zh-CN"/>
              </w:rPr>
              <w:t>折扣报价%</w:t>
            </w:r>
            <w:r>
              <w:rPr>
                <w:rFonts w:hint="eastAsia"/>
                <w:color w:val="auto"/>
                <w:highlight w:val="none"/>
                <w:lang w:eastAsia="zh-CN"/>
              </w:rPr>
              <w:t>）</w:t>
            </w:r>
          </w:p>
        </w:tc>
        <w:tc>
          <w:tcPr>
            <w:tcW w:w="1587" w:type="dxa"/>
            <w:vAlign w:val="center"/>
          </w:tcPr>
          <w:p>
            <w:pPr>
              <w:pStyle w:val="56"/>
              <w:jc w:val="center"/>
              <w:rPr>
                <w:rFonts w:hint="default"/>
                <w:color w:val="auto"/>
                <w:highlight w:val="none"/>
              </w:rPr>
            </w:pPr>
            <w:r>
              <w:rPr>
                <w:color w:val="auto"/>
                <w:highlight w:val="none"/>
              </w:rPr>
              <w:t>投标保证金</w:t>
            </w:r>
          </w:p>
        </w:tc>
        <w:tc>
          <w:tcPr>
            <w:tcW w:w="1150" w:type="dxa"/>
            <w:vAlign w:val="center"/>
          </w:tcPr>
          <w:p>
            <w:pPr>
              <w:pStyle w:val="56"/>
              <w:jc w:val="center"/>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1" w:hRule="atLeast"/>
        </w:trPr>
        <w:tc>
          <w:tcPr>
            <w:tcW w:w="954" w:type="dxa"/>
            <w:vAlign w:val="center"/>
          </w:tcPr>
          <w:p>
            <w:pPr>
              <w:pStyle w:val="56"/>
              <w:jc w:val="center"/>
              <w:rPr>
                <w:rFonts w:hint="default"/>
                <w:color w:val="auto"/>
                <w:highlight w:val="none"/>
                <w:lang w:eastAsia="zh-CN"/>
              </w:rPr>
            </w:pPr>
            <w:r>
              <w:rPr>
                <w:color w:val="auto"/>
                <w:highlight w:val="none"/>
                <w:lang w:eastAsia="zh-CN"/>
              </w:rPr>
              <w:t>1</w:t>
            </w:r>
          </w:p>
        </w:tc>
        <w:tc>
          <w:tcPr>
            <w:tcW w:w="1231" w:type="dxa"/>
            <w:tcBorders>
              <w:right w:val="single" w:color="auto" w:sz="4" w:space="0"/>
            </w:tcBorders>
            <w:vAlign w:val="center"/>
          </w:tcPr>
          <w:p>
            <w:pPr>
              <w:pStyle w:val="56"/>
              <w:jc w:val="center"/>
              <w:rPr>
                <w:rFonts w:hint="default"/>
                <w:color w:val="auto"/>
                <w:highlight w:val="none"/>
              </w:rPr>
            </w:pPr>
          </w:p>
          <w:p>
            <w:pPr>
              <w:pStyle w:val="56"/>
              <w:jc w:val="center"/>
              <w:rPr>
                <w:rFonts w:hint="default"/>
                <w:color w:val="auto"/>
                <w:highlight w:val="none"/>
              </w:rPr>
            </w:pPr>
          </w:p>
        </w:tc>
        <w:tc>
          <w:tcPr>
            <w:tcW w:w="4078" w:type="dxa"/>
            <w:tcBorders>
              <w:left w:val="single" w:color="auto" w:sz="4" w:space="0"/>
            </w:tcBorders>
            <w:vAlign w:val="center"/>
          </w:tcPr>
          <w:p>
            <w:pPr>
              <w:pStyle w:val="56"/>
              <w:jc w:val="center"/>
              <w:rPr>
                <w:color w:val="auto"/>
                <w:highlight w:val="none"/>
              </w:rPr>
            </w:pPr>
          </w:p>
        </w:tc>
        <w:tc>
          <w:tcPr>
            <w:tcW w:w="1587" w:type="dxa"/>
            <w:vAlign w:val="center"/>
          </w:tcPr>
          <w:p>
            <w:pPr>
              <w:jc w:val="center"/>
              <w:rPr>
                <w:color w:val="auto"/>
                <w:highlight w:val="none"/>
              </w:rPr>
            </w:pPr>
          </w:p>
        </w:tc>
        <w:tc>
          <w:tcPr>
            <w:tcW w:w="1150" w:type="dxa"/>
            <w:vAlign w:val="center"/>
          </w:tcPr>
          <w:p>
            <w:pPr>
              <w:pStyle w:val="56"/>
              <w:jc w:val="center"/>
              <w:rPr>
                <w:rFonts w:hint="default"/>
                <w:color w:val="auto"/>
                <w:highlight w:val="none"/>
              </w:rPr>
            </w:pPr>
          </w:p>
        </w:tc>
      </w:tr>
    </w:tbl>
    <w:p>
      <w:pPr>
        <w:pStyle w:val="56"/>
        <w:ind w:firstLine="480"/>
        <w:rPr>
          <w:rFonts w:hint="default"/>
          <w:color w:val="auto"/>
          <w:highlight w:val="none"/>
        </w:rPr>
      </w:pPr>
      <w:r>
        <w:rPr>
          <w:color w:val="auto"/>
          <w:highlight w:val="none"/>
        </w:rPr>
        <w:t>※注意：</w:t>
      </w:r>
    </w:p>
    <w:p>
      <w:pPr>
        <w:pStyle w:val="56"/>
        <w:spacing w:line="360" w:lineRule="auto"/>
        <w:ind w:firstLine="480"/>
        <w:rPr>
          <w:b/>
          <w:bCs/>
          <w:color w:val="auto"/>
          <w:sz w:val="21"/>
          <w:szCs w:val="21"/>
          <w:highlight w:val="none"/>
          <w:u w:val="single"/>
        </w:rPr>
      </w:pPr>
      <w:r>
        <w:rPr>
          <w:rFonts w:hint="eastAsia"/>
          <w:b/>
          <w:bCs/>
          <w:color w:val="auto"/>
          <w:sz w:val="21"/>
          <w:szCs w:val="21"/>
          <w:highlight w:val="none"/>
          <w:u w:val="single"/>
          <w:lang w:val="en-US" w:eastAsia="zh-CN"/>
        </w:rPr>
        <w:t>注：</w:t>
      </w:r>
      <w:r>
        <w:rPr>
          <w:rFonts w:hint="eastAsia"/>
          <w:b/>
          <w:bCs/>
          <w:color w:val="auto"/>
          <w:sz w:val="21"/>
          <w:szCs w:val="21"/>
          <w:highlight w:val="none"/>
          <w:u w:val="single"/>
        </w:rPr>
        <w:t>本次采购项目供应商的报价统一采取折扣以百分比形式进行报价，由供应商自行报价（即折扣报价，如8.5折填写为85%，9折填写为90%），供应商报价不得高于100%，否则响应无效。</w:t>
      </w:r>
    </w:p>
    <w:p>
      <w:pPr>
        <w:pStyle w:val="56"/>
        <w:ind w:firstLine="480"/>
        <w:rPr>
          <w:rFonts w:hint="default"/>
          <w:color w:val="auto"/>
          <w:highlight w:val="none"/>
        </w:rPr>
      </w:pPr>
    </w:p>
    <w:p>
      <w:pPr>
        <w:pStyle w:val="56"/>
        <w:ind w:firstLine="480"/>
        <w:rPr>
          <w:rFonts w:hint="default"/>
          <w:color w:val="auto"/>
          <w:highlight w:val="none"/>
        </w:rPr>
      </w:pPr>
    </w:p>
    <w:p>
      <w:pPr>
        <w:pStyle w:val="56"/>
        <w:jc w:val="right"/>
        <w:rPr>
          <w:rFonts w:hint="default"/>
          <w:color w:val="auto"/>
          <w:highlight w:val="none"/>
        </w:rPr>
      </w:pPr>
      <w:r>
        <w:rPr>
          <w:color w:val="auto"/>
          <w:highlight w:val="none"/>
          <w:lang w:eastAsia="zh-CN"/>
        </w:rPr>
        <w:t xml:space="preserve">                                                         </w:t>
      </w:r>
      <w:r>
        <w:rPr>
          <w:color w:val="auto"/>
          <w:highlight w:val="none"/>
        </w:rPr>
        <w:t>投标人：</w:t>
      </w:r>
      <w:r>
        <w:rPr>
          <w:color w:val="auto"/>
          <w:highlight w:val="none"/>
          <w:u w:val="single"/>
        </w:rPr>
        <w:t>（全称并加盖单位公章）</w:t>
      </w:r>
    </w:p>
    <w:p>
      <w:pPr>
        <w:pStyle w:val="56"/>
        <w:jc w:val="right"/>
        <w:rPr>
          <w:rFonts w:hint="default"/>
          <w:color w:val="auto"/>
          <w:highlight w:val="none"/>
          <w:u w:val="single"/>
        </w:rPr>
      </w:pPr>
      <w:r>
        <w:rPr>
          <w:color w:val="auto"/>
          <w:highlight w:val="none"/>
        </w:rPr>
        <w:t>投标人代表签字：</w:t>
      </w:r>
      <w:r>
        <w:rPr>
          <w:color w:val="auto"/>
          <w:highlight w:val="none"/>
          <w:u w:val="single"/>
        </w:rPr>
        <w:t>              </w:t>
      </w:r>
      <w:r>
        <w:rPr>
          <w:color w:val="auto"/>
          <w:highlight w:val="none"/>
          <w:u w:val="single"/>
          <w:lang w:eastAsia="zh-CN"/>
        </w:rPr>
        <w:t xml:space="preserve">       </w:t>
      </w:r>
      <w:r>
        <w:rPr>
          <w:color w:val="auto"/>
          <w:highlight w:val="none"/>
          <w:u w:val="single"/>
        </w:rPr>
        <w:t>     </w:t>
      </w:r>
    </w:p>
    <w:p>
      <w:pPr>
        <w:pStyle w:val="56"/>
        <w:jc w:val="right"/>
        <w:rPr>
          <w:rFonts w:hint="default"/>
          <w:color w:val="auto"/>
          <w:highlight w:val="none"/>
        </w:rPr>
      </w:pPr>
      <w:r>
        <w:rPr>
          <w:color w:val="auto"/>
          <w:highlight w:val="none"/>
        </w:rPr>
        <w:t>日期：    </w:t>
      </w:r>
      <w:r>
        <w:rPr>
          <w:color w:val="auto"/>
          <w:highlight w:val="none"/>
          <w:lang w:eastAsia="zh-CN"/>
        </w:rPr>
        <w:t xml:space="preserve"> </w:t>
      </w:r>
      <w:r>
        <w:rPr>
          <w:color w:val="auto"/>
          <w:highlight w:val="none"/>
        </w:rPr>
        <w:t>年   </w:t>
      </w:r>
      <w:r>
        <w:rPr>
          <w:color w:val="auto"/>
          <w:highlight w:val="none"/>
          <w:lang w:eastAsia="zh-CN"/>
        </w:rPr>
        <w:t xml:space="preserve"> </w:t>
      </w:r>
      <w:r>
        <w:rPr>
          <w:color w:val="auto"/>
          <w:highlight w:val="none"/>
        </w:rPr>
        <w:t>月   </w:t>
      </w:r>
      <w:r>
        <w:rPr>
          <w:color w:val="auto"/>
          <w:highlight w:val="none"/>
          <w:lang w:eastAsia="zh-CN"/>
        </w:rPr>
        <w:t xml:space="preserve"> </w:t>
      </w:r>
      <w:r>
        <w:rPr>
          <w:color w:val="auto"/>
          <w:highlight w:val="none"/>
        </w:rPr>
        <w:t>日</w:t>
      </w:r>
    </w:p>
    <w:p>
      <w:pPr>
        <w:pStyle w:val="56"/>
        <w:jc w:val="right"/>
        <w:rPr>
          <w:rFonts w:hint="default"/>
          <w:color w:val="auto"/>
          <w:highlight w:val="none"/>
        </w:rPr>
      </w:pPr>
    </w:p>
    <w:p>
      <w:pPr>
        <w:pStyle w:val="56"/>
        <w:rPr>
          <w:rFonts w:hint="default"/>
          <w:color w:val="auto"/>
          <w:highlight w:val="none"/>
        </w:rPr>
      </w:pPr>
    </w:p>
    <w:p>
      <w:pPr>
        <w:pStyle w:val="56"/>
        <w:rPr>
          <w:rFonts w:hint="default"/>
          <w:color w:val="auto"/>
          <w:highlight w:val="none"/>
        </w:rPr>
      </w:pPr>
      <w:r>
        <w:rPr>
          <w:color w:val="auto"/>
          <w:highlight w:val="none"/>
        </w:rPr>
        <w:t xml:space="preserve"> </w:t>
      </w:r>
    </w:p>
    <w:p>
      <w:pPr>
        <w:rPr>
          <w:b/>
          <w:color w:val="auto"/>
          <w:sz w:val="28"/>
          <w:highlight w:val="none"/>
        </w:rPr>
      </w:pPr>
      <w:r>
        <w:rPr>
          <w:b/>
          <w:color w:val="auto"/>
          <w:sz w:val="28"/>
          <w:highlight w:val="none"/>
        </w:rPr>
        <w:br w:type="page"/>
      </w:r>
    </w:p>
    <w:p>
      <w:pPr>
        <w:pStyle w:val="19"/>
        <w:widowControl/>
        <w:jc w:val="center"/>
        <w:rPr>
          <w:color w:val="auto"/>
          <w:highlight w:val="none"/>
        </w:rPr>
      </w:pPr>
      <w:r>
        <w:rPr>
          <w:rStyle w:val="27"/>
          <w:rFonts w:hint="eastAsia" w:ascii="宋体" w:hAnsi="宋体" w:cs="宋体"/>
          <w:color w:val="auto"/>
          <w:sz w:val="28"/>
          <w:szCs w:val="28"/>
          <w:highlight w:val="none"/>
        </w:rPr>
        <w:t>封面格式</w:t>
      </w:r>
    </w:p>
    <w:p>
      <w:pPr>
        <w:pStyle w:val="19"/>
        <w:widowControl/>
        <w:spacing w:before="156" w:beforeLines="50" w:beforeAutospacing="0" w:after="156" w:afterLines="50" w:afterAutospacing="0"/>
        <w:jc w:val="center"/>
        <w:rPr>
          <w:rStyle w:val="27"/>
          <w:rFonts w:hint="eastAsia" w:ascii="宋体" w:hAnsi="宋体" w:eastAsia="宋体" w:cs="宋体"/>
          <w:color w:val="auto"/>
          <w:sz w:val="48"/>
          <w:szCs w:val="48"/>
          <w:highlight w:val="none"/>
          <w:lang w:eastAsia="zh-CN"/>
        </w:rPr>
      </w:pPr>
    </w:p>
    <w:p>
      <w:pPr>
        <w:pStyle w:val="19"/>
        <w:widowControl/>
        <w:spacing w:before="156" w:beforeLines="50" w:beforeAutospacing="0" w:after="156" w:afterLines="50" w:afterAutospacing="0"/>
        <w:jc w:val="center"/>
        <w:rPr>
          <w:color w:val="auto"/>
          <w:highlight w:val="none"/>
        </w:rPr>
      </w:pPr>
      <w:r>
        <w:rPr>
          <w:rStyle w:val="27"/>
          <w:rFonts w:hint="eastAsia" w:ascii="宋体" w:hAnsi="宋体" w:cs="宋体"/>
          <w:color w:val="auto"/>
          <w:sz w:val="48"/>
          <w:szCs w:val="48"/>
          <w:highlight w:val="none"/>
          <w:lang w:eastAsia="zh-CN"/>
        </w:rPr>
        <w:t>福建省立医院工会委员会2024年工会会员法定节假日慰问品采购项目</w:t>
      </w:r>
      <w:r>
        <w:rPr>
          <w:rStyle w:val="27"/>
          <w:rFonts w:hint="eastAsia" w:ascii="宋体" w:hAnsi="宋体" w:cs="宋体"/>
          <w:color w:val="auto"/>
          <w:sz w:val="48"/>
          <w:szCs w:val="48"/>
          <w:highlight w:val="none"/>
        </w:rPr>
        <w:t>投标文件</w:t>
      </w:r>
    </w:p>
    <w:p>
      <w:pPr>
        <w:pStyle w:val="19"/>
        <w:widowControl/>
        <w:jc w:val="center"/>
        <w:rPr>
          <w:color w:val="auto"/>
          <w:highlight w:val="none"/>
        </w:rPr>
      </w:pPr>
      <w:r>
        <w:rPr>
          <w:rStyle w:val="27"/>
          <w:rFonts w:hint="eastAsia" w:ascii="宋体" w:hAnsi="宋体" w:cs="宋体"/>
          <w:color w:val="auto"/>
          <w:sz w:val="48"/>
          <w:szCs w:val="48"/>
          <w:highlight w:val="none"/>
        </w:rPr>
        <w:t>（技术商务部分）</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6"/>
          <w:szCs w:val="36"/>
          <w:highlight w:val="none"/>
          <w:u w:val="single"/>
        </w:rPr>
        <w:t>（填写正本或副本）</w:t>
      </w:r>
    </w:p>
    <w:p>
      <w:pPr>
        <w:pStyle w:val="19"/>
        <w:widowControl/>
        <w:rPr>
          <w:color w:val="auto"/>
          <w:highlight w:val="none"/>
        </w:rPr>
      </w:pPr>
      <w:r>
        <w:rPr>
          <w:rFonts w:hint="eastAsia" w:ascii="宋体" w:hAnsi="宋体" w:cs="宋体"/>
          <w:color w:val="auto"/>
          <w:sz w:val="36"/>
          <w:szCs w:val="36"/>
          <w:highlight w:val="none"/>
        </w:rPr>
        <w:t> </w:t>
      </w:r>
    </w:p>
    <w:p>
      <w:pPr>
        <w:pStyle w:val="19"/>
        <w:widowControl/>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项目编号：</w:t>
      </w:r>
      <w:r>
        <w:rPr>
          <w:rStyle w:val="27"/>
          <w:rFonts w:hint="eastAsia" w:ascii="宋体" w:hAnsi="宋体" w:cs="宋体"/>
          <w:color w:val="auto"/>
          <w:sz w:val="31"/>
          <w:szCs w:val="31"/>
          <w:highlight w:val="none"/>
          <w:u w:val="single"/>
        </w:rPr>
        <w:t>（由投标人填写）</w:t>
      </w:r>
    </w:p>
    <w:p>
      <w:pPr>
        <w:pStyle w:val="19"/>
        <w:widowControl/>
        <w:ind w:firstLine="1920"/>
        <w:rPr>
          <w:color w:val="auto"/>
          <w:highlight w:val="none"/>
        </w:rPr>
      </w:pPr>
      <w:r>
        <w:rPr>
          <w:rStyle w:val="27"/>
          <w:rFonts w:hint="eastAsia" w:ascii="宋体" w:hAnsi="宋体" w:cs="宋体"/>
          <w:color w:val="auto"/>
          <w:sz w:val="31"/>
          <w:szCs w:val="31"/>
          <w:highlight w:val="none"/>
        </w:rPr>
        <w:t>所投采购包：</w:t>
      </w:r>
      <w:r>
        <w:rPr>
          <w:rStyle w:val="27"/>
          <w:rFonts w:hint="eastAsia" w:ascii="宋体" w:hAnsi="宋体" w:cs="宋体"/>
          <w:color w:val="auto"/>
          <w:sz w:val="31"/>
          <w:szCs w:val="31"/>
          <w:highlight w:val="none"/>
          <w:u w:val="single"/>
        </w:rPr>
        <w:t>（由投标人填写）</w:t>
      </w:r>
    </w:p>
    <w:p>
      <w:pPr>
        <w:pStyle w:val="19"/>
        <w:widowControl/>
        <w:rPr>
          <w:color w:val="auto"/>
          <w:highlight w:val="none"/>
        </w:rPr>
      </w:pPr>
      <w:r>
        <w:rPr>
          <w:rFonts w:hint="eastAsia" w:ascii="宋体" w:hAnsi="宋体" w:cs="宋体"/>
          <w:color w:val="auto"/>
          <w:sz w:val="36"/>
          <w:szCs w:val="36"/>
          <w:highlight w:val="none"/>
        </w:rPr>
        <w:t> </w:t>
      </w:r>
    </w:p>
    <w:p>
      <w:pPr>
        <w:pStyle w:val="19"/>
        <w:widowControl/>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19"/>
        <w:widowControl/>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 </w:t>
      </w:r>
    </w:p>
    <w:p>
      <w:pPr>
        <w:pStyle w:val="19"/>
        <w:widowControl/>
        <w:jc w:val="center"/>
        <w:rPr>
          <w:rStyle w:val="27"/>
          <w:rFonts w:ascii="宋体" w:hAnsi="宋体" w:cs="宋体"/>
          <w:color w:val="auto"/>
          <w:sz w:val="28"/>
          <w:szCs w:val="28"/>
          <w:highlight w:val="none"/>
        </w:rPr>
      </w:pPr>
    </w:p>
    <w:p>
      <w:pPr>
        <w:pStyle w:val="19"/>
        <w:widowControl/>
        <w:jc w:val="center"/>
        <w:rPr>
          <w:color w:val="auto"/>
          <w:highlight w:val="none"/>
        </w:rPr>
      </w:pPr>
      <w:r>
        <w:rPr>
          <w:rStyle w:val="27"/>
          <w:rFonts w:hint="eastAsia" w:ascii="宋体" w:hAnsi="宋体" w:cs="宋体"/>
          <w:color w:val="auto"/>
          <w:sz w:val="28"/>
          <w:szCs w:val="28"/>
          <w:highlight w:val="none"/>
        </w:rPr>
        <w:t>索引</w:t>
      </w:r>
    </w:p>
    <w:p>
      <w:pPr>
        <w:pStyle w:val="19"/>
        <w:widowControl/>
        <w:rPr>
          <w:color w:val="auto"/>
          <w:highlight w:val="none"/>
        </w:rPr>
      </w:pPr>
      <w:r>
        <w:rPr>
          <w:rFonts w:hint="eastAsia" w:ascii="宋体" w:hAnsi="宋体" w:cs="宋体"/>
          <w:color w:val="auto"/>
          <w:sz w:val="28"/>
          <w:szCs w:val="28"/>
          <w:highlight w:val="none"/>
        </w:rPr>
        <w:t>一、标的说明一览表</w:t>
      </w:r>
    </w:p>
    <w:p>
      <w:pPr>
        <w:pStyle w:val="19"/>
        <w:widowControl/>
        <w:rPr>
          <w:color w:val="auto"/>
          <w:highlight w:val="none"/>
        </w:rPr>
      </w:pPr>
      <w:r>
        <w:rPr>
          <w:rFonts w:hint="eastAsia" w:ascii="宋体" w:hAnsi="宋体" w:cs="宋体"/>
          <w:color w:val="auto"/>
          <w:sz w:val="28"/>
          <w:szCs w:val="28"/>
          <w:highlight w:val="none"/>
        </w:rPr>
        <w:t>二、技术和服务要求响应表</w:t>
      </w:r>
    </w:p>
    <w:p>
      <w:pPr>
        <w:pStyle w:val="19"/>
        <w:widowControl/>
        <w:rPr>
          <w:rFonts w:ascii="宋体" w:hAnsi="宋体" w:cs="宋体"/>
          <w:color w:val="auto"/>
          <w:sz w:val="28"/>
          <w:szCs w:val="28"/>
          <w:highlight w:val="none"/>
        </w:rPr>
      </w:pPr>
      <w:r>
        <w:rPr>
          <w:rFonts w:hint="eastAsia" w:ascii="宋体" w:hAnsi="宋体" w:cs="宋体"/>
          <w:color w:val="auto"/>
          <w:sz w:val="28"/>
          <w:szCs w:val="28"/>
          <w:highlight w:val="none"/>
        </w:rPr>
        <w:t>三、商务条件响应表</w:t>
      </w:r>
    </w:p>
    <w:p>
      <w:pPr>
        <w:pStyle w:val="19"/>
        <w:widowControl/>
        <w:rPr>
          <w:rFonts w:ascii="宋体" w:hAnsi="宋体" w:cs="宋体"/>
          <w:color w:val="auto"/>
          <w:sz w:val="28"/>
          <w:szCs w:val="28"/>
          <w:highlight w:val="none"/>
        </w:rPr>
      </w:pPr>
      <w:r>
        <w:rPr>
          <w:rFonts w:hint="eastAsia" w:ascii="宋体" w:hAnsi="宋体" w:cs="宋体"/>
          <w:color w:val="auto"/>
          <w:sz w:val="28"/>
          <w:szCs w:val="28"/>
          <w:highlight w:val="none"/>
        </w:rPr>
        <w:t>四、技术商务部分评分内容对应表</w:t>
      </w:r>
    </w:p>
    <w:p>
      <w:pPr>
        <w:pStyle w:val="19"/>
        <w:widowControl/>
        <w:rPr>
          <w:color w:val="auto"/>
          <w:highlight w:val="none"/>
        </w:rPr>
      </w:pPr>
      <w:r>
        <w:rPr>
          <w:rFonts w:hint="eastAsia" w:ascii="宋体" w:hAnsi="宋体" w:cs="宋体"/>
          <w:color w:val="auto"/>
          <w:sz w:val="28"/>
          <w:szCs w:val="28"/>
          <w:highlight w:val="none"/>
        </w:rPr>
        <w:t>五、投标人提交的其他资料（若有）</w:t>
      </w:r>
    </w:p>
    <w:p>
      <w:pPr>
        <w:pStyle w:val="56"/>
        <w:ind w:firstLine="480"/>
        <w:jc w:val="center"/>
        <w:rPr>
          <w:rFonts w:hint="default"/>
          <w:color w:val="auto"/>
          <w:highlight w:val="none"/>
        </w:rPr>
      </w:pPr>
      <w:r>
        <w:rPr>
          <w:b/>
          <w:bCs/>
          <w:color w:val="auto"/>
          <w:highlight w:val="none"/>
        </w:rPr>
        <w:t>※注意</w:t>
      </w:r>
    </w:p>
    <w:p>
      <w:pPr>
        <w:pStyle w:val="19"/>
        <w:widowControl/>
        <w:ind w:firstLine="420"/>
        <w:rPr>
          <w:rFonts w:ascii="宋体" w:hAnsi="宋体" w:cs="宋体"/>
          <w:color w:val="auto"/>
          <w:sz w:val="21"/>
          <w:szCs w:val="21"/>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7"/>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ind w:firstLine="420"/>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一、标的说明一览表</w:t>
      </w:r>
    </w:p>
    <w:p>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4"/>
        <w:tblW w:w="935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6"/>
        <w:gridCol w:w="955"/>
        <w:gridCol w:w="1829"/>
        <w:gridCol w:w="950"/>
        <w:gridCol w:w="1249"/>
        <w:gridCol w:w="124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blCellSpacing w:w="15" w:type="dxa"/>
        </w:trPr>
        <w:tc>
          <w:tcPr>
            <w:tcW w:w="1031" w:type="dxa"/>
            <w:tcMar>
              <w:top w:w="0" w:type="dxa"/>
              <w:left w:w="105" w:type="dxa"/>
              <w:bottom w:w="0" w:type="dxa"/>
              <w:right w:w="105" w:type="dxa"/>
            </w:tcMar>
            <w:vAlign w:val="center"/>
          </w:tcPr>
          <w:p>
            <w:pPr>
              <w:pStyle w:val="19"/>
              <w:widowControl/>
              <w:jc w:val="center"/>
              <w:rPr>
                <w:color w:val="auto"/>
                <w:highlight w:val="none"/>
              </w:rPr>
            </w:pPr>
            <w:r>
              <w:rPr>
                <w:rFonts w:hint="eastAsia"/>
                <w:color w:val="auto"/>
                <w:highlight w:val="none"/>
              </w:rPr>
              <w:t>采购包</w:t>
            </w:r>
          </w:p>
        </w:tc>
        <w:tc>
          <w:tcPr>
            <w:tcW w:w="925"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品目号</w:t>
            </w:r>
          </w:p>
        </w:tc>
        <w:tc>
          <w:tcPr>
            <w:tcW w:w="1799"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投标标的</w:t>
            </w:r>
          </w:p>
        </w:tc>
        <w:tc>
          <w:tcPr>
            <w:tcW w:w="920"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数量</w:t>
            </w:r>
          </w:p>
        </w:tc>
        <w:tc>
          <w:tcPr>
            <w:tcW w:w="1219"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品牌、规格型号</w:t>
            </w:r>
          </w:p>
        </w:tc>
        <w:tc>
          <w:tcPr>
            <w:tcW w:w="1219"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来源地</w:t>
            </w:r>
          </w:p>
        </w:tc>
        <w:tc>
          <w:tcPr>
            <w:tcW w:w="2004"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tblCellSpacing w:w="15" w:type="dxa"/>
        </w:trPr>
        <w:tc>
          <w:tcPr>
            <w:tcW w:w="1031" w:type="dxa"/>
            <w:vMerge w:val="restart"/>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w:t>
            </w:r>
          </w:p>
        </w:tc>
        <w:tc>
          <w:tcPr>
            <w:tcW w:w="925"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*-1</w:t>
            </w:r>
          </w:p>
        </w:tc>
        <w:tc>
          <w:tcPr>
            <w:tcW w:w="1799" w:type="dxa"/>
            <w:tcMar>
              <w:top w:w="0" w:type="dxa"/>
              <w:left w:w="105" w:type="dxa"/>
              <w:bottom w:w="0" w:type="dxa"/>
              <w:right w:w="105" w:type="dxa"/>
            </w:tcMar>
          </w:tcPr>
          <w:p>
            <w:pPr>
              <w:widowControl/>
              <w:jc w:val="left"/>
              <w:rPr>
                <w:color w:val="auto"/>
                <w:highlight w:val="none"/>
              </w:rPr>
            </w:pPr>
          </w:p>
        </w:tc>
        <w:tc>
          <w:tcPr>
            <w:tcW w:w="920"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2004" w:type="dxa"/>
            <w:tcMar>
              <w:top w:w="0" w:type="dxa"/>
              <w:left w:w="105" w:type="dxa"/>
              <w:bottom w:w="0" w:type="dxa"/>
              <w:right w:w="105" w:type="dxa"/>
            </w:tcMa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tblCellSpacing w:w="15" w:type="dxa"/>
        </w:trPr>
        <w:tc>
          <w:tcPr>
            <w:tcW w:w="1031" w:type="dxa"/>
            <w:vMerge w:val="continue"/>
            <w:tcMar>
              <w:top w:w="0" w:type="dxa"/>
              <w:left w:w="105" w:type="dxa"/>
              <w:bottom w:w="0" w:type="dxa"/>
              <w:right w:w="105" w:type="dxa"/>
            </w:tcMar>
            <w:vAlign w:val="center"/>
          </w:tcPr>
          <w:p>
            <w:pPr>
              <w:rPr>
                <w:rFonts w:ascii="宋体"/>
                <w:color w:val="auto"/>
                <w:sz w:val="24"/>
                <w:highlight w:val="none"/>
              </w:rPr>
            </w:pPr>
          </w:p>
        </w:tc>
        <w:tc>
          <w:tcPr>
            <w:tcW w:w="925" w:type="dxa"/>
            <w:tcMar>
              <w:top w:w="0" w:type="dxa"/>
              <w:left w:w="105" w:type="dxa"/>
              <w:bottom w:w="0" w:type="dxa"/>
              <w:right w:w="105" w:type="dxa"/>
            </w:tcMar>
            <w:vAlign w:val="center"/>
          </w:tcPr>
          <w:p>
            <w:pPr>
              <w:pStyle w:val="19"/>
              <w:widowControl/>
              <w:jc w:val="center"/>
              <w:rPr>
                <w:color w:val="auto"/>
                <w:highlight w:val="none"/>
              </w:rPr>
            </w:pPr>
            <w:r>
              <w:rPr>
                <w:rFonts w:cs="Calibri"/>
                <w:color w:val="auto"/>
                <w:sz w:val="21"/>
                <w:szCs w:val="21"/>
                <w:highlight w:val="none"/>
              </w:rPr>
              <w:t>…</w:t>
            </w:r>
          </w:p>
        </w:tc>
        <w:tc>
          <w:tcPr>
            <w:tcW w:w="1799" w:type="dxa"/>
            <w:tcMar>
              <w:top w:w="0" w:type="dxa"/>
              <w:left w:w="105" w:type="dxa"/>
              <w:bottom w:w="0" w:type="dxa"/>
              <w:right w:w="105" w:type="dxa"/>
            </w:tcMar>
          </w:tcPr>
          <w:p>
            <w:pPr>
              <w:widowControl/>
              <w:jc w:val="left"/>
              <w:rPr>
                <w:color w:val="auto"/>
                <w:highlight w:val="none"/>
              </w:rPr>
            </w:pPr>
          </w:p>
        </w:tc>
        <w:tc>
          <w:tcPr>
            <w:tcW w:w="920"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2004" w:type="dxa"/>
            <w:tcMar>
              <w:top w:w="0" w:type="dxa"/>
              <w:left w:w="105" w:type="dxa"/>
              <w:bottom w:w="0" w:type="dxa"/>
              <w:right w:w="105" w:type="dxa"/>
            </w:tcMa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blCellSpacing w:w="15" w:type="dxa"/>
        </w:trPr>
        <w:tc>
          <w:tcPr>
            <w:tcW w:w="1031" w:type="dxa"/>
            <w:tcMar>
              <w:top w:w="0" w:type="dxa"/>
              <w:left w:w="105" w:type="dxa"/>
              <w:bottom w:w="0" w:type="dxa"/>
              <w:right w:w="105" w:type="dxa"/>
            </w:tcMar>
            <w:vAlign w:val="center"/>
          </w:tcPr>
          <w:p>
            <w:pPr>
              <w:pStyle w:val="19"/>
              <w:widowControl/>
              <w:jc w:val="center"/>
              <w:rPr>
                <w:color w:val="auto"/>
                <w:highlight w:val="none"/>
              </w:rPr>
            </w:pPr>
            <w:r>
              <w:rPr>
                <w:rFonts w:cs="Calibri"/>
                <w:color w:val="auto"/>
                <w:sz w:val="21"/>
                <w:szCs w:val="21"/>
                <w:highlight w:val="none"/>
              </w:rPr>
              <w:t>…</w:t>
            </w:r>
          </w:p>
        </w:tc>
        <w:tc>
          <w:tcPr>
            <w:tcW w:w="925" w:type="dxa"/>
            <w:tcMar>
              <w:top w:w="0" w:type="dxa"/>
              <w:left w:w="105" w:type="dxa"/>
              <w:bottom w:w="0" w:type="dxa"/>
              <w:right w:w="105" w:type="dxa"/>
            </w:tcMar>
            <w:vAlign w:val="center"/>
          </w:tcPr>
          <w:p>
            <w:pPr>
              <w:widowControl/>
              <w:jc w:val="left"/>
              <w:rPr>
                <w:color w:val="auto"/>
                <w:highlight w:val="none"/>
              </w:rPr>
            </w:pPr>
          </w:p>
        </w:tc>
        <w:tc>
          <w:tcPr>
            <w:tcW w:w="1799" w:type="dxa"/>
            <w:tcMar>
              <w:top w:w="0" w:type="dxa"/>
              <w:left w:w="105" w:type="dxa"/>
              <w:bottom w:w="0" w:type="dxa"/>
              <w:right w:w="105" w:type="dxa"/>
            </w:tcMar>
          </w:tcPr>
          <w:p>
            <w:pPr>
              <w:widowControl/>
              <w:jc w:val="left"/>
              <w:rPr>
                <w:color w:val="auto"/>
                <w:highlight w:val="none"/>
              </w:rPr>
            </w:pPr>
          </w:p>
        </w:tc>
        <w:tc>
          <w:tcPr>
            <w:tcW w:w="920"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1219" w:type="dxa"/>
            <w:tcMar>
              <w:top w:w="0" w:type="dxa"/>
              <w:left w:w="105" w:type="dxa"/>
              <w:bottom w:w="0" w:type="dxa"/>
              <w:right w:w="105" w:type="dxa"/>
            </w:tcMar>
          </w:tcPr>
          <w:p>
            <w:pPr>
              <w:widowControl/>
              <w:jc w:val="left"/>
              <w:rPr>
                <w:color w:val="auto"/>
                <w:highlight w:val="none"/>
              </w:rPr>
            </w:pPr>
          </w:p>
        </w:tc>
        <w:tc>
          <w:tcPr>
            <w:tcW w:w="2004" w:type="dxa"/>
            <w:tcMar>
              <w:top w:w="0" w:type="dxa"/>
              <w:left w:w="105" w:type="dxa"/>
              <w:bottom w:w="0" w:type="dxa"/>
              <w:right w:w="105" w:type="dxa"/>
            </w:tcMar>
          </w:tcPr>
          <w:p>
            <w:pPr>
              <w:widowControl/>
              <w:jc w:val="left"/>
              <w:rPr>
                <w:color w:val="auto"/>
                <w:highlight w:val="none"/>
              </w:rPr>
            </w:pPr>
          </w:p>
        </w:tc>
      </w:tr>
    </w:tbl>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rPr>
          <w:color w:val="auto"/>
          <w:highlight w:val="none"/>
        </w:rPr>
      </w:pPr>
      <w:r>
        <w:rPr>
          <w:rFonts w:hint="eastAsia" w:ascii="宋体" w:hAnsi="宋体" w:cs="宋体"/>
          <w:color w:val="auto"/>
          <w:sz w:val="21"/>
          <w:szCs w:val="21"/>
          <w:highlight w:val="none"/>
        </w:rPr>
        <w:t>1、本表应按照下列规定填写：</w:t>
      </w:r>
    </w:p>
    <w:p>
      <w:pPr>
        <w:pStyle w:val="19"/>
        <w:widowControl/>
        <w:rPr>
          <w:color w:val="auto"/>
          <w:highlight w:val="none"/>
        </w:rPr>
      </w:pPr>
      <w:r>
        <w:rPr>
          <w:rFonts w:hint="eastAsia" w:ascii="宋体" w:hAnsi="宋体" w:cs="宋体"/>
          <w:color w:val="auto"/>
          <w:sz w:val="21"/>
          <w:szCs w:val="21"/>
          <w:highlight w:val="none"/>
        </w:rPr>
        <w:t>1.1“采购包”、“品目号”、“投标标的”及“数量”应与招标文件《采购标的一览表》中的有关内容（“采购包”、“品目号”、“采购标的”及“数量”）保持一致。</w:t>
      </w:r>
    </w:p>
    <w:p>
      <w:pPr>
        <w:pStyle w:val="19"/>
        <w:widowControl/>
        <w:rPr>
          <w:color w:val="auto"/>
          <w:highlight w:val="none"/>
        </w:rPr>
      </w:pPr>
      <w:r>
        <w:rPr>
          <w:rFonts w:hint="eastAsia" w:ascii="宋体" w:hAnsi="宋体" w:cs="宋体"/>
          <w:color w:val="auto"/>
          <w:sz w:val="21"/>
          <w:szCs w:val="21"/>
          <w:highlight w:val="none"/>
        </w:rPr>
        <w:t>1.2“投标标的”为货物的：</w:t>
      </w:r>
      <w:r>
        <w:rPr>
          <w:rStyle w:val="27"/>
          <w:rFonts w:hint="eastAsia" w:ascii="宋体" w:hAnsi="宋体" w:cs="宋体"/>
          <w:color w:val="auto"/>
          <w:sz w:val="21"/>
          <w:szCs w:val="21"/>
          <w:highlight w:val="none"/>
        </w:rPr>
        <w:t>“品牌、规格型号”</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项下应填写货物制造厂商赋予的品牌（属于节能、环保清单产品的货物，填写的品牌名称应与清单载明的品牌名称保持一致）及具体规格型号。</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1.3“投标标的”为服务的：</w:t>
      </w:r>
      <w:r>
        <w:rPr>
          <w:rStyle w:val="27"/>
          <w:rFonts w:hint="eastAsia" w:ascii="宋体" w:hAnsi="宋体" w:cs="宋体"/>
          <w:color w:val="auto"/>
          <w:sz w:val="21"/>
          <w:szCs w:val="21"/>
          <w:highlight w:val="none"/>
        </w:rPr>
        <w:t>“品牌、规格型号”</w:t>
      </w:r>
      <w:r>
        <w:rPr>
          <w:rFonts w:hint="eastAsia" w:ascii="宋体" w:hAnsi="宋体" w:cs="宋体"/>
          <w:color w:val="auto"/>
          <w:sz w:val="21"/>
          <w:szCs w:val="21"/>
          <w:highlight w:val="none"/>
        </w:rPr>
        <w:t>项下应填写服务提供者提供的服务标准及品牌（若有）。</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项下应填写关于服务标准所涵盖的具体项目或内容的说明等。</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3、投标文件中涉及</w:t>
      </w:r>
      <w:r>
        <w:rPr>
          <w:rStyle w:val="27"/>
          <w:rFonts w:hint="eastAsia" w:ascii="宋体" w:hAnsi="宋体" w:cs="宋体"/>
          <w:color w:val="auto"/>
          <w:sz w:val="21"/>
          <w:szCs w:val="21"/>
          <w:highlight w:val="none"/>
        </w:rPr>
        <w:t>“投标标的”、“数量”、“规格”、“来源地”</w:t>
      </w:r>
      <w:r>
        <w:rPr>
          <w:rFonts w:hint="eastAsia" w:ascii="宋体" w:hAnsi="宋体" w:cs="宋体"/>
          <w:color w:val="auto"/>
          <w:sz w:val="21"/>
          <w:szCs w:val="21"/>
          <w:highlight w:val="none"/>
        </w:rPr>
        <w:t>的内容若不一致，</w:t>
      </w:r>
      <w:r>
        <w:rPr>
          <w:rStyle w:val="27"/>
          <w:rFonts w:hint="eastAsia" w:ascii="宋体" w:hAnsi="宋体" w:cs="宋体"/>
          <w:color w:val="auto"/>
          <w:sz w:val="21"/>
          <w:szCs w:val="21"/>
          <w:highlight w:val="none"/>
        </w:rPr>
        <w:t>应以本表为准</w:t>
      </w:r>
      <w:r>
        <w:rPr>
          <w:rFonts w:hint="eastAsia" w:ascii="宋体" w:hAnsi="宋体" w:cs="宋体"/>
          <w:color w:val="auto"/>
          <w:sz w:val="21"/>
          <w:szCs w:val="21"/>
          <w:highlight w:val="none"/>
        </w:rPr>
        <w:t>。</w:t>
      </w:r>
    </w:p>
    <w:p>
      <w:pPr>
        <w:pStyle w:val="20"/>
        <w:rPr>
          <w:rFonts w:hint="default"/>
          <w:color w:val="auto"/>
          <w:highlight w:val="none"/>
        </w:rPr>
      </w:pP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Autospacing="0" w:afterAutospacing="0" w:line="32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spacing w:beforeAutospacing="0" w:afterAutospacing="0" w:line="320" w:lineRule="exact"/>
        <w:rPr>
          <w:rFonts w:ascii="宋体" w:hAnsi="宋体" w:cs="宋体"/>
          <w:color w:val="auto"/>
          <w:sz w:val="21"/>
          <w:szCs w:val="21"/>
          <w:highlight w:val="none"/>
        </w:rPr>
      </w:pPr>
    </w:p>
    <w:p>
      <w:pPr>
        <w:pStyle w:val="19"/>
        <w:widowControl/>
        <w:spacing w:beforeAutospacing="0" w:afterAutospacing="0" w:line="320" w:lineRule="exact"/>
        <w:rPr>
          <w:rFonts w:ascii="宋体" w:hAnsi="宋体" w:cs="宋体"/>
          <w:color w:val="auto"/>
          <w:sz w:val="21"/>
          <w:szCs w:val="21"/>
          <w:highlight w:val="none"/>
        </w:rPr>
      </w:pPr>
    </w:p>
    <w:p>
      <w:pPr>
        <w:pStyle w:val="19"/>
        <w:widowControl/>
        <w:spacing w:beforeAutospacing="0" w:afterAutospacing="0" w:line="320" w:lineRule="exact"/>
        <w:rPr>
          <w:rFonts w:ascii="宋体" w:hAnsi="宋体" w:cs="宋体"/>
          <w:color w:val="auto"/>
          <w:sz w:val="21"/>
          <w:szCs w:val="21"/>
          <w:highlight w:val="none"/>
        </w:rPr>
      </w:pPr>
    </w:p>
    <w:p>
      <w:pPr>
        <w:pStyle w:val="19"/>
        <w:widowControl/>
        <w:spacing w:beforeAutospacing="0" w:afterAutospacing="0" w:line="320" w:lineRule="exact"/>
        <w:rPr>
          <w:rFonts w:ascii="宋体" w:hAnsi="宋体" w:cs="宋体"/>
          <w:color w:val="auto"/>
          <w:sz w:val="21"/>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spacing w:beforeAutospacing="0" w:afterAutospacing="0" w:line="320" w:lineRule="exact"/>
        <w:jc w:val="center"/>
        <w:rPr>
          <w:color w:val="auto"/>
          <w:highlight w:val="none"/>
        </w:rPr>
      </w:pPr>
      <w:r>
        <w:rPr>
          <w:rStyle w:val="27"/>
          <w:rFonts w:hint="eastAsia" w:ascii="宋体" w:hAnsi="宋体" w:cs="宋体"/>
          <w:color w:val="auto"/>
          <w:sz w:val="21"/>
          <w:szCs w:val="21"/>
          <w:highlight w:val="none"/>
        </w:rPr>
        <w:t>二、技术和服务要求响应表</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4"/>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45"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color w:val="auto"/>
                <w:highlight w:val="none"/>
              </w:rPr>
              <w:t>采购包</w:t>
            </w:r>
          </w:p>
        </w:tc>
        <w:tc>
          <w:tcPr>
            <w:tcW w:w="846"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品目号</w:t>
            </w:r>
          </w:p>
        </w:tc>
        <w:tc>
          <w:tcPr>
            <w:tcW w:w="2897"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技术和服务要求</w:t>
            </w:r>
          </w:p>
        </w:tc>
        <w:tc>
          <w:tcPr>
            <w:tcW w:w="1804"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投标响应</w:t>
            </w:r>
          </w:p>
        </w:tc>
        <w:tc>
          <w:tcPr>
            <w:tcW w:w="1848"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w:t>
            </w:r>
          </w:p>
        </w:tc>
        <w:tc>
          <w:tcPr>
            <w:tcW w:w="846"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hint="eastAsia" w:ascii="宋体" w:hAnsi="宋体" w:cs="宋体"/>
                <w:color w:val="auto"/>
                <w:sz w:val="21"/>
                <w:szCs w:val="21"/>
                <w:highlight w:val="none"/>
              </w:rPr>
              <w:t>*-1</w:t>
            </w:r>
          </w:p>
        </w:tc>
        <w:tc>
          <w:tcPr>
            <w:tcW w:w="2897" w:type="dxa"/>
            <w:tcMar>
              <w:top w:w="0" w:type="dxa"/>
              <w:left w:w="105" w:type="dxa"/>
              <w:bottom w:w="0" w:type="dxa"/>
              <w:right w:w="105" w:type="dxa"/>
            </w:tcMar>
          </w:tcPr>
          <w:p>
            <w:pPr>
              <w:widowControl/>
              <w:spacing w:line="320" w:lineRule="exact"/>
              <w:jc w:val="left"/>
              <w:rPr>
                <w:color w:val="auto"/>
                <w:highlight w:val="none"/>
              </w:rPr>
            </w:pPr>
          </w:p>
        </w:tc>
        <w:tc>
          <w:tcPr>
            <w:tcW w:w="1804" w:type="dxa"/>
            <w:tcMar>
              <w:top w:w="0" w:type="dxa"/>
              <w:left w:w="105" w:type="dxa"/>
              <w:bottom w:w="0" w:type="dxa"/>
              <w:right w:w="105" w:type="dxa"/>
            </w:tcMar>
          </w:tcPr>
          <w:p>
            <w:pPr>
              <w:widowControl/>
              <w:spacing w:line="320" w:lineRule="exact"/>
              <w:jc w:val="left"/>
              <w:rPr>
                <w:color w:val="auto"/>
                <w:highlight w:val="none"/>
              </w:rPr>
            </w:pPr>
          </w:p>
        </w:tc>
        <w:tc>
          <w:tcPr>
            <w:tcW w:w="1848" w:type="dxa"/>
            <w:tcMar>
              <w:top w:w="0" w:type="dxa"/>
              <w:left w:w="105" w:type="dxa"/>
              <w:bottom w:w="0" w:type="dxa"/>
              <w:right w:w="105" w:type="dxa"/>
            </w:tcMar>
          </w:tcPr>
          <w:p>
            <w:pPr>
              <w:widowControl/>
              <w:spacing w:line="320" w:lineRule="exact"/>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pPr>
              <w:widowControl/>
              <w:spacing w:line="320" w:lineRule="exact"/>
              <w:rPr>
                <w:rFonts w:ascii="宋体"/>
                <w:color w:val="auto"/>
                <w:sz w:val="24"/>
                <w:highlight w:val="none"/>
              </w:rPr>
            </w:pPr>
          </w:p>
        </w:tc>
        <w:tc>
          <w:tcPr>
            <w:tcW w:w="846" w:type="dxa"/>
            <w:tcMar>
              <w:top w:w="0" w:type="dxa"/>
              <w:left w:w="105" w:type="dxa"/>
              <w:bottom w:w="0" w:type="dxa"/>
              <w:right w:w="105" w:type="dxa"/>
            </w:tcMar>
            <w:vAlign w:val="center"/>
          </w:tcPr>
          <w:p>
            <w:pPr>
              <w:pStyle w:val="19"/>
              <w:widowControl/>
              <w:spacing w:beforeAutospacing="0" w:afterAutospacing="0" w:line="320" w:lineRule="exact"/>
              <w:jc w:val="center"/>
              <w:rPr>
                <w:color w:val="auto"/>
                <w:highlight w:val="none"/>
              </w:rPr>
            </w:pPr>
            <w:r>
              <w:rPr>
                <w:rFonts w:cs="Calibri"/>
                <w:color w:val="auto"/>
                <w:sz w:val="21"/>
                <w:szCs w:val="21"/>
                <w:highlight w:val="none"/>
              </w:rPr>
              <w:t>…</w:t>
            </w:r>
          </w:p>
        </w:tc>
        <w:tc>
          <w:tcPr>
            <w:tcW w:w="2897" w:type="dxa"/>
            <w:tcMar>
              <w:top w:w="0" w:type="dxa"/>
              <w:left w:w="105" w:type="dxa"/>
              <w:bottom w:w="0" w:type="dxa"/>
              <w:right w:w="105" w:type="dxa"/>
            </w:tcMar>
          </w:tcPr>
          <w:p>
            <w:pPr>
              <w:widowControl/>
              <w:spacing w:line="320" w:lineRule="exact"/>
              <w:jc w:val="left"/>
              <w:rPr>
                <w:color w:val="auto"/>
                <w:highlight w:val="none"/>
              </w:rPr>
            </w:pPr>
          </w:p>
        </w:tc>
        <w:tc>
          <w:tcPr>
            <w:tcW w:w="1804" w:type="dxa"/>
            <w:tcMar>
              <w:top w:w="0" w:type="dxa"/>
              <w:left w:w="105" w:type="dxa"/>
              <w:bottom w:w="0" w:type="dxa"/>
              <w:right w:w="105" w:type="dxa"/>
            </w:tcMar>
          </w:tcPr>
          <w:p>
            <w:pPr>
              <w:widowControl/>
              <w:spacing w:line="320" w:lineRule="exact"/>
              <w:jc w:val="left"/>
              <w:rPr>
                <w:color w:val="auto"/>
                <w:highlight w:val="none"/>
              </w:rPr>
            </w:pPr>
          </w:p>
        </w:tc>
        <w:tc>
          <w:tcPr>
            <w:tcW w:w="1848" w:type="dxa"/>
            <w:tcMar>
              <w:top w:w="0" w:type="dxa"/>
              <w:left w:w="105" w:type="dxa"/>
              <w:bottom w:w="0" w:type="dxa"/>
              <w:right w:w="105" w:type="dxa"/>
            </w:tcMar>
          </w:tcPr>
          <w:p>
            <w:pPr>
              <w:widowControl/>
              <w:spacing w:line="320" w:lineRule="exact"/>
              <w:jc w:val="left"/>
              <w:rPr>
                <w:color w:val="auto"/>
                <w:highlight w:val="none"/>
              </w:rPr>
            </w:pPr>
          </w:p>
        </w:tc>
      </w:tr>
    </w:tbl>
    <w:p>
      <w:pPr>
        <w:pStyle w:val="19"/>
        <w:widowControl/>
        <w:spacing w:beforeAutospacing="0" w:afterAutospacing="0" w:line="320" w:lineRule="exact"/>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1、本表应按照下列规定填写：</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1.1“技术和服务要求”项下填写的内容应与招标文件第五章“二、技术和服务要求”的内容保持一致。</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0"/>
        <w:rPr>
          <w:rFonts w:hint="default"/>
          <w:color w:val="auto"/>
          <w:highlight w:val="none"/>
        </w:rPr>
      </w:pP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beforeAutospacing="0" w:afterAutospacing="0" w:line="320" w:lineRule="exact"/>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Fonts w:cs="Calibri"/>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color w:val="auto"/>
          <w:highlight w:val="none"/>
        </w:rPr>
      </w:pPr>
      <w:r>
        <w:rPr>
          <w:rStyle w:val="27"/>
          <w:rFonts w:hint="eastAsia" w:ascii="宋体" w:hAnsi="宋体" w:cs="宋体"/>
          <w:color w:val="auto"/>
          <w:sz w:val="21"/>
          <w:szCs w:val="21"/>
          <w:highlight w:val="none"/>
        </w:rPr>
        <w:t>三、商务条件响应表</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4"/>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pPr>
              <w:pStyle w:val="19"/>
              <w:widowControl/>
              <w:jc w:val="center"/>
              <w:rPr>
                <w:color w:val="auto"/>
                <w:highlight w:val="none"/>
              </w:rPr>
            </w:pPr>
            <w:r>
              <w:rPr>
                <w:rFonts w:hint="eastAsia"/>
                <w:color w:val="auto"/>
                <w:highlight w:val="none"/>
              </w:rPr>
              <w:t>采购包</w:t>
            </w:r>
          </w:p>
        </w:tc>
        <w:tc>
          <w:tcPr>
            <w:tcW w:w="846"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品目号</w:t>
            </w:r>
          </w:p>
        </w:tc>
        <w:tc>
          <w:tcPr>
            <w:tcW w:w="2897"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商务条件</w:t>
            </w:r>
          </w:p>
        </w:tc>
        <w:tc>
          <w:tcPr>
            <w:tcW w:w="1804"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投标响应</w:t>
            </w:r>
          </w:p>
        </w:tc>
        <w:tc>
          <w:tcPr>
            <w:tcW w:w="1848"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w:t>
            </w:r>
          </w:p>
        </w:tc>
        <w:tc>
          <w:tcPr>
            <w:tcW w:w="846" w:type="dxa"/>
            <w:tcMar>
              <w:top w:w="0" w:type="dxa"/>
              <w:left w:w="105" w:type="dxa"/>
              <w:bottom w:w="0" w:type="dxa"/>
              <w:right w:w="105" w:type="dxa"/>
            </w:tcMar>
            <w:vAlign w:val="center"/>
          </w:tcPr>
          <w:p>
            <w:pPr>
              <w:pStyle w:val="19"/>
              <w:widowControl/>
              <w:jc w:val="center"/>
              <w:rPr>
                <w:color w:val="auto"/>
                <w:highlight w:val="none"/>
              </w:rPr>
            </w:pPr>
            <w:r>
              <w:rPr>
                <w:rFonts w:hint="eastAsia" w:ascii="宋体" w:hAnsi="宋体" w:cs="宋体"/>
                <w:color w:val="auto"/>
                <w:sz w:val="21"/>
                <w:szCs w:val="21"/>
                <w:highlight w:val="none"/>
              </w:rPr>
              <w:t>*-1</w:t>
            </w:r>
          </w:p>
        </w:tc>
        <w:tc>
          <w:tcPr>
            <w:tcW w:w="2897" w:type="dxa"/>
            <w:tcMar>
              <w:top w:w="0" w:type="dxa"/>
              <w:left w:w="105" w:type="dxa"/>
              <w:bottom w:w="0" w:type="dxa"/>
              <w:right w:w="105" w:type="dxa"/>
            </w:tcMar>
          </w:tcPr>
          <w:p>
            <w:pPr>
              <w:widowControl/>
              <w:jc w:val="left"/>
              <w:rPr>
                <w:color w:val="auto"/>
                <w:highlight w:val="none"/>
              </w:rPr>
            </w:pPr>
          </w:p>
        </w:tc>
        <w:tc>
          <w:tcPr>
            <w:tcW w:w="1804" w:type="dxa"/>
            <w:tcMar>
              <w:top w:w="0" w:type="dxa"/>
              <w:left w:w="105" w:type="dxa"/>
              <w:bottom w:w="0" w:type="dxa"/>
              <w:right w:w="105" w:type="dxa"/>
            </w:tcMar>
          </w:tcPr>
          <w:p>
            <w:pPr>
              <w:widowControl/>
              <w:jc w:val="left"/>
              <w:rPr>
                <w:color w:val="auto"/>
                <w:highlight w:val="none"/>
              </w:rPr>
            </w:pPr>
          </w:p>
        </w:tc>
        <w:tc>
          <w:tcPr>
            <w:tcW w:w="1848" w:type="dxa"/>
            <w:tcMar>
              <w:top w:w="0" w:type="dxa"/>
              <w:left w:w="105" w:type="dxa"/>
              <w:bottom w:w="0" w:type="dxa"/>
              <w:right w:w="105" w:type="dxa"/>
            </w:tcMa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pPr>
              <w:rPr>
                <w:rFonts w:ascii="宋体"/>
                <w:color w:val="auto"/>
                <w:sz w:val="24"/>
                <w:highlight w:val="none"/>
              </w:rPr>
            </w:pPr>
          </w:p>
        </w:tc>
        <w:tc>
          <w:tcPr>
            <w:tcW w:w="846" w:type="dxa"/>
            <w:tcMar>
              <w:top w:w="0" w:type="dxa"/>
              <w:left w:w="105" w:type="dxa"/>
              <w:bottom w:w="0" w:type="dxa"/>
              <w:right w:w="105" w:type="dxa"/>
            </w:tcMar>
            <w:vAlign w:val="center"/>
          </w:tcPr>
          <w:p>
            <w:pPr>
              <w:pStyle w:val="19"/>
              <w:widowControl/>
              <w:jc w:val="center"/>
              <w:rPr>
                <w:color w:val="auto"/>
                <w:highlight w:val="none"/>
              </w:rPr>
            </w:pPr>
            <w:r>
              <w:rPr>
                <w:rFonts w:cs="Calibri"/>
                <w:color w:val="auto"/>
                <w:sz w:val="21"/>
                <w:szCs w:val="21"/>
                <w:highlight w:val="none"/>
              </w:rPr>
              <w:t>…</w:t>
            </w:r>
          </w:p>
        </w:tc>
        <w:tc>
          <w:tcPr>
            <w:tcW w:w="2897" w:type="dxa"/>
            <w:tcMar>
              <w:top w:w="0" w:type="dxa"/>
              <w:left w:w="105" w:type="dxa"/>
              <w:bottom w:w="0" w:type="dxa"/>
              <w:right w:w="105" w:type="dxa"/>
            </w:tcMar>
          </w:tcPr>
          <w:p>
            <w:pPr>
              <w:widowControl/>
              <w:jc w:val="left"/>
              <w:rPr>
                <w:color w:val="auto"/>
                <w:highlight w:val="none"/>
              </w:rPr>
            </w:pPr>
          </w:p>
        </w:tc>
        <w:tc>
          <w:tcPr>
            <w:tcW w:w="1804" w:type="dxa"/>
            <w:tcMar>
              <w:top w:w="0" w:type="dxa"/>
              <w:left w:w="105" w:type="dxa"/>
              <w:bottom w:w="0" w:type="dxa"/>
              <w:right w:w="105" w:type="dxa"/>
            </w:tcMar>
          </w:tcPr>
          <w:p>
            <w:pPr>
              <w:widowControl/>
              <w:jc w:val="left"/>
              <w:rPr>
                <w:color w:val="auto"/>
                <w:highlight w:val="none"/>
              </w:rPr>
            </w:pPr>
          </w:p>
        </w:tc>
        <w:tc>
          <w:tcPr>
            <w:tcW w:w="1848" w:type="dxa"/>
            <w:tcMar>
              <w:top w:w="0" w:type="dxa"/>
              <w:left w:w="105" w:type="dxa"/>
              <w:bottom w:w="0" w:type="dxa"/>
              <w:right w:w="105" w:type="dxa"/>
            </w:tcMa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pPr>
              <w:pStyle w:val="19"/>
              <w:widowControl/>
              <w:jc w:val="center"/>
              <w:rPr>
                <w:color w:val="auto"/>
                <w:highlight w:val="none"/>
              </w:rPr>
            </w:pPr>
            <w:r>
              <w:rPr>
                <w:rFonts w:cs="Calibri"/>
                <w:color w:val="auto"/>
                <w:sz w:val="21"/>
                <w:szCs w:val="21"/>
                <w:highlight w:val="none"/>
              </w:rPr>
              <w:t>…</w:t>
            </w:r>
          </w:p>
        </w:tc>
        <w:tc>
          <w:tcPr>
            <w:tcW w:w="846" w:type="dxa"/>
            <w:tcMar>
              <w:top w:w="0" w:type="dxa"/>
              <w:left w:w="105" w:type="dxa"/>
              <w:bottom w:w="0" w:type="dxa"/>
              <w:right w:w="105" w:type="dxa"/>
            </w:tcMar>
            <w:vAlign w:val="center"/>
          </w:tcPr>
          <w:p>
            <w:pPr>
              <w:widowControl/>
              <w:jc w:val="left"/>
              <w:rPr>
                <w:color w:val="auto"/>
                <w:highlight w:val="none"/>
              </w:rPr>
            </w:pPr>
          </w:p>
        </w:tc>
        <w:tc>
          <w:tcPr>
            <w:tcW w:w="2897" w:type="dxa"/>
            <w:tcMar>
              <w:top w:w="0" w:type="dxa"/>
              <w:left w:w="105" w:type="dxa"/>
              <w:bottom w:w="0" w:type="dxa"/>
              <w:right w:w="105" w:type="dxa"/>
            </w:tcMar>
            <w:vAlign w:val="center"/>
          </w:tcPr>
          <w:p>
            <w:pPr>
              <w:widowControl/>
              <w:jc w:val="left"/>
              <w:rPr>
                <w:color w:val="auto"/>
                <w:highlight w:val="none"/>
              </w:rPr>
            </w:pPr>
          </w:p>
        </w:tc>
        <w:tc>
          <w:tcPr>
            <w:tcW w:w="1804" w:type="dxa"/>
            <w:tcMar>
              <w:top w:w="0" w:type="dxa"/>
              <w:left w:w="105" w:type="dxa"/>
              <w:bottom w:w="0" w:type="dxa"/>
              <w:right w:w="105" w:type="dxa"/>
            </w:tcMar>
            <w:vAlign w:val="center"/>
          </w:tcPr>
          <w:p>
            <w:pPr>
              <w:widowControl/>
              <w:jc w:val="left"/>
              <w:rPr>
                <w:color w:val="auto"/>
                <w:highlight w:val="none"/>
              </w:rPr>
            </w:pPr>
          </w:p>
        </w:tc>
        <w:tc>
          <w:tcPr>
            <w:tcW w:w="1848" w:type="dxa"/>
            <w:tcMar>
              <w:top w:w="0" w:type="dxa"/>
              <w:left w:w="105" w:type="dxa"/>
              <w:bottom w:w="0" w:type="dxa"/>
              <w:right w:w="105" w:type="dxa"/>
            </w:tcMar>
            <w:vAlign w:val="center"/>
          </w:tcPr>
          <w:p>
            <w:pPr>
              <w:widowControl/>
              <w:jc w:val="left"/>
              <w:rPr>
                <w:color w:val="auto"/>
                <w:highlight w:val="none"/>
              </w:rPr>
            </w:pPr>
          </w:p>
        </w:tc>
      </w:tr>
    </w:tbl>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※注意：</w:t>
      </w:r>
    </w:p>
    <w:p>
      <w:pPr>
        <w:pStyle w:val="19"/>
        <w:widowControl/>
        <w:rPr>
          <w:color w:val="auto"/>
          <w:highlight w:val="none"/>
        </w:rPr>
      </w:pPr>
      <w:r>
        <w:rPr>
          <w:rFonts w:hint="eastAsia" w:ascii="宋体" w:hAnsi="宋体" w:cs="宋体"/>
          <w:color w:val="auto"/>
          <w:sz w:val="21"/>
          <w:szCs w:val="21"/>
          <w:highlight w:val="none"/>
        </w:rPr>
        <w:t>1、本表应按照下列规定填写：</w:t>
      </w:r>
    </w:p>
    <w:p>
      <w:pPr>
        <w:pStyle w:val="19"/>
        <w:widowControl/>
        <w:rPr>
          <w:color w:val="auto"/>
          <w:highlight w:val="none"/>
        </w:rPr>
      </w:pPr>
      <w:r>
        <w:rPr>
          <w:rFonts w:hint="eastAsia" w:ascii="宋体" w:hAnsi="宋体" w:cs="宋体"/>
          <w:color w:val="auto"/>
          <w:sz w:val="21"/>
          <w:szCs w:val="21"/>
          <w:highlight w:val="none"/>
        </w:rPr>
        <w:t>1.1“商务条件”项下填写的内容应与招标文件第五章“商务条件”的内容保持一致。</w:t>
      </w:r>
    </w:p>
    <w:p>
      <w:pPr>
        <w:pStyle w:val="19"/>
        <w:widowControl/>
        <w:rPr>
          <w:color w:val="auto"/>
          <w:highlight w:val="none"/>
        </w:rPr>
      </w:pPr>
      <w:r>
        <w:rPr>
          <w:rFonts w:hint="eastAsia" w:ascii="宋体" w:hAnsi="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9"/>
        <w:widowControl/>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19"/>
        <w:widowControl/>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spacing w:line="360" w:lineRule="auto"/>
        <w:jc w:val="center"/>
        <w:rPr>
          <w:rStyle w:val="27"/>
          <w:rFonts w:ascii="宋体" w:hAnsi="宋体" w:cs="宋体"/>
          <w:color w:val="auto"/>
          <w:kern w:val="0"/>
          <w:szCs w:val="21"/>
          <w:highlight w:val="none"/>
        </w:rPr>
      </w:pPr>
    </w:p>
    <w:p>
      <w:pPr>
        <w:spacing w:line="360" w:lineRule="auto"/>
        <w:jc w:val="center"/>
        <w:rPr>
          <w:rStyle w:val="27"/>
          <w:rFonts w:ascii="宋体" w:hAnsi="宋体" w:cs="宋体"/>
          <w:color w:val="auto"/>
          <w:kern w:val="0"/>
          <w:szCs w:val="21"/>
          <w:highlight w:val="none"/>
        </w:rPr>
      </w:pPr>
    </w:p>
    <w:p>
      <w:pPr>
        <w:spacing w:line="360" w:lineRule="auto"/>
        <w:jc w:val="center"/>
        <w:rPr>
          <w:rStyle w:val="27"/>
          <w:rFonts w:ascii="宋体" w:hAnsi="宋体" w:cs="宋体"/>
          <w:color w:val="auto"/>
          <w:kern w:val="0"/>
          <w:szCs w:val="21"/>
          <w:highlight w:val="none"/>
        </w:rPr>
      </w:pPr>
    </w:p>
    <w:p>
      <w:pPr>
        <w:spacing w:line="360" w:lineRule="auto"/>
        <w:jc w:val="center"/>
        <w:rPr>
          <w:rFonts w:ascii="仿宋_GB2312" w:hAnsi="宋体" w:eastAsia="仿宋_GB2312"/>
          <w:b/>
          <w:color w:val="auto"/>
          <w:szCs w:val="21"/>
          <w:highlight w:val="none"/>
        </w:rPr>
      </w:pPr>
      <w:r>
        <w:rPr>
          <w:rStyle w:val="27"/>
          <w:rFonts w:hint="eastAsia" w:ascii="宋体" w:hAnsi="宋体" w:cs="宋体"/>
          <w:color w:val="auto"/>
          <w:kern w:val="0"/>
          <w:szCs w:val="21"/>
          <w:highlight w:val="none"/>
        </w:rPr>
        <w:t>四、技术商务部分评分内容对应表</w:t>
      </w:r>
    </w:p>
    <w:p>
      <w:pPr>
        <w:spacing w:line="240" w:lineRule="exact"/>
        <w:rPr>
          <w:rFonts w:ascii="宋体" w:hAnsi="宋体"/>
          <w:b/>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2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94"/>
        <w:gridCol w:w="2652"/>
        <w:gridCol w:w="2486"/>
        <w:gridCol w:w="132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1"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2652"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2486"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投标文件响应情况</w:t>
            </w:r>
          </w:p>
        </w:tc>
        <w:tc>
          <w:tcPr>
            <w:tcW w:w="1326"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证明材料</w:t>
            </w:r>
          </w:p>
        </w:tc>
        <w:tc>
          <w:tcPr>
            <w:tcW w:w="1124"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restar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技</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术</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部</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分</w:t>
            </w: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restar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商</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务</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部</w:t>
            </w:r>
          </w:p>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分</w:t>
            </w: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97" w:type="dxa"/>
            <w:vMerge w:val="continue"/>
          </w:tcPr>
          <w:p>
            <w:pPr>
              <w:spacing w:line="240" w:lineRule="exact"/>
              <w:rPr>
                <w:rFonts w:ascii="宋体" w:hAnsi="宋体" w:cs="宋体"/>
                <w:b/>
                <w:color w:val="auto"/>
                <w:szCs w:val="21"/>
                <w:highlight w:val="none"/>
              </w:rPr>
            </w:pPr>
          </w:p>
        </w:tc>
        <w:tc>
          <w:tcPr>
            <w:tcW w:w="994"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52" w:type="dxa"/>
          </w:tcPr>
          <w:p>
            <w:pPr>
              <w:spacing w:line="240" w:lineRule="exact"/>
              <w:rPr>
                <w:rFonts w:ascii="宋体" w:hAnsi="宋体" w:cs="宋体"/>
                <w:b/>
                <w:color w:val="auto"/>
                <w:szCs w:val="21"/>
                <w:highlight w:val="none"/>
              </w:rPr>
            </w:pPr>
          </w:p>
        </w:tc>
        <w:tc>
          <w:tcPr>
            <w:tcW w:w="2486" w:type="dxa"/>
          </w:tcPr>
          <w:p>
            <w:pPr>
              <w:spacing w:line="240" w:lineRule="exact"/>
              <w:rPr>
                <w:rFonts w:ascii="宋体" w:hAnsi="宋体" w:cs="宋体"/>
                <w:b/>
                <w:color w:val="auto"/>
                <w:szCs w:val="21"/>
                <w:highlight w:val="none"/>
              </w:rPr>
            </w:pPr>
          </w:p>
        </w:tc>
        <w:tc>
          <w:tcPr>
            <w:tcW w:w="1326" w:type="dxa"/>
          </w:tcPr>
          <w:p>
            <w:pPr>
              <w:spacing w:line="240" w:lineRule="exact"/>
              <w:rPr>
                <w:rFonts w:ascii="宋体" w:hAnsi="宋体" w:cs="宋体"/>
                <w:b/>
                <w:color w:val="auto"/>
                <w:szCs w:val="21"/>
                <w:highlight w:val="none"/>
              </w:rPr>
            </w:pPr>
          </w:p>
        </w:tc>
        <w:tc>
          <w:tcPr>
            <w:tcW w:w="1124" w:type="dxa"/>
          </w:tcPr>
          <w:p>
            <w:pPr>
              <w:spacing w:line="240" w:lineRule="exact"/>
              <w:rPr>
                <w:rFonts w:ascii="宋体" w:hAnsi="宋体" w:cs="宋体"/>
                <w:b/>
                <w:color w:val="auto"/>
                <w:szCs w:val="21"/>
                <w:highlight w:val="none"/>
              </w:rPr>
            </w:pPr>
          </w:p>
        </w:tc>
      </w:tr>
    </w:tbl>
    <w:p>
      <w:pPr>
        <w:rPr>
          <w:rFonts w:ascii="宋体" w:hAnsi="宋体" w:cs="宋体"/>
          <w:color w:val="auto"/>
          <w:szCs w:val="21"/>
          <w:highlight w:val="none"/>
        </w:rPr>
      </w:pPr>
    </w:p>
    <w:p>
      <w:pPr>
        <w:rPr>
          <w:rFonts w:ascii="宋体" w:hAnsi="宋体" w:cs="宋体"/>
          <w:snapToGrid w:val="0"/>
          <w:color w:val="auto"/>
          <w:kern w:val="0"/>
          <w:szCs w:val="21"/>
          <w:highlight w:val="none"/>
        </w:rPr>
      </w:pPr>
      <w:r>
        <w:rPr>
          <w:rFonts w:hint="eastAsia" w:ascii="宋体" w:hAnsi="宋体" w:cs="宋体"/>
          <w:color w:val="auto"/>
          <w:szCs w:val="21"/>
          <w:highlight w:val="none"/>
        </w:rPr>
        <w:t>注：投标人必须将投标文件中的相关内容按上述要求及以上格式，逐条对应填写</w:t>
      </w:r>
      <w:r>
        <w:rPr>
          <w:rFonts w:hint="eastAsia" w:ascii="宋体" w:hAnsi="宋体" w:cs="宋体"/>
          <w:snapToGrid w:val="0"/>
          <w:color w:val="auto"/>
          <w:kern w:val="0"/>
          <w:szCs w:val="21"/>
          <w:highlight w:val="none"/>
        </w:rPr>
        <w:t>，以便评委进行评标，未按以上格式逐条填写导致条理不清，解释不明的，</w:t>
      </w:r>
      <w:r>
        <w:rPr>
          <w:rFonts w:hint="eastAsia" w:ascii="宋体" w:hAnsi="宋体" w:cs="宋体"/>
          <w:color w:val="auto"/>
          <w:szCs w:val="21"/>
          <w:highlight w:val="none"/>
        </w:rPr>
        <w:t>评标委员会</w:t>
      </w:r>
      <w:r>
        <w:rPr>
          <w:rFonts w:hint="eastAsia" w:ascii="宋体" w:hAnsi="宋体" w:cs="宋体"/>
          <w:snapToGrid w:val="0"/>
          <w:color w:val="auto"/>
          <w:kern w:val="0"/>
          <w:szCs w:val="21"/>
          <w:highlight w:val="none"/>
        </w:rPr>
        <w:t>将做出不利于投标人的</w:t>
      </w:r>
      <w:r>
        <w:rPr>
          <w:rFonts w:hint="eastAsia" w:ascii="宋体" w:hAnsi="宋体" w:cs="宋体"/>
          <w:color w:val="auto"/>
          <w:szCs w:val="21"/>
          <w:highlight w:val="none"/>
        </w:rPr>
        <w:t>判断</w:t>
      </w:r>
      <w:r>
        <w:rPr>
          <w:rFonts w:hint="eastAsia" w:ascii="宋体" w:hAnsi="宋体" w:cs="宋体"/>
          <w:snapToGrid w:val="0"/>
          <w:color w:val="auto"/>
          <w:kern w:val="0"/>
          <w:szCs w:val="21"/>
          <w:highlight w:val="none"/>
        </w:rPr>
        <w:t>。</w:t>
      </w:r>
    </w:p>
    <w:p>
      <w:pPr>
        <w:spacing w:line="240" w:lineRule="exact"/>
        <w:rPr>
          <w:rFonts w:ascii="宋体" w:hAnsi="宋体" w:cs="宋体"/>
          <w:b/>
          <w:color w:val="auto"/>
          <w:szCs w:val="21"/>
          <w:highlight w:val="none"/>
        </w:rPr>
      </w:pPr>
    </w:p>
    <w:p>
      <w:pPr>
        <w:pStyle w:val="19"/>
        <w:widowControl/>
        <w:spacing w:before="0" w:beforeAutospacing="0" w:after="0" w:afterAutospacing="0" w:line="400" w:lineRule="exact"/>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jc w:val="center"/>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五、投标人提交的其他资料（若有）</w:t>
      </w:r>
    </w:p>
    <w:p>
      <w:pPr>
        <w:pStyle w:val="19"/>
        <w:widowControl/>
        <w:jc w:val="center"/>
        <w:rPr>
          <w:color w:val="auto"/>
          <w:highlight w:val="none"/>
        </w:rPr>
      </w:pPr>
      <w:r>
        <w:rPr>
          <w:rFonts w:hint="eastAsia" w:ascii="宋体" w:hAnsi="宋体" w:cs="宋体"/>
          <w:color w:val="auto"/>
          <w:sz w:val="21"/>
          <w:szCs w:val="21"/>
          <w:highlight w:val="none"/>
        </w:rPr>
        <w:t>编制说明</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1、招标文件要求提交的除</w:t>
      </w:r>
      <w:r>
        <w:rPr>
          <w:rStyle w:val="27"/>
          <w:rFonts w:hint="eastAsia" w:ascii="宋体" w:hAnsi="宋体" w:cs="宋体"/>
          <w:color w:val="auto"/>
          <w:sz w:val="21"/>
          <w:szCs w:val="21"/>
          <w:highlight w:val="none"/>
        </w:rPr>
        <w:t>“资格及资信证明部分”、“报价部分”</w:t>
      </w:r>
      <w:r>
        <w:rPr>
          <w:rFonts w:hint="eastAsia" w:ascii="宋体" w:hAnsi="宋体" w:cs="宋体"/>
          <w:color w:val="auto"/>
          <w:sz w:val="21"/>
          <w:szCs w:val="21"/>
          <w:highlight w:val="none"/>
        </w:rPr>
        <w:t>外的其他证明材料或资料加盖投标人的单位公章后应在此项下提交。</w:t>
      </w:r>
    </w:p>
    <w:p>
      <w:pPr>
        <w:pStyle w:val="19"/>
        <w:widowControl/>
        <w:rPr>
          <w:color w:val="auto"/>
          <w:highlight w:val="none"/>
        </w:rPr>
      </w:pPr>
      <w:r>
        <w:rPr>
          <w:rFonts w:hint="eastAsia" w:ascii="宋体" w:hAnsi="宋体" w:cs="宋体"/>
          <w:color w:val="auto"/>
          <w:sz w:val="21"/>
          <w:szCs w:val="21"/>
          <w:highlight w:val="none"/>
        </w:rPr>
        <w:t>2、招标文件要求投标人提供方案（包括但不限于：组织、实施、技术、服务方案等）的，投标人应在此项下提交。</w:t>
      </w:r>
    </w:p>
    <w:p>
      <w:pPr>
        <w:pStyle w:val="19"/>
        <w:widowControl/>
        <w:rPr>
          <w:color w:val="auto"/>
          <w:highlight w:val="none"/>
        </w:rPr>
      </w:pPr>
      <w:r>
        <w:rPr>
          <w:rFonts w:hint="eastAsia" w:ascii="宋体" w:hAnsi="宋体" w:cs="宋体"/>
          <w:color w:val="auto"/>
          <w:sz w:val="21"/>
          <w:szCs w:val="21"/>
          <w:highlight w:val="none"/>
        </w:rPr>
        <w:t>3、除招标文件另有规定外，投标人认为需要提交的其他证明材料或资料加盖投标人的单位公章后应在此项下提交。</w:t>
      </w:r>
    </w:p>
    <w:p>
      <w:pPr>
        <w:pStyle w:val="19"/>
        <w:widowControl/>
        <w:rPr>
          <w:color w:val="auto"/>
          <w:highlight w:val="none"/>
        </w:rPr>
      </w:pP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b/>
                              <w:sz w:val="24"/>
                            </w:rPr>
                            <w:fldChar w:fldCharType="begin"/>
                          </w:r>
                          <w:r>
                            <w:rPr>
                              <w:b/>
                            </w:rPr>
                            <w:instrText xml:space="preserve">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18672</w:t>
                          </w:r>
                          <w:r>
                            <w:rPr>
                              <w:b/>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distance-bottom:0pt;mso-wrap-distance-left:9pt;mso-wrap-distance-right:9pt;mso-wrap-distance-top:0pt;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right"/>
                    </w:pPr>
                    <w:r>
                      <w:rPr>
                        <w:b/>
                        <w:sz w:val="24"/>
                      </w:rPr>
                      <w:fldChar w:fldCharType="begin"/>
                    </w:r>
                    <w:r>
                      <w:rPr>
                        <w:b/>
                      </w:rPr>
                      <w:instrText xml:space="preserve">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18672</w:t>
                    </w:r>
                    <w:r>
                      <w:rPr>
                        <w:b/>
                        <w:sz w:val="24"/>
                      </w:rPr>
                      <w:fldChar w:fldCharType="end"/>
                    </w:r>
                  </w:p>
                </w:txbxContent>
              </v:textbox>
              <w10:wrap type="square"/>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AC586"/>
    <w:multiLevelType w:val="singleLevel"/>
    <w:tmpl w:val="CCDAC586"/>
    <w:lvl w:ilvl="0" w:tentative="0">
      <w:start w:val="1"/>
      <w:numFmt w:val="decimal"/>
      <w:suff w:val="nothing"/>
      <w:lvlText w:val="（%1）"/>
      <w:lvlJc w:val="left"/>
    </w:lvl>
  </w:abstractNum>
  <w:abstractNum w:abstractNumId="1">
    <w:nsid w:val="3747591E"/>
    <w:multiLevelType w:val="multilevel"/>
    <w:tmpl w:val="3747591E"/>
    <w:lvl w:ilvl="0" w:tentative="0">
      <w:start w:val="1"/>
      <w:numFmt w:val="bullet"/>
      <w:pStyle w:val="40"/>
      <w:lvlText w:val=""/>
      <w:lvlJc w:val="left"/>
      <w:pPr>
        <w:tabs>
          <w:tab w:val="left" w:pos="590"/>
        </w:tabs>
        <w:ind w:left="590" w:hanging="420"/>
      </w:pPr>
      <w:rPr>
        <w:rFonts w:hint="default" w:ascii="Wingdings" w:hAnsi="Wingdings"/>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A18DE86"/>
    <w:multiLevelType w:val="singleLevel"/>
    <w:tmpl w:val="7A18DE86"/>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zQ1ZWY3MWIyZjFhZGIyYzBjMDQwMWQxNDI2NWMifQ=="/>
  </w:docVars>
  <w:rsids>
    <w:rsidRoot w:val="00B61ADC"/>
    <w:rsid w:val="000034D3"/>
    <w:rsid w:val="00016DDB"/>
    <w:rsid w:val="000313C8"/>
    <w:rsid w:val="0006036C"/>
    <w:rsid w:val="0006302B"/>
    <w:rsid w:val="00074181"/>
    <w:rsid w:val="000C2A8D"/>
    <w:rsid w:val="000C2E1E"/>
    <w:rsid w:val="000C4F7F"/>
    <w:rsid w:val="000D5386"/>
    <w:rsid w:val="000E60CD"/>
    <w:rsid w:val="00103BF0"/>
    <w:rsid w:val="00112982"/>
    <w:rsid w:val="0012406D"/>
    <w:rsid w:val="00131AC9"/>
    <w:rsid w:val="001328B8"/>
    <w:rsid w:val="001343EE"/>
    <w:rsid w:val="00135127"/>
    <w:rsid w:val="001863BD"/>
    <w:rsid w:val="00193FA2"/>
    <w:rsid w:val="001A659D"/>
    <w:rsid w:val="001A76A5"/>
    <w:rsid w:val="001B281C"/>
    <w:rsid w:val="001B6FD4"/>
    <w:rsid w:val="001D1792"/>
    <w:rsid w:val="001E0FBC"/>
    <w:rsid w:val="00202710"/>
    <w:rsid w:val="0021487C"/>
    <w:rsid w:val="00217341"/>
    <w:rsid w:val="00225028"/>
    <w:rsid w:val="00232FEF"/>
    <w:rsid w:val="0026782B"/>
    <w:rsid w:val="00274AD5"/>
    <w:rsid w:val="002808AF"/>
    <w:rsid w:val="00282815"/>
    <w:rsid w:val="0028335C"/>
    <w:rsid w:val="00284BBE"/>
    <w:rsid w:val="00290A29"/>
    <w:rsid w:val="002977B8"/>
    <w:rsid w:val="002A2566"/>
    <w:rsid w:val="002C4C86"/>
    <w:rsid w:val="002C51E7"/>
    <w:rsid w:val="002D3A6D"/>
    <w:rsid w:val="002F0625"/>
    <w:rsid w:val="003009F9"/>
    <w:rsid w:val="003136F4"/>
    <w:rsid w:val="00316122"/>
    <w:rsid w:val="003223DF"/>
    <w:rsid w:val="00331B2A"/>
    <w:rsid w:val="003516B3"/>
    <w:rsid w:val="00355517"/>
    <w:rsid w:val="003717D9"/>
    <w:rsid w:val="003A02CE"/>
    <w:rsid w:val="003D2338"/>
    <w:rsid w:val="003E09BA"/>
    <w:rsid w:val="003E4B6C"/>
    <w:rsid w:val="00404A72"/>
    <w:rsid w:val="00405324"/>
    <w:rsid w:val="00435E13"/>
    <w:rsid w:val="00442D25"/>
    <w:rsid w:val="00446FDC"/>
    <w:rsid w:val="00455AEE"/>
    <w:rsid w:val="0047744C"/>
    <w:rsid w:val="004A21F9"/>
    <w:rsid w:val="004A482B"/>
    <w:rsid w:val="004B5D90"/>
    <w:rsid w:val="004C159B"/>
    <w:rsid w:val="004D7D2F"/>
    <w:rsid w:val="005036F1"/>
    <w:rsid w:val="005346AA"/>
    <w:rsid w:val="00547C26"/>
    <w:rsid w:val="00555F5A"/>
    <w:rsid w:val="00564A9C"/>
    <w:rsid w:val="005838B9"/>
    <w:rsid w:val="00593F5B"/>
    <w:rsid w:val="005B5E12"/>
    <w:rsid w:val="005F64BD"/>
    <w:rsid w:val="005F6B19"/>
    <w:rsid w:val="00615120"/>
    <w:rsid w:val="00625E7A"/>
    <w:rsid w:val="00652718"/>
    <w:rsid w:val="006556FD"/>
    <w:rsid w:val="0067151C"/>
    <w:rsid w:val="00674109"/>
    <w:rsid w:val="00683E6D"/>
    <w:rsid w:val="0068465D"/>
    <w:rsid w:val="00686B7C"/>
    <w:rsid w:val="006903E3"/>
    <w:rsid w:val="006A09B8"/>
    <w:rsid w:val="006A468D"/>
    <w:rsid w:val="006B48DB"/>
    <w:rsid w:val="006C5F2F"/>
    <w:rsid w:val="006E7B76"/>
    <w:rsid w:val="006F2DBD"/>
    <w:rsid w:val="006F7AC4"/>
    <w:rsid w:val="00704C96"/>
    <w:rsid w:val="0071480F"/>
    <w:rsid w:val="007178E9"/>
    <w:rsid w:val="00725C4C"/>
    <w:rsid w:val="00726B47"/>
    <w:rsid w:val="00732D87"/>
    <w:rsid w:val="0073439C"/>
    <w:rsid w:val="00756602"/>
    <w:rsid w:val="00760540"/>
    <w:rsid w:val="0079309C"/>
    <w:rsid w:val="007A6304"/>
    <w:rsid w:val="007B0400"/>
    <w:rsid w:val="007B225C"/>
    <w:rsid w:val="007B37FA"/>
    <w:rsid w:val="007D1F6C"/>
    <w:rsid w:val="007D3915"/>
    <w:rsid w:val="007E6262"/>
    <w:rsid w:val="007E7D2A"/>
    <w:rsid w:val="00800FA5"/>
    <w:rsid w:val="00801342"/>
    <w:rsid w:val="00810D35"/>
    <w:rsid w:val="0081406F"/>
    <w:rsid w:val="00816653"/>
    <w:rsid w:val="00824EC3"/>
    <w:rsid w:val="00833A6F"/>
    <w:rsid w:val="00845A2D"/>
    <w:rsid w:val="008506AC"/>
    <w:rsid w:val="00855156"/>
    <w:rsid w:val="008759BF"/>
    <w:rsid w:val="00876346"/>
    <w:rsid w:val="008A4B85"/>
    <w:rsid w:val="008B01DC"/>
    <w:rsid w:val="008D3565"/>
    <w:rsid w:val="00927076"/>
    <w:rsid w:val="0093119C"/>
    <w:rsid w:val="00936A00"/>
    <w:rsid w:val="009557E8"/>
    <w:rsid w:val="00997BE5"/>
    <w:rsid w:val="009E1EFE"/>
    <w:rsid w:val="00A032BC"/>
    <w:rsid w:val="00A3233B"/>
    <w:rsid w:val="00A406BF"/>
    <w:rsid w:val="00A46AEE"/>
    <w:rsid w:val="00A511CC"/>
    <w:rsid w:val="00A5689C"/>
    <w:rsid w:val="00A56AF2"/>
    <w:rsid w:val="00A675D0"/>
    <w:rsid w:val="00A90076"/>
    <w:rsid w:val="00AA7683"/>
    <w:rsid w:val="00AB01C7"/>
    <w:rsid w:val="00AB08B4"/>
    <w:rsid w:val="00AB585B"/>
    <w:rsid w:val="00AB5CA8"/>
    <w:rsid w:val="00AE26F7"/>
    <w:rsid w:val="00AE30B7"/>
    <w:rsid w:val="00AF23B5"/>
    <w:rsid w:val="00B00708"/>
    <w:rsid w:val="00B02582"/>
    <w:rsid w:val="00B03263"/>
    <w:rsid w:val="00B12968"/>
    <w:rsid w:val="00B16ADE"/>
    <w:rsid w:val="00B23A23"/>
    <w:rsid w:val="00B45EAE"/>
    <w:rsid w:val="00B61ADC"/>
    <w:rsid w:val="00B94157"/>
    <w:rsid w:val="00BA5C81"/>
    <w:rsid w:val="00BB6094"/>
    <w:rsid w:val="00BB62BD"/>
    <w:rsid w:val="00BC2C56"/>
    <w:rsid w:val="00BF28D7"/>
    <w:rsid w:val="00BF7F71"/>
    <w:rsid w:val="00C00CA2"/>
    <w:rsid w:val="00C161E6"/>
    <w:rsid w:val="00C27827"/>
    <w:rsid w:val="00C302DB"/>
    <w:rsid w:val="00C32BC7"/>
    <w:rsid w:val="00C32D13"/>
    <w:rsid w:val="00C436B8"/>
    <w:rsid w:val="00C6616B"/>
    <w:rsid w:val="00C83572"/>
    <w:rsid w:val="00C85A2C"/>
    <w:rsid w:val="00C92B71"/>
    <w:rsid w:val="00C93C16"/>
    <w:rsid w:val="00C96DEB"/>
    <w:rsid w:val="00CA2830"/>
    <w:rsid w:val="00CC543E"/>
    <w:rsid w:val="00CD0D63"/>
    <w:rsid w:val="00CF5F58"/>
    <w:rsid w:val="00D05B39"/>
    <w:rsid w:val="00D23DB0"/>
    <w:rsid w:val="00D3282F"/>
    <w:rsid w:val="00D34249"/>
    <w:rsid w:val="00D855EE"/>
    <w:rsid w:val="00D937FE"/>
    <w:rsid w:val="00DA2031"/>
    <w:rsid w:val="00DD5400"/>
    <w:rsid w:val="00DD7A2B"/>
    <w:rsid w:val="00E04CDE"/>
    <w:rsid w:val="00E165CF"/>
    <w:rsid w:val="00E21AA4"/>
    <w:rsid w:val="00E63CF4"/>
    <w:rsid w:val="00E76225"/>
    <w:rsid w:val="00E80BDA"/>
    <w:rsid w:val="00E845BD"/>
    <w:rsid w:val="00E87037"/>
    <w:rsid w:val="00E9151D"/>
    <w:rsid w:val="00EB04D5"/>
    <w:rsid w:val="00EB204F"/>
    <w:rsid w:val="00EF3433"/>
    <w:rsid w:val="00EF3AB1"/>
    <w:rsid w:val="00F06279"/>
    <w:rsid w:val="00F07EBB"/>
    <w:rsid w:val="00F11A1D"/>
    <w:rsid w:val="00F134D3"/>
    <w:rsid w:val="00F24F25"/>
    <w:rsid w:val="00F35F2E"/>
    <w:rsid w:val="00F40878"/>
    <w:rsid w:val="00F5149B"/>
    <w:rsid w:val="00F618A1"/>
    <w:rsid w:val="00F6319A"/>
    <w:rsid w:val="00F753C6"/>
    <w:rsid w:val="00F92C0B"/>
    <w:rsid w:val="00F94806"/>
    <w:rsid w:val="00FB2A2E"/>
    <w:rsid w:val="00FC2FEE"/>
    <w:rsid w:val="00FC4CDD"/>
    <w:rsid w:val="00FC4E27"/>
    <w:rsid w:val="00FC7A71"/>
    <w:rsid w:val="00FD0A35"/>
    <w:rsid w:val="00FD2B11"/>
    <w:rsid w:val="00FD4506"/>
    <w:rsid w:val="00FE022B"/>
    <w:rsid w:val="00FF3160"/>
    <w:rsid w:val="00FF75B3"/>
    <w:rsid w:val="011B0241"/>
    <w:rsid w:val="01201705"/>
    <w:rsid w:val="015E7351"/>
    <w:rsid w:val="016976EB"/>
    <w:rsid w:val="017844EF"/>
    <w:rsid w:val="01A14096"/>
    <w:rsid w:val="01C247DE"/>
    <w:rsid w:val="01CD5C59"/>
    <w:rsid w:val="01D37C2A"/>
    <w:rsid w:val="01F571E2"/>
    <w:rsid w:val="020C2821"/>
    <w:rsid w:val="025C396A"/>
    <w:rsid w:val="02620BA3"/>
    <w:rsid w:val="0267672B"/>
    <w:rsid w:val="026B7391"/>
    <w:rsid w:val="02717FB4"/>
    <w:rsid w:val="027A0AED"/>
    <w:rsid w:val="02884380"/>
    <w:rsid w:val="028B6BBF"/>
    <w:rsid w:val="02B44C36"/>
    <w:rsid w:val="02BF408A"/>
    <w:rsid w:val="02D0024A"/>
    <w:rsid w:val="02DC63E3"/>
    <w:rsid w:val="03060DA8"/>
    <w:rsid w:val="03223F52"/>
    <w:rsid w:val="032469A2"/>
    <w:rsid w:val="03294E33"/>
    <w:rsid w:val="03394EB3"/>
    <w:rsid w:val="037566A3"/>
    <w:rsid w:val="03785EAE"/>
    <w:rsid w:val="039034BC"/>
    <w:rsid w:val="03B15391"/>
    <w:rsid w:val="03B159AD"/>
    <w:rsid w:val="03C17D95"/>
    <w:rsid w:val="03CB3C9A"/>
    <w:rsid w:val="03D610FB"/>
    <w:rsid w:val="040A2E36"/>
    <w:rsid w:val="04440294"/>
    <w:rsid w:val="045B403D"/>
    <w:rsid w:val="046B3810"/>
    <w:rsid w:val="046F53FA"/>
    <w:rsid w:val="04891E6A"/>
    <w:rsid w:val="0490450B"/>
    <w:rsid w:val="04B9464B"/>
    <w:rsid w:val="04BF0319"/>
    <w:rsid w:val="04DF7CDC"/>
    <w:rsid w:val="04EF7AE0"/>
    <w:rsid w:val="05070317"/>
    <w:rsid w:val="051931EE"/>
    <w:rsid w:val="05220AC4"/>
    <w:rsid w:val="05634A15"/>
    <w:rsid w:val="05847B87"/>
    <w:rsid w:val="05945F5E"/>
    <w:rsid w:val="05B2341E"/>
    <w:rsid w:val="05F220E4"/>
    <w:rsid w:val="0618664C"/>
    <w:rsid w:val="06415967"/>
    <w:rsid w:val="064D2D44"/>
    <w:rsid w:val="06511322"/>
    <w:rsid w:val="06526681"/>
    <w:rsid w:val="065E7866"/>
    <w:rsid w:val="06732193"/>
    <w:rsid w:val="067F1777"/>
    <w:rsid w:val="06864F7B"/>
    <w:rsid w:val="071529A8"/>
    <w:rsid w:val="071719AF"/>
    <w:rsid w:val="071C4B20"/>
    <w:rsid w:val="072222CC"/>
    <w:rsid w:val="074F3292"/>
    <w:rsid w:val="075659B9"/>
    <w:rsid w:val="07567A94"/>
    <w:rsid w:val="07576568"/>
    <w:rsid w:val="07767A44"/>
    <w:rsid w:val="078105E6"/>
    <w:rsid w:val="078E1BDD"/>
    <w:rsid w:val="0798114F"/>
    <w:rsid w:val="07B26C91"/>
    <w:rsid w:val="07B7406D"/>
    <w:rsid w:val="07CB7CAC"/>
    <w:rsid w:val="07D65217"/>
    <w:rsid w:val="07DB49A4"/>
    <w:rsid w:val="08035545"/>
    <w:rsid w:val="0810409E"/>
    <w:rsid w:val="08484280"/>
    <w:rsid w:val="084A4C73"/>
    <w:rsid w:val="08627A90"/>
    <w:rsid w:val="089F195D"/>
    <w:rsid w:val="08A9188F"/>
    <w:rsid w:val="08AC71FF"/>
    <w:rsid w:val="08B074C2"/>
    <w:rsid w:val="08CC4A1B"/>
    <w:rsid w:val="08D46C6D"/>
    <w:rsid w:val="08FC61FE"/>
    <w:rsid w:val="08FD496F"/>
    <w:rsid w:val="094170C0"/>
    <w:rsid w:val="094A72A5"/>
    <w:rsid w:val="09612649"/>
    <w:rsid w:val="097F47BA"/>
    <w:rsid w:val="09A4717B"/>
    <w:rsid w:val="09B74EC3"/>
    <w:rsid w:val="09BA62D3"/>
    <w:rsid w:val="09F314DA"/>
    <w:rsid w:val="0A072F04"/>
    <w:rsid w:val="0A07615D"/>
    <w:rsid w:val="0A2C5D06"/>
    <w:rsid w:val="0A670BEC"/>
    <w:rsid w:val="0A6E385E"/>
    <w:rsid w:val="0A7D6B23"/>
    <w:rsid w:val="0AA43B32"/>
    <w:rsid w:val="0AC50B07"/>
    <w:rsid w:val="0AD031C5"/>
    <w:rsid w:val="0ADA6EEC"/>
    <w:rsid w:val="0AE863F7"/>
    <w:rsid w:val="0AEB5AA3"/>
    <w:rsid w:val="0B212A46"/>
    <w:rsid w:val="0B2B03F5"/>
    <w:rsid w:val="0B3E0319"/>
    <w:rsid w:val="0B43256C"/>
    <w:rsid w:val="0B585230"/>
    <w:rsid w:val="0B602F7F"/>
    <w:rsid w:val="0B9A44B2"/>
    <w:rsid w:val="0B9C302E"/>
    <w:rsid w:val="0B9C3126"/>
    <w:rsid w:val="0BA05A0B"/>
    <w:rsid w:val="0BB42707"/>
    <w:rsid w:val="0BCC09EA"/>
    <w:rsid w:val="0BD94A85"/>
    <w:rsid w:val="0BE769BA"/>
    <w:rsid w:val="0BEF212A"/>
    <w:rsid w:val="0BF50ECA"/>
    <w:rsid w:val="0BFC6777"/>
    <w:rsid w:val="0BFD6890"/>
    <w:rsid w:val="0C6A2581"/>
    <w:rsid w:val="0C743B3B"/>
    <w:rsid w:val="0C807FB7"/>
    <w:rsid w:val="0C8F581D"/>
    <w:rsid w:val="0CA23AC9"/>
    <w:rsid w:val="0CA62BBC"/>
    <w:rsid w:val="0CBD7A06"/>
    <w:rsid w:val="0CBF24C9"/>
    <w:rsid w:val="0D070BD1"/>
    <w:rsid w:val="0D240E70"/>
    <w:rsid w:val="0D2E55DD"/>
    <w:rsid w:val="0D315915"/>
    <w:rsid w:val="0D355BC2"/>
    <w:rsid w:val="0D4173BF"/>
    <w:rsid w:val="0D611389"/>
    <w:rsid w:val="0D8B058B"/>
    <w:rsid w:val="0D8C4A08"/>
    <w:rsid w:val="0DAA060C"/>
    <w:rsid w:val="0DAC3BE7"/>
    <w:rsid w:val="0DB17FBD"/>
    <w:rsid w:val="0DB94A80"/>
    <w:rsid w:val="0DC8018B"/>
    <w:rsid w:val="0DDC0189"/>
    <w:rsid w:val="0DE32E06"/>
    <w:rsid w:val="0DE97CFB"/>
    <w:rsid w:val="0DEE6760"/>
    <w:rsid w:val="0DFD0301"/>
    <w:rsid w:val="0E0117B5"/>
    <w:rsid w:val="0E014C4E"/>
    <w:rsid w:val="0E02535E"/>
    <w:rsid w:val="0E173408"/>
    <w:rsid w:val="0E410CDB"/>
    <w:rsid w:val="0E4529E1"/>
    <w:rsid w:val="0E5D4656"/>
    <w:rsid w:val="0E6365ED"/>
    <w:rsid w:val="0E7A37E2"/>
    <w:rsid w:val="0E975183"/>
    <w:rsid w:val="0E9A76BC"/>
    <w:rsid w:val="0EA11C89"/>
    <w:rsid w:val="0EBE0791"/>
    <w:rsid w:val="0EC95DC3"/>
    <w:rsid w:val="0EED1681"/>
    <w:rsid w:val="0EFF733E"/>
    <w:rsid w:val="0F186891"/>
    <w:rsid w:val="0F4D5294"/>
    <w:rsid w:val="0F694B79"/>
    <w:rsid w:val="0F8362E3"/>
    <w:rsid w:val="0F8C29CC"/>
    <w:rsid w:val="0FA22032"/>
    <w:rsid w:val="0FA3197F"/>
    <w:rsid w:val="0FB45463"/>
    <w:rsid w:val="0FB53AB8"/>
    <w:rsid w:val="0FD55C7C"/>
    <w:rsid w:val="0FE47388"/>
    <w:rsid w:val="1006563A"/>
    <w:rsid w:val="10163D0C"/>
    <w:rsid w:val="10687E68"/>
    <w:rsid w:val="10906F24"/>
    <w:rsid w:val="10B6516C"/>
    <w:rsid w:val="10C05172"/>
    <w:rsid w:val="11355CD1"/>
    <w:rsid w:val="11413C63"/>
    <w:rsid w:val="114F1D45"/>
    <w:rsid w:val="117A03A0"/>
    <w:rsid w:val="11B2140E"/>
    <w:rsid w:val="11D31C34"/>
    <w:rsid w:val="11E968D7"/>
    <w:rsid w:val="121849D7"/>
    <w:rsid w:val="12200FBA"/>
    <w:rsid w:val="1238201E"/>
    <w:rsid w:val="123D2AC6"/>
    <w:rsid w:val="12492C39"/>
    <w:rsid w:val="1276252C"/>
    <w:rsid w:val="127C27C9"/>
    <w:rsid w:val="128B0C30"/>
    <w:rsid w:val="12A10777"/>
    <w:rsid w:val="12A17EA8"/>
    <w:rsid w:val="12AA2C35"/>
    <w:rsid w:val="12C303DB"/>
    <w:rsid w:val="12C35FF3"/>
    <w:rsid w:val="12C9410A"/>
    <w:rsid w:val="12E653E0"/>
    <w:rsid w:val="130B6BB5"/>
    <w:rsid w:val="132018B4"/>
    <w:rsid w:val="13271CDE"/>
    <w:rsid w:val="13303EEA"/>
    <w:rsid w:val="134E49AB"/>
    <w:rsid w:val="136F43E9"/>
    <w:rsid w:val="13971726"/>
    <w:rsid w:val="13AC37BB"/>
    <w:rsid w:val="13F904B7"/>
    <w:rsid w:val="13F942EC"/>
    <w:rsid w:val="14050A2F"/>
    <w:rsid w:val="14140DAC"/>
    <w:rsid w:val="1418569D"/>
    <w:rsid w:val="141C24C2"/>
    <w:rsid w:val="14217B25"/>
    <w:rsid w:val="14347F46"/>
    <w:rsid w:val="144D5C3A"/>
    <w:rsid w:val="14807529"/>
    <w:rsid w:val="149B1EFA"/>
    <w:rsid w:val="14B23BB1"/>
    <w:rsid w:val="14B76607"/>
    <w:rsid w:val="14BF1545"/>
    <w:rsid w:val="15002FE6"/>
    <w:rsid w:val="152064B1"/>
    <w:rsid w:val="15317D28"/>
    <w:rsid w:val="153473BF"/>
    <w:rsid w:val="15591FD8"/>
    <w:rsid w:val="157D01B6"/>
    <w:rsid w:val="158B47B7"/>
    <w:rsid w:val="159B3CF9"/>
    <w:rsid w:val="159E2C8C"/>
    <w:rsid w:val="15BF56EC"/>
    <w:rsid w:val="15C122C8"/>
    <w:rsid w:val="15D70B26"/>
    <w:rsid w:val="15F87315"/>
    <w:rsid w:val="16681B39"/>
    <w:rsid w:val="1668514F"/>
    <w:rsid w:val="16744AC5"/>
    <w:rsid w:val="168663D3"/>
    <w:rsid w:val="16892E1D"/>
    <w:rsid w:val="16956CEA"/>
    <w:rsid w:val="16992542"/>
    <w:rsid w:val="169D0944"/>
    <w:rsid w:val="16B05C60"/>
    <w:rsid w:val="172D262F"/>
    <w:rsid w:val="17334BA5"/>
    <w:rsid w:val="17352B99"/>
    <w:rsid w:val="173860B1"/>
    <w:rsid w:val="174968F1"/>
    <w:rsid w:val="174979EB"/>
    <w:rsid w:val="17755C17"/>
    <w:rsid w:val="179943EA"/>
    <w:rsid w:val="17AA725F"/>
    <w:rsid w:val="17B63EEF"/>
    <w:rsid w:val="17DA7A4A"/>
    <w:rsid w:val="17E24056"/>
    <w:rsid w:val="18167CB1"/>
    <w:rsid w:val="18253B56"/>
    <w:rsid w:val="18271AB1"/>
    <w:rsid w:val="18334F0E"/>
    <w:rsid w:val="183B19C9"/>
    <w:rsid w:val="18411751"/>
    <w:rsid w:val="1859122F"/>
    <w:rsid w:val="186E575B"/>
    <w:rsid w:val="18761198"/>
    <w:rsid w:val="18785ADA"/>
    <w:rsid w:val="187C24B2"/>
    <w:rsid w:val="189E2995"/>
    <w:rsid w:val="18F10A9D"/>
    <w:rsid w:val="19030813"/>
    <w:rsid w:val="19090E7A"/>
    <w:rsid w:val="1914335F"/>
    <w:rsid w:val="19451AF5"/>
    <w:rsid w:val="196B1268"/>
    <w:rsid w:val="197639C6"/>
    <w:rsid w:val="198C42AC"/>
    <w:rsid w:val="19976590"/>
    <w:rsid w:val="19D62391"/>
    <w:rsid w:val="19F45B80"/>
    <w:rsid w:val="1A0015DB"/>
    <w:rsid w:val="1A0B7AF9"/>
    <w:rsid w:val="1A0D726F"/>
    <w:rsid w:val="1A20645C"/>
    <w:rsid w:val="1A2924A4"/>
    <w:rsid w:val="1A294DAE"/>
    <w:rsid w:val="1A2E3138"/>
    <w:rsid w:val="1A4E5290"/>
    <w:rsid w:val="1A5A535A"/>
    <w:rsid w:val="1A6C5D57"/>
    <w:rsid w:val="1A6E1993"/>
    <w:rsid w:val="1A7325A3"/>
    <w:rsid w:val="1A73595A"/>
    <w:rsid w:val="1A8C5A32"/>
    <w:rsid w:val="1AA3770B"/>
    <w:rsid w:val="1AA42DBA"/>
    <w:rsid w:val="1AA56ED6"/>
    <w:rsid w:val="1AA804DB"/>
    <w:rsid w:val="1ABC3388"/>
    <w:rsid w:val="1AC160A1"/>
    <w:rsid w:val="1AD70FDF"/>
    <w:rsid w:val="1B065B6B"/>
    <w:rsid w:val="1B074DD8"/>
    <w:rsid w:val="1B102A1A"/>
    <w:rsid w:val="1B243330"/>
    <w:rsid w:val="1B8D494A"/>
    <w:rsid w:val="1BAB1AAC"/>
    <w:rsid w:val="1BCB78FD"/>
    <w:rsid w:val="1BD16179"/>
    <w:rsid w:val="1BF47A64"/>
    <w:rsid w:val="1C020255"/>
    <w:rsid w:val="1C063FC0"/>
    <w:rsid w:val="1C1F4A13"/>
    <w:rsid w:val="1C45489E"/>
    <w:rsid w:val="1C86242D"/>
    <w:rsid w:val="1CAE11F6"/>
    <w:rsid w:val="1CB82459"/>
    <w:rsid w:val="1CC229C8"/>
    <w:rsid w:val="1CE630A6"/>
    <w:rsid w:val="1D0A2DF4"/>
    <w:rsid w:val="1D2871CA"/>
    <w:rsid w:val="1D2F0DAB"/>
    <w:rsid w:val="1D4470BE"/>
    <w:rsid w:val="1D4A6E00"/>
    <w:rsid w:val="1D7EA90B"/>
    <w:rsid w:val="1D9030D9"/>
    <w:rsid w:val="1D9D278F"/>
    <w:rsid w:val="1DAF6046"/>
    <w:rsid w:val="1DD525C7"/>
    <w:rsid w:val="1DEB2024"/>
    <w:rsid w:val="1DF82038"/>
    <w:rsid w:val="1E067C30"/>
    <w:rsid w:val="1E1D4240"/>
    <w:rsid w:val="1E200BFC"/>
    <w:rsid w:val="1E2D340E"/>
    <w:rsid w:val="1E46104F"/>
    <w:rsid w:val="1E5B6896"/>
    <w:rsid w:val="1E755633"/>
    <w:rsid w:val="1E7D59EB"/>
    <w:rsid w:val="1EA422D7"/>
    <w:rsid w:val="1EA63257"/>
    <w:rsid w:val="1EAE4E42"/>
    <w:rsid w:val="1EB154D0"/>
    <w:rsid w:val="1EB475B1"/>
    <w:rsid w:val="1EB81CB5"/>
    <w:rsid w:val="1EB90184"/>
    <w:rsid w:val="1EC152C3"/>
    <w:rsid w:val="1EC25495"/>
    <w:rsid w:val="1EDC6743"/>
    <w:rsid w:val="1EF00F5B"/>
    <w:rsid w:val="1F171E36"/>
    <w:rsid w:val="1F33361E"/>
    <w:rsid w:val="1F4C0F0B"/>
    <w:rsid w:val="1F500CDD"/>
    <w:rsid w:val="1F534F46"/>
    <w:rsid w:val="1F574500"/>
    <w:rsid w:val="1F90391E"/>
    <w:rsid w:val="1F9C65F7"/>
    <w:rsid w:val="1FC5329A"/>
    <w:rsid w:val="1FCF79DA"/>
    <w:rsid w:val="206A75E4"/>
    <w:rsid w:val="207F665B"/>
    <w:rsid w:val="208A06E0"/>
    <w:rsid w:val="20B46D49"/>
    <w:rsid w:val="20BC0348"/>
    <w:rsid w:val="20D83D3D"/>
    <w:rsid w:val="20D87F17"/>
    <w:rsid w:val="20D90255"/>
    <w:rsid w:val="20D9538D"/>
    <w:rsid w:val="20FF3381"/>
    <w:rsid w:val="21370909"/>
    <w:rsid w:val="21383A85"/>
    <w:rsid w:val="213A4935"/>
    <w:rsid w:val="21495CBD"/>
    <w:rsid w:val="214D6C41"/>
    <w:rsid w:val="2157246A"/>
    <w:rsid w:val="215F5F89"/>
    <w:rsid w:val="216D6944"/>
    <w:rsid w:val="21821E56"/>
    <w:rsid w:val="218A510B"/>
    <w:rsid w:val="218B3B95"/>
    <w:rsid w:val="219F63D1"/>
    <w:rsid w:val="219F6EBF"/>
    <w:rsid w:val="21A053CE"/>
    <w:rsid w:val="21AB0918"/>
    <w:rsid w:val="21B14AC5"/>
    <w:rsid w:val="21C1459A"/>
    <w:rsid w:val="21D446C2"/>
    <w:rsid w:val="21EE540B"/>
    <w:rsid w:val="21F306BD"/>
    <w:rsid w:val="22012683"/>
    <w:rsid w:val="2202720E"/>
    <w:rsid w:val="22054556"/>
    <w:rsid w:val="220D148B"/>
    <w:rsid w:val="220F5320"/>
    <w:rsid w:val="22184B2A"/>
    <w:rsid w:val="221D5D64"/>
    <w:rsid w:val="22367CE0"/>
    <w:rsid w:val="22554807"/>
    <w:rsid w:val="22695CE1"/>
    <w:rsid w:val="22702335"/>
    <w:rsid w:val="22877279"/>
    <w:rsid w:val="22971488"/>
    <w:rsid w:val="22B528A2"/>
    <w:rsid w:val="22DD1FE3"/>
    <w:rsid w:val="23026D0D"/>
    <w:rsid w:val="230A225D"/>
    <w:rsid w:val="23141AE1"/>
    <w:rsid w:val="232069EF"/>
    <w:rsid w:val="232272BA"/>
    <w:rsid w:val="23376CA2"/>
    <w:rsid w:val="238A7901"/>
    <w:rsid w:val="239A4F06"/>
    <w:rsid w:val="23A04AA3"/>
    <w:rsid w:val="23A83C63"/>
    <w:rsid w:val="23AB1161"/>
    <w:rsid w:val="23BA3BDE"/>
    <w:rsid w:val="23F65FD2"/>
    <w:rsid w:val="240D3B36"/>
    <w:rsid w:val="24291533"/>
    <w:rsid w:val="242D1644"/>
    <w:rsid w:val="24327CF4"/>
    <w:rsid w:val="246F6134"/>
    <w:rsid w:val="24784F3E"/>
    <w:rsid w:val="247D0BE0"/>
    <w:rsid w:val="24E024BC"/>
    <w:rsid w:val="24E6009D"/>
    <w:rsid w:val="24E63301"/>
    <w:rsid w:val="24EF6BA1"/>
    <w:rsid w:val="2515757E"/>
    <w:rsid w:val="25162E4E"/>
    <w:rsid w:val="2526296C"/>
    <w:rsid w:val="25326787"/>
    <w:rsid w:val="25412C2F"/>
    <w:rsid w:val="25430153"/>
    <w:rsid w:val="255F16D9"/>
    <w:rsid w:val="2563036F"/>
    <w:rsid w:val="25AB23F1"/>
    <w:rsid w:val="25C5562E"/>
    <w:rsid w:val="25E0182D"/>
    <w:rsid w:val="25E15602"/>
    <w:rsid w:val="25E7200B"/>
    <w:rsid w:val="25EE7F8D"/>
    <w:rsid w:val="25FA308D"/>
    <w:rsid w:val="26280877"/>
    <w:rsid w:val="26302CF2"/>
    <w:rsid w:val="264555F5"/>
    <w:rsid w:val="2655338B"/>
    <w:rsid w:val="266844FE"/>
    <w:rsid w:val="2672719C"/>
    <w:rsid w:val="267B2257"/>
    <w:rsid w:val="26924C40"/>
    <w:rsid w:val="269D3E83"/>
    <w:rsid w:val="269E0BDE"/>
    <w:rsid w:val="26C86793"/>
    <w:rsid w:val="26F54827"/>
    <w:rsid w:val="26FC2D86"/>
    <w:rsid w:val="26FF1202"/>
    <w:rsid w:val="27195764"/>
    <w:rsid w:val="271B35DD"/>
    <w:rsid w:val="27324F2D"/>
    <w:rsid w:val="27530FEC"/>
    <w:rsid w:val="27556C4B"/>
    <w:rsid w:val="275D355A"/>
    <w:rsid w:val="27651BE5"/>
    <w:rsid w:val="276D286E"/>
    <w:rsid w:val="2773370F"/>
    <w:rsid w:val="278E5804"/>
    <w:rsid w:val="27901B1E"/>
    <w:rsid w:val="27AE154C"/>
    <w:rsid w:val="27F45440"/>
    <w:rsid w:val="280E0EF6"/>
    <w:rsid w:val="281055A8"/>
    <w:rsid w:val="281D1E60"/>
    <w:rsid w:val="283136EA"/>
    <w:rsid w:val="283506B5"/>
    <w:rsid w:val="28360F95"/>
    <w:rsid w:val="283D0AA1"/>
    <w:rsid w:val="284F2984"/>
    <w:rsid w:val="28641912"/>
    <w:rsid w:val="287D473F"/>
    <w:rsid w:val="288709D2"/>
    <w:rsid w:val="28A345EC"/>
    <w:rsid w:val="28AA05BA"/>
    <w:rsid w:val="28B05D22"/>
    <w:rsid w:val="28B430AA"/>
    <w:rsid w:val="28BD5A2B"/>
    <w:rsid w:val="28C65EB2"/>
    <w:rsid w:val="28E65FAE"/>
    <w:rsid w:val="28F557E4"/>
    <w:rsid w:val="29024117"/>
    <w:rsid w:val="29105679"/>
    <w:rsid w:val="29127E05"/>
    <w:rsid w:val="2915778F"/>
    <w:rsid w:val="29174B62"/>
    <w:rsid w:val="293C6325"/>
    <w:rsid w:val="294A0A20"/>
    <w:rsid w:val="294E2095"/>
    <w:rsid w:val="298A4283"/>
    <w:rsid w:val="29B33F13"/>
    <w:rsid w:val="29CF14E0"/>
    <w:rsid w:val="29D4623E"/>
    <w:rsid w:val="29EB065A"/>
    <w:rsid w:val="29F179E6"/>
    <w:rsid w:val="29F97081"/>
    <w:rsid w:val="2A05262B"/>
    <w:rsid w:val="2A2277E6"/>
    <w:rsid w:val="2A353D77"/>
    <w:rsid w:val="2A517FC2"/>
    <w:rsid w:val="2A75302E"/>
    <w:rsid w:val="2A7D08B4"/>
    <w:rsid w:val="2A7F3FF9"/>
    <w:rsid w:val="2A825933"/>
    <w:rsid w:val="2A963176"/>
    <w:rsid w:val="2AB00FE3"/>
    <w:rsid w:val="2AB93E49"/>
    <w:rsid w:val="2AC359BD"/>
    <w:rsid w:val="2ADE5E46"/>
    <w:rsid w:val="2AE71985"/>
    <w:rsid w:val="2B0B5A83"/>
    <w:rsid w:val="2B250389"/>
    <w:rsid w:val="2B4019A6"/>
    <w:rsid w:val="2B405CF6"/>
    <w:rsid w:val="2B4A7E7D"/>
    <w:rsid w:val="2B7921E6"/>
    <w:rsid w:val="2B837338"/>
    <w:rsid w:val="2BA26BE9"/>
    <w:rsid w:val="2BA73B50"/>
    <w:rsid w:val="2BB233E8"/>
    <w:rsid w:val="2BBF54D1"/>
    <w:rsid w:val="2BC07E7E"/>
    <w:rsid w:val="2BF8431B"/>
    <w:rsid w:val="2C00762B"/>
    <w:rsid w:val="2C2977A4"/>
    <w:rsid w:val="2C5442FF"/>
    <w:rsid w:val="2C6B22A9"/>
    <w:rsid w:val="2C6F7529"/>
    <w:rsid w:val="2C7B2289"/>
    <w:rsid w:val="2C8C1F52"/>
    <w:rsid w:val="2C937195"/>
    <w:rsid w:val="2CA87A6D"/>
    <w:rsid w:val="2CC24F06"/>
    <w:rsid w:val="2CE1750D"/>
    <w:rsid w:val="2D024B94"/>
    <w:rsid w:val="2D0D46C3"/>
    <w:rsid w:val="2D1367E5"/>
    <w:rsid w:val="2D23032C"/>
    <w:rsid w:val="2D4F2943"/>
    <w:rsid w:val="2D7D49D9"/>
    <w:rsid w:val="2D847353"/>
    <w:rsid w:val="2D8E211C"/>
    <w:rsid w:val="2D936798"/>
    <w:rsid w:val="2D943D89"/>
    <w:rsid w:val="2D975C4F"/>
    <w:rsid w:val="2E09520B"/>
    <w:rsid w:val="2E207677"/>
    <w:rsid w:val="2E3B5913"/>
    <w:rsid w:val="2E3E395C"/>
    <w:rsid w:val="2E5154D6"/>
    <w:rsid w:val="2E5F5866"/>
    <w:rsid w:val="2E7B1FCE"/>
    <w:rsid w:val="2E872796"/>
    <w:rsid w:val="2E976DAE"/>
    <w:rsid w:val="2ED71B95"/>
    <w:rsid w:val="2EF31A6C"/>
    <w:rsid w:val="2F123E16"/>
    <w:rsid w:val="2F151F1D"/>
    <w:rsid w:val="2F1E3314"/>
    <w:rsid w:val="2F2341EE"/>
    <w:rsid w:val="2F4059A8"/>
    <w:rsid w:val="2F436E0B"/>
    <w:rsid w:val="2F45779C"/>
    <w:rsid w:val="2F4A4485"/>
    <w:rsid w:val="2F543D8E"/>
    <w:rsid w:val="2F686D14"/>
    <w:rsid w:val="2F705D03"/>
    <w:rsid w:val="2F82110B"/>
    <w:rsid w:val="2F985270"/>
    <w:rsid w:val="2F985C2B"/>
    <w:rsid w:val="2F9A057B"/>
    <w:rsid w:val="2FA21524"/>
    <w:rsid w:val="2FA31782"/>
    <w:rsid w:val="2FBC5501"/>
    <w:rsid w:val="2FC860B5"/>
    <w:rsid w:val="301A5F1D"/>
    <w:rsid w:val="302E0A68"/>
    <w:rsid w:val="30452AC6"/>
    <w:rsid w:val="3049418C"/>
    <w:rsid w:val="306B0F7E"/>
    <w:rsid w:val="3080518B"/>
    <w:rsid w:val="30A2353B"/>
    <w:rsid w:val="30B16184"/>
    <w:rsid w:val="30BD0622"/>
    <w:rsid w:val="30D05D4F"/>
    <w:rsid w:val="30F163AE"/>
    <w:rsid w:val="30FA3C70"/>
    <w:rsid w:val="31045334"/>
    <w:rsid w:val="31183407"/>
    <w:rsid w:val="312A7D3B"/>
    <w:rsid w:val="313179E8"/>
    <w:rsid w:val="31326D85"/>
    <w:rsid w:val="3135151C"/>
    <w:rsid w:val="31476F60"/>
    <w:rsid w:val="31522A01"/>
    <w:rsid w:val="315A5CEF"/>
    <w:rsid w:val="31660BB0"/>
    <w:rsid w:val="31843782"/>
    <w:rsid w:val="31853FB3"/>
    <w:rsid w:val="31B617BB"/>
    <w:rsid w:val="31BB1C33"/>
    <w:rsid w:val="31C84D63"/>
    <w:rsid w:val="31CB1FF0"/>
    <w:rsid w:val="31D75713"/>
    <w:rsid w:val="31DD6036"/>
    <w:rsid w:val="320D3918"/>
    <w:rsid w:val="32474FA1"/>
    <w:rsid w:val="326A3635"/>
    <w:rsid w:val="327879C3"/>
    <w:rsid w:val="32CF3E81"/>
    <w:rsid w:val="32D86EDA"/>
    <w:rsid w:val="32E7247E"/>
    <w:rsid w:val="32E822DB"/>
    <w:rsid w:val="32F13CB5"/>
    <w:rsid w:val="32F43D27"/>
    <w:rsid w:val="33071659"/>
    <w:rsid w:val="333F662E"/>
    <w:rsid w:val="33686472"/>
    <w:rsid w:val="336B28FA"/>
    <w:rsid w:val="338108AE"/>
    <w:rsid w:val="33B422A6"/>
    <w:rsid w:val="34165E66"/>
    <w:rsid w:val="342B6292"/>
    <w:rsid w:val="343834DC"/>
    <w:rsid w:val="343F6B8E"/>
    <w:rsid w:val="34413E7A"/>
    <w:rsid w:val="344A14F3"/>
    <w:rsid w:val="3450627A"/>
    <w:rsid w:val="34523BAA"/>
    <w:rsid w:val="3464561A"/>
    <w:rsid w:val="34761FB6"/>
    <w:rsid w:val="348979BE"/>
    <w:rsid w:val="3497222D"/>
    <w:rsid w:val="34983880"/>
    <w:rsid w:val="349D472F"/>
    <w:rsid w:val="34AA103D"/>
    <w:rsid w:val="34B3360B"/>
    <w:rsid w:val="34BD39E8"/>
    <w:rsid w:val="34C46FD6"/>
    <w:rsid w:val="34DD1293"/>
    <w:rsid w:val="34F40D57"/>
    <w:rsid w:val="350764B8"/>
    <w:rsid w:val="350A26D1"/>
    <w:rsid w:val="35180B4E"/>
    <w:rsid w:val="35713DA3"/>
    <w:rsid w:val="359D122F"/>
    <w:rsid w:val="35A013B7"/>
    <w:rsid w:val="35A60A75"/>
    <w:rsid w:val="35AC0F01"/>
    <w:rsid w:val="35CB37E1"/>
    <w:rsid w:val="35CE683C"/>
    <w:rsid w:val="35D52148"/>
    <w:rsid w:val="35E36E1D"/>
    <w:rsid w:val="35F74058"/>
    <w:rsid w:val="35FA5DF8"/>
    <w:rsid w:val="3613706C"/>
    <w:rsid w:val="36186A11"/>
    <w:rsid w:val="36374D3D"/>
    <w:rsid w:val="363D09AE"/>
    <w:rsid w:val="3641184E"/>
    <w:rsid w:val="364723B4"/>
    <w:rsid w:val="364811CA"/>
    <w:rsid w:val="36504E34"/>
    <w:rsid w:val="36560EEF"/>
    <w:rsid w:val="3660007A"/>
    <w:rsid w:val="3690682E"/>
    <w:rsid w:val="369F0173"/>
    <w:rsid w:val="36F62603"/>
    <w:rsid w:val="36FD66E2"/>
    <w:rsid w:val="370C7482"/>
    <w:rsid w:val="3758109B"/>
    <w:rsid w:val="378778B9"/>
    <w:rsid w:val="378A16A7"/>
    <w:rsid w:val="379164D0"/>
    <w:rsid w:val="37A75E0A"/>
    <w:rsid w:val="37AC6B7F"/>
    <w:rsid w:val="37D047A8"/>
    <w:rsid w:val="37E0067D"/>
    <w:rsid w:val="37EB34BF"/>
    <w:rsid w:val="37FC6ADF"/>
    <w:rsid w:val="38354FFD"/>
    <w:rsid w:val="383F2414"/>
    <w:rsid w:val="386459BA"/>
    <w:rsid w:val="38661665"/>
    <w:rsid w:val="389B3B3D"/>
    <w:rsid w:val="38BC0A07"/>
    <w:rsid w:val="38BF0CE7"/>
    <w:rsid w:val="38C45CEE"/>
    <w:rsid w:val="38E235B1"/>
    <w:rsid w:val="38E27A01"/>
    <w:rsid w:val="38E31E86"/>
    <w:rsid w:val="390A4EC4"/>
    <w:rsid w:val="3930056B"/>
    <w:rsid w:val="39466415"/>
    <w:rsid w:val="394C3312"/>
    <w:rsid w:val="3952364A"/>
    <w:rsid w:val="39712D81"/>
    <w:rsid w:val="3983332D"/>
    <w:rsid w:val="39C72D71"/>
    <w:rsid w:val="39ED55CB"/>
    <w:rsid w:val="3A05627F"/>
    <w:rsid w:val="3A0833EC"/>
    <w:rsid w:val="3A323E09"/>
    <w:rsid w:val="3A4B56BB"/>
    <w:rsid w:val="3A4F3FC2"/>
    <w:rsid w:val="3A5C42C2"/>
    <w:rsid w:val="3A691F76"/>
    <w:rsid w:val="3AA220C7"/>
    <w:rsid w:val="3AA546C5"/>
    <w:rsid w:val="3AA64518"/>
    <w:rsid w:val="3ACD3B57"/>
    <w:rsid w:val="3AE40C69"/>
    <w:rsid w:val="3AF067C6"/>
    <w:rsid w:val="3AFA1D87"/>
    <w:rsid w:val="3AFA4150"/>
    <w:rsid w:val="3AFA542F"/>
    <w:rsid w:val="3B151B49"/>
    <w:rsid w:val="3B186B2D"/>
    <w:rsid w:val="3B64085F"/>
    <w:rsid w:val="3BA92A42"/>
    <w:rsid w:val="3BE21AE6"/>
    <w:rsid w:val="3BFE0E29"/>
    <w:rsid w:val="3C0007F2"/>
    <w:rsid w:val="3C5A783E"/>
    <w:rsid w:val="3C7F09B3"/>
    <w:rsid w:val="3C81421F"/>
    <w:rsid w:val="3CBF5CAC"/>
    <w:rsid w:val="3CD26347"/>
    <w:rsid w:val="3CF32AAC"/>
    <w:rsid w:val="3CFB2BFE"/>
    <w:rsid w:val="3D356460"/>
    <w:rsid w:val="3D3B406F"/>
    <w:rsid w:val="3D3E0D3C"/>
    <w:rsid w:val="3D6C0712"/>
    <w:rsid w:val="3D712B88"/>
    <w:rsid w:val="3D807DD6"/>
    <w:rsid w:val="3D8E75CE"/>
    <w:rsid w:val="3DCD50D8"/>
    <w:rsid w:val="3DE049DE"/>
    <w:rsid w:val="3E10262A"/>
    <w:rsid w:val="3E4E69C8"/>
    <w:rsid w:val="3E556F89"/>
    <w:rsid w:val="3E5D283B"/>
    <w:rsid w:val="3E6B32DD"/>
    <w:rsid w:val="3E81191B"/>
    <w:rsid w:val="3E896388"/>
    <w:rsid w:val="3E8A0BED"/>
    <w:rsid w:val="3EB6242B"/>
    <w:rsid w:val="3EBA448E"/>
    <w:rsid w:val="3EC97C7D"/>
    <w:rsid w:val="3ED96F6F"/>
    <w:rsid w:val="3EE524CD"/>
    <w:rsid w:val="3EF838D5"/>
    <w:rsid w:val="3F193301"/>
    <w:rsid w:val="3F242EC8"/>
    <w:rsid w:val="3F291667"/>
    <w:rsid w:val="3F2F0847"/>
    <w:rsid w:val="3F497B89"/>
    <w:rsid w:val="3F58728B"/>
    <w:rsid w:val="3F7F0923"/>
    <w:rsid w:val="3F8E3CED"/>
    <w:rsid w:val="3FBD0561"/>
    <w:rsid w:val="3FDC6315"/>
    <w:rsid w:val="3FE311C2"/>
    <w:rsid w:val="402F10A1"/>
    <w:rsid w:val="404B1934"/>
    <w:rsid w:val="404F1596"/>
    <w:rsid w:val="405B10EB"/>
    <w:rsid w:val="40644F42"/>
    <w:rsid w:val="406C384C"/>
    <w:rsid w:val="406E53A2"/>
    <w:rsid w:val="40A23BA4"/>
    <w:rsid w:val="40CA2AC8"/>
    <w:rsid w:val="40DB3BFA"/>
    <w:rsid w:val="40DF2174"/>
    <w:rsid w:val="40E0492B"/>
    <w:rsid w:val="40E66EFD"/>
    <w:rsid w:val="41084A9A"/>
    <w:rsid w:val="41402044"/>
    <w:rsid w:val="4165007D"/>
    <w:rsid w:val="41686436"/>
    <w:rsid w:val="417722FE"/>
    <w:rsid w:val="41782093"/>
    <w:rsid w:val="419F65D8"/>
    <w:rsid w:val="41A55CB1"/>
    <w:rsid w:val="41B13E8F"/>
    <w:rsid w:val="41BA3087"/>
    <w:rsid w:val="41BE1581"/>
    <w:rsid w:val="41D14DF7"/>
    <w:rsid w:val="42087753"/>
    <w:rsid w:val="42124DFC"/>
    <w:rsid w:val="42392F87"/>
    <w:rsid w:val="424447F0"/>
    <w:rsid w:val="424624EB"/>
    <w:rsid w:val="425122A9"/>
    <w:rsid w:val="42542D50"/>
    <w:rsid w:val="425A03DB"/>
    <w:rsid w:val="426D0EE2"/>
    <w:rsid w:val="4274650E"/>
    <w:rsid w:val="42904639"/>
    <w:rsid w:val="42BA54CE"/>
    <w:rsid w:val="42E925E7"/>
    <w:rsid w:val="4301245F"/>
    <w:rsid w:val="43437389"/>
    <w:rsid w:val="43741E68"/>
    <w:rsid w:val="43782ABA"/>
    <w:rsid w:val="438D20D6"/>
    <w:rsid w:val="43954F03"/>
    <w:rsid w:val="43BF4511"/>
    <w:rsid w:val="43C02BBF"/>
    <w:rsid w:val="43C750D8"/>
    <w:rsid w:val="43E96615"/>
    <w:rsid w:val="43EE053A"/>
    <w:rsid w:val="43EF67FC"/>
    <w:rsid w:val="43F02285"/>
    <w:rsid w:val="44124677"/>
    <w:rsid w:val="44142690"/>
    <w:rsid w:val="441655BE"/>
    <w:rsid w:val="442B1CBC"/>
    <w:rsid w:val="444A1D87"/>
    <w:rsid w:val="444A4542"/>
    <w:rsid w:val="446500DC"/>
    <w:rsid w:val="44677611"/>
    <w:rsid w:val="446A7859"/>
    <w:rsid w:val="4486411F"/>
    <w:rsid w:val="449F3C6D"/>
    <w:rsid w:val="44A07C0C"/>
    <w:rsid w:val="44B75376"/>
    <w:rsid w:val="44C52C8C"/>
    <w:rsid w:val="44D44886"/>
    <w:rsid w:val="44F20D8A"/>
    <w:rsid w:val="45012D7B"/>
    <w:rsid w:val="450200B6"/>
    <w:rsid w:val="450C5E78"/>
    <w:rsid w:val="451A261D"/>
    <w:rsid w:val="451F5838"/>
    <w:rsid w:val="45402ED1"/>
    <w:rsid w:val="4551766D"/>
    <w:rsid w:val="459A0C3B"/>
    <w:rsid w:val="45AF7820"/>
    <w:rsid w:val="45D1347D"/>
    <w:rsid w:val="45D4484C"/>
    <w:rsid w:val="45DC10F2"/>
    <w:rsid w:val="45ED305D"/>
    <w:rsid w:val="46144D30"/>
    <w:rsid w:val="462442DE"/>
    <w:rsid w:val="462667BB"/>
    <w:rsid w:val="468B7864"/>
    <w:rsid w:val="46A53BFD"/>
    <w:rsid w:val="46A66559"/>
    <w:rsid w:val="46B326EF"/>
    <w:rsid w:val="46C65878"/>
    <w:rsid w:val="46C93D3E"/>
    <w:rsid w:val="46CD50FA"/>
    <w:rsid w:val="46D87EE8"/>
    <w:rsid w:val="46E25D20"/>
    <w:rsid w:val="47101AC4"/>
    <w:rsid w:val="47465026"/>
    <w:rsid w:val="474E0168"/>
    <w:rsid w:val="474F4E44"/>
    <w:rsid w:val="47503B46"/>
    <w:rsid w:val="47657AD7"/>
    <w:rsid w:val="476F795D"/>
    <w:rsid w:val="4771386F"/>
    <w:rsid w:val="477B7ACB"/>
    <w:rsid w:val="47B82FEA"/>
    <w:rsid w:val="47C07067"/>
    <w:rsid w:val="47EC23D4"/>
    <w:rsid w:val="48052B82"/>
    <w:rsid w:val="481E5FC0"/>
    <w:rsid w:val="48342B2D"/>
    <w:rsid w:val="483B2A48"/>
    <w:rsid w:val="48475477"/>
    <w:rsid w:val="485A506A"/>
    <w:rsid w:val="486755EB"/>
    <w:rsid w:val="489021EA"/>
    <w:rsid w:val="4897045D"/>
    <w:rsid w:val="48A109A1"/>
    <w:rsid w:val="48A92DB7"/>
    <w:rsid w:val="48EE4439"/>
    <w:rsid w:val="48FF71F4"/>
    <w:rsid w:val="49430701"/>
    <w:rsid w:val="49437698"/>
    <w:rsid w:val="49562F3A"/>
    <w:rsid w:val="497B5B29"/>
    <w:rsid w:val="497F5669"/>
    <w:rsid w:val="49891CDC"/>
    <w:rsid w:val="49920446"/>
    <w:rsid w:val="49AE1904"/>
    <w:rsid w:val="49BC7732"/>
    <w:rsid w:val="49C23B36"/>
    <w:rsid w:val="49CA0318"/>
    <w:rsid w:val="49D76C0F"/>
    <w:rsid w:val="49F23667"/>
    <w:rsid w:val="49F61560"/>
    <w:rsid w:val="4A08695A"/>
    <w:rsid w:val="4A196489"/>
    <w:rsid w:val="4A221BF2"/>
    <w:rsid w:val="4A7D0615"/>
    <w:rsid w:val="4A8611DD"/>
    <w:rsid w:val="4A8C3B2C"/>
    <w:rsid w:val="4AB419FB"/>
    <w:rsid w:val="4AB84F04"/>
    <w:rsid w:val="4AC0131F"/>
    <w:rsid w:val="4AD51DCD"/>
    <w:rsid w:val="4AD71F3B"/>
    <w:rsid w:val="4AF961FE"/>
    <w:rsid w:val="4B000527"/>
    <w:rsid w:val="4B224ECB"/>
    <w:rsid w:val="4B3814C1"/>
    <w:rsid w:val="4B4165CB"/>
    <w:rsid w:val="4B5845EF"/>
    <w:rsid w:val="4B642A7E"/>
    <w:rsid w:val="4BA34D26"/>
    <w:rsid w:val="4BAF514C"/>
    <w:rsid w:val="4BC80278"/>
    <w:rsid w:val="4BC87671"/>
    <w:rsid w:val="4BDB1054"/>
    <w:rsid w:val="4BE807F1"/>
    <w:rsid w:val="4BFB1C6D"/>
    <w:rsid w:val="4BFF0081"/>
    <w:rsid w:val="4C0D57DD"/>
    <w:rsid w:val="4C137740"/>
    <w:rsid w:val="4C364C04"/>
    <w:rsid w:val="4C3677AE"/>
    <w:rsid w:val="4C453E95"/>
    <w:rsid w:val="4C551FAD"/>
    <w:rsid w:val="4C615CCD"/>
    <w:rsid w:val="4C7C1BD6"/>
    <w:rsid w:val="4C854A9E"/>
    <w:rsid w:val="4CD40D75"/>
    <w:rsid w:val="4D134802"/>
    <w:rsid w:val="4D381B3A"/>
    <w:rsid w:val="4D493F80"/>
    <w:rsid w:val="4D4D22FD"/>
    <w:rsid w:val="4D610691"/>
    <w:rsid w:val="4D731EAB"/>
    <w:rsid w:val="4D7E2762"/>
    <w:rsid w:val="4DB20CFD"/>
    <w:rsid w:val="4DBC0D75"/>
    <w:rsid w:val="4DBF6329"/>
    <w:rsid w:val="4DCD0334"/>
    <w:rsid w:val="4DDC6385"/>
    <w:rsid w:val="4DED55D6"/>
    <w:rsid w:val="4DF141C1"/>
    <w:rsid w:val="4DF80B36"/>
    <w:rsid w:val="4E194E31"/>
    <w:rsid w:val="4E1C418B"/>
    <w:rsid w:val="4E1E04FA"/>
    <w:rsid w:val="4E234C39"/>
    <w:rsid w:val="4E2C0305"/>
    <w:rsid w:val="4E741CE3"/>
    <w:rsid w:val="4E7B32F4"/>
    <w:rsid w:val="4E862F0F"/>
    <w:rsid w:val="4E871FD5"/>
    <w:rsid w:val="4E9E7115"/>
    <w:rsid w:val="4ED26D74"/>
    <w:rsid w:val="4F10596C"/>
    <w:rsid w:val="4F2E6D37"/>
    <w:rsid w:val="4F657EBD"/>
    <w:rsid w:val="4F7F5470"/>
    <w:rsid w:val="4FC5633F"/>
    <w:rsid w:val="4FD815F5"/>
    <w:rsid w:val="4FDE0E69"/>
    <w:rsid w:val="4FED389A"/>
    <w:rsid w:val="50014BE0"/>
    <w:rsid w:val="50121FDC"/>
    <w:rsid w:val="50275E86"/>
    <w:rsid w:val="502D7A9C"/>
    <w:rsid w:val="50DC0030"/>
    <w:rsid w:val="50FC3381"/>
    <w:rsid w:val="510F337D"/>
    <w:rsid w:val="511407B1"/>
    <w:rsid w:val="512470A9"/>
    <w:rsid w:val="5144395B"/>
    <w:rsid w:val="51577296"/>
    <w:rsid w:val="515D2BF9"/>
    <w:rsid w:val="516A35F8"/>
    <w:rsid w:val="516E678E"/>
    <w:rsid w:val="517A753F"/>
    <w:rsid w:val="518D5E6B"/>
    <w:rsid w:val="51927A4C"/>
    <w:rsid w:val="519B72AC"/>
    <w:rsid w:val="51A06C6F"/>
    <w:rsid w:val="51D3447C"/>
    <w:rsid w:val="51D609A2"/>
    <w:rsid w:val="51F27A8F"/>
    <w:rsid w:val="52002170"/>
    <w:rsid w:val="52077A1D"/>
    <w:rsid w:val="520A0421"/>
    <w:rsid w:val="520A4F34"/>
    <w:rsid w:val="529A2798"/>
    <w:rsid w:val="529F1AF3"/>
    <w:rsid w:val="52A116FA"/>
    <w:rsid w:val="52AA6002"/>
    <w:rsid w:val="52B3554B"/>
    <w:rsid w:val="52B773DF"/>
    <w:rsid w:val="52C04276"/>
    <w:rsid w:val="52CC0A26"/>
    <w:rsid w:val="52F45F72"/>
    <w:rsid w:val="530E2837"/>
    <w:rsid w:val="531E0F9C"/>
    <w:rsid w:val="532A3A50"/>
    <w:rsid w:val="53333945"/>
    <w:rsid w:val="53364F42"/>
    <w:rsid w:val="53420702"/>
    <w:rsid w:val="534F49C5"/>
    <w:rsid w:val="53592275"/>
    <w:rsid w:val="536B488F"/>
    <w:rsid w:val="53813158"/>
    <w:rsid w:val="53825DC0"/>
    <w:rsid w:val="53840D7C"/>
    <w:rsid w:val="538E745D"/>
    <w:rsid w:val="538F0D01"/>
    <w:rsid w:val="539403B5"/>
    <w:rsid w:val="539C20B0"/>
    <w:rsid w:val="53A505CE"/>
    <w:rsid w:val="53B106A3"/>
    <w:rsid w:val="53C27530"/>
    <w:rsid w:val="53C43FC9"/>
    <w:rsid w:val="53E26680"/>
    <w:rsid w:val="53E9277A"/>
    <w:rsid w:val="53F50B9C"/>
    <w:rsid w:val="53F928B1"/>
    <w:rsid w:val="53FD32A8"/>
    <w:rsid w:val="5401139A"/>
    <w:rsid w:val="541D223B"/>
    <w:rsid w:val="54203989"/>
    <w:rsid w:val="543E35BD"/>
    <w:rsid w:val="54601C62"/>
    <w:rsid w:val="546400FD"/>
    <w:rsid w:val="54683D6F"/>
    <w:rsid w:val="548A70B6"/>
    <w:rsid w:val="54932506"/>
    <w:rsid w:val="54A36593"/>
    <w:rsid w:val="54B339EB"/>
    <w:rsid w:val="54E86C92"/>
    <w:rsid w:val="54EF2BF0"/>
    <w:rsid w:val="55094627"/>
    <w:rsid w:val="551B3CCA"/>
    <w:rsid w:val="553228C8"/>
    <w:rsid w:val="554D40AF"/>
    <w:rsid w:val="554E0D30"/>
    <w:rsid w:val="55540D77"/>
    <w:rsid w:val="5583198C"/>
    <w:rsid w:val="55904A7F"/>
    <w:rsid w:val="559B4B26"/>
    <w:rsid w:val="55A613D3"/>
    <w:rsid w:val="55B536F0"/>
    <w:rsid w:val="55CC166D"/>
    <w:rsid w:val="56015EAF"/>
    <w:rsid w:val="561C57AB"/>
    <w:rsid w:val="5664127E"/>
    <w:rsid w:val="56686F2E"/>
    <w:rsid w:val="56871662"/>
    <w:rsid w:val="56890E23"/>
    <w:rsid w:val="56AA4FCF"/>
    <w:rsid w:val="56B1262A"/>
    <w:rsid w:val="56B157E5"/>
    <w:rsid w:val="56B77AA8"/>
    <w:rsid w:val="56D41DA5"/>
    <w:rsid w:val="56F919FF"/>
    <w:rsid w:val="570D3B0D"/>
    <w:rsid w:val="571C2577"/>
    <w:rsid w:val="571F6407"/>
    <w:rsid w:val="5730512C"/>
    <w:rsid w:val="575C7A1E"/>
    <w:rsid w:val="5766501E"/>
    <w:rsid w:val="577918B8"/>
    <w:rsid w:val="57A12807"/>
    <w:rsid w:val="57AA386C"/>
    <w:rsid w:val="581B07B0"/>
    <w:rsid w:val="58384E49"/>
    <w:rsid w:val="583B614D"/>
    <w:rsid w:val="58414468"/>
    <w:rsid w:val="58664439"/>
    <w:rsid w:val="586D415F"/>
    <w:rsid w:val="588A4D20"/>
    <w:rsid w:val="588A6B5E"/>
    <w:rsid w:val="58B356D2"/>
    <w:rsid w:val="58C80329"/>
    <w:rsid w:val="58DB1E03"/>
    <w:rsid w:val="590D7ACB"/>
    <w:rsid w:val="592734AF"/>
    <w:rsid w:val="592F126C"/>
    <w:rsid w:val="594D34C0"/>
    <w:rsid w:val="59584A8D"/>
    <w:rsid w:val="595E27CE"/>
    <w:rsid w:val="59611BE3"/>
    <w:rsid w:val="59651341"/>
    <w:rsid w:val="596E7884"/>
    <w:rsid w:val="597E49FE"/>
    <w:rsid w:val="59841C68"/>
    <w:rsid w:val="59BA488B"/>
    <w:rsid w:val="59BE4B25"/>
    <w:rsid w:val="59C81D32"/>
    <w:rsid w:val="59E61B83"/>
    <w:rsid w:val="5A0E7818"/>
    <w:rsid w:val="5A1A05E4"/>
    <w:rsid w:val="5A1B2A8D"/>
    <w:rsid w:val="5A202F4A"/>
    <w:rsid w:val="5A3E3CD2"/>
    <w:rsid w:val="5A932F15"/>
    <w:rsid w:val="5A9850BC"/>
    <w:rsid w:val="5A9B5115"/>
    <w:rsid w:val="5AB62631"/>
    <w:rsid w:val="5AC10AA0"/>
    <w:rsid w:val="5ADB258A"/>
    <w:rsid w:val="5AE04EF3"/>
    <w:rsid w:val="5B182691"/>
    <w:rsid w:val="5B3E5EF5"/>
    <w:rsid w:val="5B703493"/>
    <w:rsid w:val="5B72217B"/>
    <w:rsid w:val="5B7E7B17"/>
    <w:rsid w:val="5B8A7FC1"/>
    <w:rsid w:val="5B9D76F5"/>
    <w:rsid w:val="5BA91B5A"/>
    <w:rsid w:val="5BBA55DA"/>
    <w:rsid w:val="5BD24126"/>
    <w:rsid w:val="5BED23D8"/>
    <w:rsid w:val="5BF7264F"/>
    <w:rsid w:val="5BF96948"/>
    <w:rsid w:val="5C1A1C79"/>
    <w:rsid w:val="5C1B2495"/>
    <w:rsid w:val="5C24365F"/>
    <w:rsid w:val="5C252390"/>
    <w:rsid w:val="5C267585"/>
    <w:rsid w:val="5C392B9F"/>
    <w:rsid w:val="5C5F041D"/>
    <w:rsid w:val="5C684C65"/>
    <w:rsid w:val="5C877092"/>
    <w:rsid w:val="5CA04CC9"/>
    <w:rsid w:val="5CA47E33"/>
    <w:rsid w:val="5CAB40C4"/>
    <w:rsid w:val="5CB723EA"/>
    <w:rsid w:val="5CDD5A24"/>
    <w:rsid w:val="5CF274AA"/>
    <w:rsid w:val="5CF84584"/>
    <w:rsid w:val="5CFA11D6"/>
    <w:rsid w:val="5D145D4B"/>
    <w:rsid w:val="5D2675F0"/>
    <w:rsid w:val="5D293816"/>
    <w:rsid w:val="5D2E0014"/>
    <w:rsid w:val="5D3F368B"/>
    <w:rsid w:val="5D48249A"/>
    <w:rsid w:val="5D671D85"/>
    <w:rsid w:val="5D9702C9"/>
    <w:rsid w:val="5DAA45FC"/>
    <w:rsid w:val="5DBD7A6B"/>
    <w:rsid w:val="5DD145FE"/>
    <w:rsid w:val="5E001848"/>
    <w:rsid w:val="5E105BFF"/>
    <w:rsid w:val="5E3C41CD"/>
    <w:rsid w:val="5E4749BC"/>
    <w:rsid w:val="5E486B0C"/>
    <w:rsid w:val="5E6A7F4A"/>
    <w:rsid w:val="5E6C783E"/>
    <w:rsid w:val="5E7E2484"/>
    <w:rsid w:val="5E964785"/>
    <w:rsid w:val="5EBB09C7"/>
    <w:rsid w:val="5F024E2E"/>
    <w:rsid w:val="5F24003E"/>
    <w:rsid w:val="5F3D57A1"/>
    <w:rsid w:val="5F4D18F7"/>
    <w:rsid w:val="5F517227"/>
    <w:rsid w:val="5F5C0D3F"/>
    <w:rsid w:val="5F60608B"/>
    <w:rsid w:val="5FCA4691"/>
    <w:rsid w:val="5FCA512F"/>
    <w:rsid w:val="5FF01FD7"/>
    <w:rsid w:val="5FF7C258"/>
    <w:rsid w:val="60065292"/>
    <w:rsid w:val="60320EB8"/>
    <w:rsid w:val="604B67CF"/>
    <w:rsid w:val="60583841"/>
    <w:rsid w:val="6085129C"/>
    <w:rsid w:val="608C73A5"/>
    <w:rsid w:val="60A75B08"/>
    <w:rsid w:val="60AE13BA"/>
    <w:rsid w:val="60C628E5"/>
    <w:rsid w:val="60D7419D"/>
    <w:rsid w:val="60D96503"/>
    <w:rsid w:val="60DD68FE"/>
    <w:rsid w:val="60E806EB"/>
    <w:rsid w:val="6107422D"/>
    <w:rsid w:val="614E34B2"/>
    <w:rsid w:val="61532759"/>
    <w:rsid w:val="615C160D"/>
    <w:rsid w:val="6175023F"/>
    <w:rsid w:val="61A002AF"/>
    <w:rsid w:val="61A1623C"/>
    <w:rsid w:val="61B4561B"/>
    <w:rsid w:val="61E5600C"/>
    <w:rsid w:val="61F23DDC"/>
    <w:rsid w:val="621F06B4"/>
    <w:rsid w:val="62331A35"/>
    <w:rsid w:val="62432444"/>
    <w:rsid w:val="626C0427"/>
    <w:rsid w:val="627C6E0F"/>
    <w:rsid w:val="62C765F0"/>
    <w:rsid w:val="62CB7A53"/>
    <w:rsid w:val="62D54A06"/>
    <w:rsid w:val="630E4B89"/>
    <w:rsid w:val="631306B6"/>
    <w:rsid w:val="634268C5"/>
    <w:rsid w:val="63542037"/>
    <w:rsid w:val="635D6682"/>
    <w:rsid w:val="63644590"/>
    <w:rsid w:val="636649C5"/>
    <w:rsid w:val="63952490"/>
    <w:rsid w:val="63D11253"/>
    <w:rsid w:val="63DA2F98"/>
    <w:rsid w:val="63E02459"/>
    <w:rsid w:val="641B207E"/>
    <w:rsid w:val="6427465A"/>
    <w:rsid w:val="642F4B97"/>
    <w:rsid w:val="645111D2"/>
    <w:rsid w:val="64767FF2"/>
    <w:rsid w:val="647A0E40"/>
    <w:rsid w:val="64814AA6"/>
    <w:rsid w:val="64AC3687"/>
    <w:rsid w:val="64C24D3B"/>
    <w:rsid w:val="64DC5763"/>
    <w:rsid w:val="6508670D"/>
    <w:rsid w:val="65235E30"/>
    <w:rsid w:val="654E6551"/>
    <w:rsid w:val="6556411D"/>
    <w:rsid w:val="657F39F2"/>
    <w:rsid w:val="65AB5887"/>
    <w:rsid w:val="65B61BFA"/>
    <w:rsid w:val="65C85707"/>
    <w:rsid w:val="65E071B5"/>
    <w:rsid w:val="65E25AB3"/>
    <w:rsid w:val="65F41D7A"/>
    <w:rsid w:val="66162A39"/>
    <w:rsid w:val="662B3519"/>
    <w:rsid w:val="662B55A2"/>
    <w:rsid w:val="66314B61"/>
    <w:rsid w:val="66422142"/>
    <w:rsid w:val="6643137C"/>
    <w:rsid w:val="66446882"/>
    <w:rsid w:val="664E0427"/>
    <w:rsid w:val="66622F08"/>
    <w:rsid w:val="66635BD4"/>
    <w:rsid w:val="667118DB"/>
    <w:rsid w:val="668D5CD1"/>
    <w:rsid w:val="669034AC"/>
    <w:rsid w:val="669310A0"/>
    <w:rsid w:val="6696780D"/>
    <w:rsid w:val="66A817DB"/>
    <w:rsid w:val="66AC0B47"/>
    <w:rsid w:val="66B91CC7"/>
    <w:rsid w:val="66C82C7E"/>
    <w:rsid w:val="66D46517"/>
    <w:rsid w:val="66D47276"/>
    <w:rsid w:val="66D576AA"/>
    <w:rsid w:val="66DF1A43"/>
    <w:rsid w:val="67002DFD"/>
    <w:rsid w:val="670F017B"/>
    <w:rsid w:val="671C189C"/>
    <w:rsid w:val="67385AD4"/>
    <w:rsid w:val="6747066A"/>
    <w:rsid w:val="67472418"/>
    <w:rsid w:val="67581621"/>
    <w:rsid w:val="675D15A7"/>
    <w:rsid w:val="675E1D44"/>
    <w:rsid w:val="676B7859"/>
    <w:rsid w:val="678B10D5"/>
    <w:rsid w:val="678C2DCC"/>
    <w:rsid w:val="679316EE"/>
    <w:rsid w:val="67BF5442"/>
    <w:rsid w:val="67E90166"/>
    <w:rsid w:val="67F1496E"/>
    <w:rsid w:val="680470AC"/>
    <w:rsid w:val="68206FC0"/>
    <w:rsid w:val="68285FAF"/>
    <w:rsid w:val="684762FB"/>
    <w:rsid w:val="68513837"/>
    <w:rsid w:val="685B0CB0"/>
    <w:rsid w:val="686306F5"/>
    <w:rsid w:val="686B482C"/>
    <w:rsid w:val="688E5725"/>
    <w:rsid w:val="688E7DB7"/>
    <w:rsid w:val="688F7A46"/>
    <w:rsid w:val="689478DF"/>
    <w:rsid w:val="690C3800"/>
    <w:rsid w:val="69174A44"/>
    <w:rsid w:val="69266C2B"/>
    <w:rsid w:val="69303049"/>
    <w:rsid w:val="693945FB"/>
    <w:rsid w:val="694F745E"/>
    <w:rsid w:val="69532285"/>
    <w:rsid w:val="695E5E63"/>
    <w:rsid w:val="696368A1"/>
    <w:rsid w:val="697219BE"/>
    <w:rsid w:val="697D757C"/>
    <w:rsid w:val="69822ED3"/>
    <w:rsid w:val="69897A61"/>
    <w:rsid w:val="6997533A"/>
    <w:rsid w:val="699E3B67"/>
    <w:rsid w:val="69A0162A"/>
    <w:rsid w:val="69A71186"/>
    <w:rsid w:val="69C45B2C"/>
    <w:rsid w:val="69D857FA"/>
    <w:rsid w:val="69F477A1"/>
    <w:rsid w:val="69FB41EB"/>
    <w:rsid w:val="6A140C87"/>
    <w:rsid w:val="6A22454C"/>
    <w:rsid w:val="6A6B14BB"/>
    <w:rsid w:val="6A7D6389"/>
    <w:rsid w:val="6A8A46FA"/>
    <w:rsid w:val="6AB34388"/>
    <w:rsid w:val="6AE23F6A"/>
    <w:rsid w:val="6AFF611E"/>
    <w:rsid w:val="6B0F6258"/>
    <w:rsid w:val="6B1B7E43"/>
    <w:rsid w:val="6B2834CE"/>
    <w:rsid w:val="6B4849B1"/>
    <w:rsid w:val="6B554F8C"/>
    <w:rsid w:val="6B60619E"/>
    <w:rsid w:val="6B7433C7"/>
    <w:rsid w:val="6B7D0AFE"/>
    <w:rsid w:val="6B951B5E"/>
    <w:rsid w:val="6BAA50C4"/>
    <w:rsid w:val="6BB037FF"/>
    <w:rsid w:val="6BC978FA"/>
    <w:rsid w:val="6BD37CA5"/>
    <w:rsid w:val="6BDC5261"/>
    <w:rsid w:val="6BF24995"/>
    <w:rsid w:val="6BFE110F"/>
    <w:rsid w:val="6C1E725E"/>
    <w:rsid w:val="6C336D23"/>
    <w:rsid w:val="6C4E1180"/>
    <w:rsid w:val="6C663167"/>
    <w:rsid w:val="6C8A401C"/>
    <w:rsid w:val="6CB533EF"/>
    <w:rsid w:val="6CB8265B"/>
    <w:rsid w:val="6CE45A7E"/>
    <w:rsid w:val="6CE8644B"/>
    <w:rsid w:val="6CF27FCE"/>
    <w:rsid w:val="6D017155"/>
    <w:rsid w:val="6D031EB1"/>
    <w:rsid w:val="6D4850DF"/>
    <w:rsid w:val="6D4E5C29"/>
    <w:rsid w:val="6D5923FD"/>
    <w:rsid w:val="6D5C41CC"/>
    <w:rsid w:val="6D603725"/>
    <w:rsid w:val="6D6868F1"/>
    <w:rsid w:val="6D82352B"/>
    <w:rsid w:val="6D8C0069"/>
    <w:rsid w:val="6D940404"/>
    <w:rsid w:val="6D9A0236"/>
    <w:rsid w:val="6D9B526C"/>
    <w:rsid w:val="6DB35DFE"/>
    <w:rsid w:val="6DB743BB"/>
    <w:rsid w:val="6DC10944"/>
    <w:rsid w:val="6DD0086D"/>
    <w:rsid w:val="6DE426CD"/>
    <w:rsid w:val="6E190D84"/>
    <w:rsid w:val="6E201E10"/>
    <w:rsid w:val="6E3A3A49"/>
    <w:rsid w:val="6E3A6A04"/>
    <w:rsid w:val="6E477A10"/>
    <w:rsid w:val="6E59511A"/>
    <w:rsid w:val="6E6F65EF"/>
    <w:rsid w:val="6E8F5B5F"/>
    <w:rsid w:val="6EBFCF4E"/>
    <w:rsid w:val="6ECD5FC3"/>
    <w:rsid w:val="6EE10CA7"/>
    <w:rsid w:val="6EEB41F7"/>
    <w:rsid w:val="6F0752EE"/>
    <w:rsid w:val="6F125223"/>
    <w:rsid w:val="6F28470A"/>
    <w:rsid w:val="6F517E26"/>
    <w:rsid w:val="6F5667C9"/>
    <w:rsid w:val="6F6049BF"/>
    <w:rsid w:val="6F6D65FB"/>
    <w:rsid w:val="6F7448F8"/>
    <w:rsid w:val="6F7D0E1C"/>
    <w:rsid w:val="6F86264C"/>
    <w:rsid w:val="6F880DA1"/>
    <w:rsid w:val="6F8F6EA7"/>
    <w:rsid w:val="6FCC5F66"/>
    <w:rsid w:val="701051AB"/>
    <w:rsid w:val="70250D14"/>
    <w:rsid w:val="7042071F"/>
    <w:rsid w:val="7051050E"/>
    <w:rsid w:val="706439FA"/>
    <w:rsid w:val="706E36B4"/>
    <w:rsid w:val="708E3BF2"/>
    <w:rsid w:val="70977F45"/>
    <w:rsid w:val="70A66401"/>
    <w:rsid w:val="70AC33A5"/>
    <w:rsid w:val="70B45418"/>
    <w:rsid w:val="70BD38EE"/>
    <w:rsid w:val="70CE0E8B"/>
    <w:rsid w:val="70D237FF"/>
    <w:rsid w:val="71145A61"/>
    <w:rsid w:val="711772FF"/>
    <w:rsid w:val="714624EA"/>
    <w:rsid w:val="71610045"/>
    <w:rsid w:val="716A4AB5"/>
    <w:rsid w:val="716C4F88"/>
    <w:rsid w:val="7174145B"/>
    <w:rsid w:val="71E6378B"/>
    <w:rsid w:val="71EC1374"/>
    <w:rsid w:val="71F51ED5"/>
    <w:rsid w:val="71FD7DE9"/>
    <w:rsid w:val="72943779"/>
    <w:rsid w:val="729B6B77"/>
    <w:rsid w:val="72A04995"/>
    <w:rsid w:val="72A84C83"/>
    <w:rsid w:val="72CD3864"/>
    <w:rsid w:val="72CF06A5"/>
    <w:rsid w:val="72FF6D3D"/>
    <w:rsid w:val="731F3F65"/>
    <w:rsid w:val="733F0D8F"/>
    <w:rsid w:val="7356415B"/>
    <w:rsid w:val="7386042F"/>
    <w:rsid w:val="73892B5F"/>
    <w:rsid w:val="73A4056F"/>
    <w:rsid w:val="73B67344"/>
    <w:rsid w:val="73C84FEA"/>
    <w:rsid w:val="73D74388"/>
    <w:rsid w:val="73FFFDAC"/>
    <w:rsid w:val="74075D5D"/>
    <w:rsid w:val="744D2369"/>
    <w:rsid w:val="747B36E0"/>
    <w:rsid w:val="749A7237"/>
    <w:rsid w:val="74A07574"/>
    <w:rsid w:val="74A87D1C"/>
    <w:rsid w:val="74B052DF"/>
    <w:rsid w:val="74BA19C6"/>
    <w:rsid w:val="74C52CCA"/>
    <w:rsid w:val="74E2789E"/>
    <w:rsid w:val="74EC633D"/>
    <w:rsid w:val="74F53105"/>
    <w:rsid w:val="750D289A"/>
    <w:rsid w:val="750D6C50"/>
    <w:rsid w:val="755C6C79"/>
    <w:rsid w:val="756224FB"/>
    <w:rsid w:val="757A7427"/>
    <w:rsid w:val="759031C0"/>
    <w:rsid w:val="7592413B"/>
    <w:rsid w:val="759727BC"/>
    <w:rsid w:val="75A51FEF"/>
    <w:rsid w:val="75B70FAB"/>
    <w:rsid w:val="75BC0107"/>
    <w:rsid w:val="75C03482"/>
    <w:rsid w:val="75D578C6"/>
    <w:rsid w:val="76160A03"/>
    <w:rsid w:val="761E4009"/>
    <w:rsid w:val="761F6DB1"/>
    <w:rsid w:val="76606874"/>
    <w:rsid w:val="76663547"/>
    <w:rsid w:val="769978B0"/>
    <w:rsid w:val="769D592D"/>
    <w:rsid w:val="76A52D81"/>
    <w:rsid w:val="76B11366"/>
    <w:rsid w:val="76B2050C"/>
    <w:rsid w:val="76B66AA7"/>
    <w:rsid w:val="76C80824"/>
    <w:rsid w:val="76F57CD2"/>
    <w:rsid w:val="771D56C3"/>
    <w:rsid w:val="77214BCF"/>
    <w:rsid w:val="7736385A"/>
    <w:rsid w:val="774039A4"/>
    <w:rsid w:val="776804DD"/>
    <w:rsid w:val="776935AB"/>
    <w:rsid w:val="77AA038D"/>
    <w:rsid w:val="77C31EC3"/>
    <w:rsid w:val="77DC095A"/>
    <w:rsid w:val="77DC2D3E"/>
    <w:rsid w:val="77EE69B1"/>
    <w:rsid w:val="782F6DDE"/>
    <w:rsid w:val="784E18E7"/>
    <w:rsid w:val="78981BAF"/>
    <w:rsid w:val="78DC4459"/>
    <w:rsid w:val="78EB3898"/>
    <w:rsid w:val="78F22A6E"/>
    <w:rsid w:val="78F230D6"/>
    <w:rsid w:val="7902162C"/>
    <w:rsid w:val="79057546"/>
    <w:rsid w:val="79076B05"/>
    <w:rsid w:val="790E274D"/>
    <w:rsid w:val="7915517F"/>
    <w:rsid w:val="792F0538"/>
    <w:rsid w:val="793D6819"/>
    <w:rsid w:val="79574790"/>
    <w:rsid w:val="7970405A"/>
    <w:rsid w:val="79A66969"/>
    <w:rsid w:val="79B90AF1"/>
    <w:rsid w:val="79C41350"/>
    <w:rsid w:val="79D17DCC"/>
    <w:rsid w:val="79DC1438"/>
    <w:rsid w:val="79E57740"/>
    <w:rsid w:val="79E82B4B"/>
    <w:rsid w:val="79EC02F9"/>
    <w:rsid w:val="79ED2C23"/>
    <w:rsid w:val="79F16451"/>
    <w:rsid w:val="79FC1788"/>
    <w:rsid w:val="7A044605"/>
    <w:rsid w:val="7A28432B"/>
    <w:rsid w:val="7A2A00A3"/>
    <w:rsid w:val="7A3B2688"/>
    <w:rsid w:val="7A422418"/>
    <w:rsid w:val="7A6155B6"/>
    <w:rsid w:val="7A687DE1"/>
    <w:rsid w:val="7A7525C7"/>
    <w:rsid w:val="7A7FFD43"/>
    <w:rsid w:val="7A842082"/>
    <w:rsid w:val="7A865396"/>
    <w:rsid w:val="7A8732AF"/>
    <w:rsid w:val="7A8E291E"/>
    <w:rsid w:val="7A912D8C"/>
    <w:rsid w:val="7AB67D2B"/>
    <w:rsid w:val="7AB87EF4"/>
    <w:rsid w:val="7ACE2391"/>
    <w:rsid w:val="7ADA1261"/>
    <w:rsid w:val="7B102B4C"/>
    <w:rsid w:val="7B116306"/>
    <w:rsid w:val="7B601180"/>
    <w:rsid w:val="7B6A14CB"/>
    <w:rsid w:val="7B6F7FF4"/>
    <w:rsid w:val="7B7247F0"/>
    <w:rsid w:val="7B8E166D"/>
    <w:rsid w:val="7BB204D9"/>
    <w:rsid w:val="7BCF721C"/>
    <w:rsid w:val="7BE60150"/>
    <w:rsid w:val="7C1079EA"/>
    <w:rsid w:val="7C2460D5"/>
    <w:rsid w:val="7C576F58"/>
    <w:rsid w:val="7C5A05B1"/>
    <w:rsid w:val="7C6B7F7C"/>
    <w:rsid w:val="7C7670E1"/>
    <w:rsid w:val="7C8C3D70"/>
    <w:rsid w:val="7C8E3CEE"/>
    <w:rsid w:val="7C9021D1"/>
    <w:rsid w:val="7CA478AB"/>
    <w:rsid w:val="7CAD6AB6"/>
    <w:rsid w:val="7CD97B5E"/>
    <w:rsid w:val="7CDE2E78"/>
    <w:rsid w:val="7CEA1CF4"/>
    <w:rsid w:val="7CEE7B75"/>
    <w:rsid w:val="7CF5018A"/>
    <w:rsid w:val="7D1404BF"/>
    <w:rsid w:val="7D344237"/>
    <w:rsid w:val="7D3D13E8"/>
    <w:rsid w:val="7D4C24A3"/>
    <w:rsid w:val="7D536B47"/>
    <w:rsid w:val="7D721751"/>
    <w:rsid w:val="7D7549AC"/>
    <w:rsid w:val="7D823A4A"/>
    <w:rsid w:val="7D836860"/>
    <w:rsid w:val="7D9D7E4D"/>
    <w:rsid w:val="7D9F23AA"/>
    <w:rsid w:val="7DA8698A"/>
    <w:rsid w:val="7DD96A0B"/>
    <w:rsid w:val="7DE0115F"/>
    <w:rsid w:val="7DE247F1"/>
    <w:rsid w:val="7DE715E6"/>
    <w:rsid w:val="7DFD2BAB"/>
    <w:rsid w:val="7E0F3EE5"/>
    <w:rsid w:val="7E0F7A3A"/>
    <w:rsid w:val="7E255BC8"/>
    <w:rsid w:val="7E274EF9"/>
    <w:rsid w:val="7E342CA5"/>
    <w:rsid w:val="7E4B368A"/>
    <w:rsid w:val="7E5C5F70"/>
    <w:rsid w:val="7E5F6F83"/>
    <w:rsid w:val="7EC12A17"/>
    <w:rsid w:val="7EDE0821"/>
    <w:rsid w:val="7F0E093D"/>
    <w:rsid w:val="7F1A6809"/>
    <w:rsid w:val="7F38019C"/>
    <w:rsid w:val="7F4F5C6E"/>
    <w:rsid w:val="7F567652"/>
    <w:rsid w:val="7F6A7D6D"/>
    <w:rsid w:val="7F7D276B"/>
    <w:rsid w:val="7F895B20"/>
    <w:rsid w:val="7F8D74E3"/>
    <w:rsid w:val="7F9A2531"/>
    <w:rsid w:val="7FB42742"/>
    <w:rsid w:val="7FCD125C"/>
    <w:rsid w:val="7FD178FA"/>
    <w:rsid w:val="7FD7670D"/>
    <w:rsid w:val="7FEF0F58"/>
    <w:rsid w:val="7FFF2149"/>
    <w:rsid w:val="9FFF7F4D"/>
    <w:rsid w:val="D434875C"/>
    <w:rsid w:val="EEFD248E"/>
    <w:rsid w:val="EFFD7437"/>
    <w:rsid w:val="F7F54951"/>
    <w:rsid w:val="FE9B1547"/>
    <w:rsid w:val="FFFEE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line="576" w:lineRule="auto"/>
      <w:outlineLvl w:val="0"/>
    </w:pPr>
    <w:rPr>
      <w:b/>
      <w:kern w:val="44"/>
      <w:sz w:val="32"/>
    </w:rPr>
  </w:style>
  <w:style w:type="paragraph" w:styleId="3">
    <w:name w:val="heading 2"/>
    <w:basedOn w:val="1"/>
    <w:next w:val="1"/>
    <w:link w:val="35"/>
    <w:qFormat/>
    <w:uiPriority w:val="0"/>
    <w:pPr>
      <w:keepNext/>
      <w:keepLines/>
      <w:spacing w:line="600" w:lineRule="exact"/>
      <w:jc w:val="center"/>
      <w:outlineLvl w:val="1"/>
    </w:pPr>
    <w:rPr>
      <w:rFonts w:ascii="Cambria" w:hAnsi="Cambria"/>
      <w:b/>
      <w:bCs/>
      <w:sz w:val="28"/>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5"/>
    <w:qFormat/>
    <w:uiPriority w:val="0"/>
    <w:rPr>
      <w:rFonts w:ascii="宋体"/>
      <w:sz w:val="18"/>
      <w:szCs w:val="18"/>
    </w:rPr>
  </w:style>
  <w:style w:type="paragraph" w:styleId="7">
    <w:name w:val="annotation text"/>
    <w:basedOn w:val="1"/>
    <w:link w:val="32"/>
    <w:qFormat/>
    <w:uiPriority w:val="0"/>
    <w:pPr>
      <w:jc w:val="left"/>
    </w:pPr>
  </w:style>
  <w:style w:type="paragraph" w:styleId="8">
    <w:name w:val="Body Text"/>
    <w:basedOn w:val="1"/>
    <w:next w:val="1"/>
    <w:qFormat/>
    <w:uiPriority w:val="0"/>
    <w:pPr>
      <w:widowControl/>
      <w:spacing w:line="360" w:lineRule="auto"/>
    </w:pPr>
    <w:rPr>
      <w:color w:val="FF0000"/>
    </w:rPr>
  </w:style>
  <w:style w:type="paragraph" w:styleId="9">
    <w:name w:val="Body Text Indent"/>
    <w:basedOn w:val="1"/>
    <w:next w:val="10"/>
    <w:link w:val="47"/>
    <w:qFormat/>
    <w:uiPriority w:val="0"/>
    <w:pPr>
      <w:ind w:left="-170" w:hanging="170"/>
      <w:jc w:val="center"/>
    </w:pPr>
    <w:rPr>
      <w:b/>
      <w:sz w:val="52"/>
      <w:szCs w:val="20"/>
    </w:rPr>
  </w:style>
  <w:style w:type="paragraph" w:styleId="10">
    <w:name w:val="Body Text First Indent 2"/>
    <w:basedOn w:val="9"/>
    <w:link w:val="48"/>
    <w:unhideWhenUsed/>
    <w:qFormat/>
    <w:uiPriority w:val="99"/>
    <w:pPr>
      <w:ind w:firstLine="420" w:firstLineChars="200"/>
    </w:pPr>
  </w:style>
  <w:style w:type="paragraph" w:styleId="11">
    <w:name w:val="Plain Text"/>
    <w:basedOn w:val="1"/>
    <w:link w:val="44"/>
    <w:unhideWhenUsed/>
    <w:qFormat/>
    <w:uiPriority w:val="0"/>
    <w:rPr>
      <w:rFonts w:ascii="宋体" w:hAnsi="Courier New"/>
      <w:szCs w:val="21"/>
    </w:rPr>
  </w:style>
  <w:style w:type="paragraph" w:styleId="12">
    <w:name w:val="Date"/>
    <w:basedOn w:val="1"/>
    <w:next w:val="1"/>
    <w:qFormat/>
    <w:uiPriority w:val="0"/>
    <w:rPr>
      <w:sz w:val="28"/>
      <w:szCs w:val="20"/>
    </w:rPr>
  </w:style>
  <w:style w:type="paragraph" w:styleId="13">
    <w:name w:val="Balloon Text"/>
    <w:basedOn w:val="1"/>
    <w:link w:val="34"/>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next w:val="20"/>
    <w:qFormat/>
    <w:uiPriority w:val="0"/>
    <w:pPr>
      <w:spacing w:before="100" w:beforeAutospacing="1" w:after="100" w:afterAutospacing="1"/>
      <w:jc w:val="left"/>
    </w:pPr>
    <w:rPr>
      <w:kern w:val="0"/>
      <w:sz w:val="24"/>
    </w:rPr>
  </w:style>
  <w:style w:type="paragraph" w:customStyle="1" w:styleId="20">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21">
    <w:name w:val="Title"/>
    <w:basedOn w:val="1"/>
    <w:next w:val="1"/>
    <w:qFormat/>
    <w:uiPriority w:val="99"/>
    <w:pPr>
      <w:jc w:val="center"/>
      <w:outlineLvl w:val="0"/>
    </w:pPr>
    <w:rPr>
      <w:rFonts w:ascii="Arial" w:hAnsi="Arial" w:cs="Arial"/>
      <w:b/>
      <w:bCs/>
      <w:sz w:val="32"/>
      <w:szCs w:val="32"/>
    </w:rPr>
  </w:style>
  <w:style w:type="paragraph" w:styleId="22">
    <w:name w:val="annotation subject"/>
    <w:basedOn w:val="7"/>
    <w:next w:val="7"/>
    <w:link w:val="36"/>
    <w:qFormat/>
    <w:uiPriority w:val="0"/>
    <w:rPr>
      <w:b/>
      <w:bCs/>
    </w:rPr>
  </w:style>
  <w:style w:type="paragraph" w:styleId="23">
    <w:name w:val="Body Text First Indent"/>
    <w:basedOn w:val="8"/>
    <w:qFormat/>
    <w:uiPriority w:val="0"/>
    <w:pPr>
      <w:ind w:firstLine="420"/>
    </w:pPr>
    <w:rPr>
      <w:rFonts w:ascii="宋体" w:hAnsi="宋体"/>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character" w:customStyle="1" w:styleId="32">
    <w:name w:val="批注文字 Char"/>
    <w:basedOn w:val="26"/>
    <w:link w:val="7"/>
    <w:qFormat/>
    <w:uiPriority w:val="0"/>
    <w:rPr>
      <w:rFonts w:ascii="Calibri" w:hAnsi="Calibri"/>
      <w:kern w:val="2"/>
      <w:sz w:val="21"/>
      <w:szCs w:val="24"/>
    </w:rPr>
  </w:style>
  <w:style w:type="character" w:customStyle="1" w:styleId="33">
    <w:name w:val="页脚 Char"/>
    <w:basedOn w:val="26"/>
    <w:link w:val="14"/>
    <w:qFormat/>
    <w:uiPriority w:val="99"/>
    <w:rPr>
      <w:rFonts w:ascii="Calibri" w:hAnsi="Calibri"/>
      <w:kern w:val="2"/>
      <w:sz w:val="18"/>
      <w:szCs w:val="24"/>
    </w:rPr>
  </w:style>
  <w:style w:type="character" w:customStyle="1" w:styleId="34">
    <w:name w:val="批注框文本 Char"/>
    <w:basedOn w:val="26"/>
    <w:link w:val="13"/>
    <w:qFormat/>
    <w:uiPriority w:val="0"/>
    <w:rPr>
      <w:rFonts w:ascii="Calibri" w:hAnsi="Calibri"/>
      <w:kern w:val="2"/>
      <w:sz w:val="18"/>
      <w:szCs w:val="18"/>
    </w:rPr>
  </w:style>
  <w:style w:type="character" w:customStyle="1" w:styleId="35">
    <w:name w:val="标题 2 Char"/>
    <w:basedOn w:val="26"/>
    <w:link w:val="3"/>
    <w:qFormat/>
    <w:uiPriority w:val="0"/>
    <w:rPr>
      <w:rFonts w:ascii="Cambria" w:hAnsi="Cambria" w:eastAsia="宋体" w:cs="Times New Roman"/>
      <w:b/>
      <w:bCs/>
      <w:kern w:val="2"/>
      <w:sz w:val="28"/>
      <w:szCs w:val="32"/>
    </w:rPr>
  </w:style>
  <w:style w:type="character" w:customStyle="1" w:styleId="36">
    <w:name w:val="批注主题 Char"/>
    <w:basedOn w:val="32"/>
    <w:link w:val="22"/>
    <w:qFormat/>
    <w:uiPriority w:val="0"/>
    <w:rPr>
      <w:rFonts w:ascii="Calibri" w:hAnsi="Calibri"/>
      <w:kern w:val="2"/>
      <w:sz w:val="21"/>
      <w:szCs w:val="24"/>
    </w:rPr>
  </w:style>
  <w:style w:type="paragraph" w:customStyle="1" w:styleId="37">
    <w:name w:val="p0"/>
    <w:basedOn w:val="1"/>
    <w:qFormat/>
    <w:uiPriority w:val="0"/>
    <w:rPr>
      <w:szCs w:val="21"/>
    </w:rPr>
  </w:style>
  <w:style w:type="paragraph" w:customStyle="1" w:styleId="38">
    <w:name w:val="样式3"/>
    <w:basedOn w:val="11"/>
    <w:qFormat/>
    <w:uiPriority w:val="99"/>
    <w:pPr>
      <w:spacing w:line="240" w:lineRule="atLeast"/>
      <w:outlineLvl w:val="0"/>
    </w:pPr>
    <w:rPr>
      <w:rFonts w:cs="宋体"/>
      <w:sz w:val="28"/>
      <w:szCs w:val="28"/>
    </w:rPr>
  </w:style>
  <w:style w:type="paragraph" w:customStyle="1" w:styleId="39">
    <w:name w:val="列出段落1"/>
    <w:basedOn w:val="1"/>
    <w:qFormat/>
    <w:uiPriority w:val="34"/>
    <w:pPr>
      <w:ind w:firstLine="420" w:firstLineChars="200"/>
    </w:pPr>
    <w:rPr>
      <w:rFonts w:ascii="Times New Roman" w:hAnsi="Times New Roman"/>
    </w:rPr>
  </w:style>
  <w:style w:type="paragraph" w:customStyle="1" w:styleId="40">
    <w:name w:val="样式4"/>
    <w:basedOn w:val="1"/>
    <w:qFormat/>
    <w:uiPriority w:val="0"/>
    <w:pPr>
      <w:numPr>
        <w:ilvl w:val="0"/>
        <w:numId w:val="1"/>
      </w:numPr>
    </w:pPr>
  </w:style>
  <w:style w:type="paragraph" w:customStyle="1" w:styleId="41">
    <w:name w:val="List Paragraph1"/>
    <w:basedOn w:val="1"/>
    <w:qFormat/>
    <w:uiPriority w:val="34"/>
    <w:pPr>
      <w:ind w:firstLine="420" w:firstLineChars="200"/>
    </w:pPr>
  </w:style>
  <w:style w:type="character" w:customStyle="1" w:styleId="42">
    <w:name w:val="中等深浅网格 2 Char"/>
    <w:link w:val="43"/>
    <w:qFormat/>
    <w:uiPriority w:val="0"/>
    <w:rPr>
      <w:rFonts w:ascii="Calibri" w:hAnsi="Calibri" w:eastAsia="Times New Roman"/>
      <w:kern w:val="2"/>
      <w:sz w:val="21"/>
      <w:szCs w:val="22"/>
      <w:lang w:val="en-US" w:eastAsia="zh-CN" w:bidi="ar-SA"/>
    </w:rPr>
  </w:style>
  <w:style w:type="paragraph" w:customStyle="1" w:styleId="43">
    <w:name w:val="中等深浅网格 21"/>
    <w:link w:val="42"/>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44">
    <w:name w:val="纯文本 Char"/>
    <w:link w:val="11"/>
    <w:qFormat/>
    <w:uiPriority w:val="0"/>
    <w:rPr>
      <w:rFonts w:ascii="宋体" w:hAnsi="Courier New" w:cs="Courier New"/>
      <w:kern w:val="2"/>
      <w:sz w:val="21"/>
      <w:szCs w:val="21"/>
    </w:rPr>
  </w:style>
  <w:style w:type="paragraph" w:customStyle="1" w:styleId="45">
    <w:name w:val="标准"/>
    <w:basedOn w:val="1"/>
    <w:qFormat/>
    <w:uiPriority w:val="0"/>
    <w:pPr>
      <w:spacing w:line="360" w:lineRule="auto"/>
      <w:ind w:firstLine="200" w:firstLineChars="200"/>
    </w:pPr>
    <w:rPr>
      <w:rFonts w:ascii="Times New Roman" w:hAnsi="Times New Roman" w:cs="宋体"/>
      <w:szCs w:val="20"/>
    </w:rPr>
  </w:style>
  <w:style w:type="paragraph" w:styleId="46">
    <w:name w:val="List Paragraph"/>
    <w:basedOn w:val="1"/>
    <w:qFormat/>
    <w:uiPriority w:val="34"/>
    <w:pPr>
      <w:ind w:firstLine="420" w:firstLineChars="200"/>
    </w:pPr>
  </w:style>
  <w:style w:type="character" w:customStyle="1" w:styleId="47">
    <w:name w:val="正文文本缩进 Char"/>
    <w:basedOn w:val="26"/>
    <w:link w:val="9"/>
    <w:qFormat/>
    <w:uiPriority w:val="0"/>
    <w:rPr>
      <w:rFonts w:hint="default" w:ascii="Calibri" w:hAnsi="Calibri" w:cs="Calibri"/>
      <w:kern w:val="2"/>
      <w:sz w:val="21"/>
      <w:szCs w:val="24"/>
    </w:rPr>
  </w:style>
  <w:style w:type="character" w:customStyle="1" w:styleId="48">
    <w:name w:val="正文首行缩进 2 Char"/>
    <w:basedOn w:val="47"/>
    <w:link w:val="10"/>
    <w:qFormat/>
    <w:uiPriority w:val="0"/>
    <w:rPr>
      <w:rFonts w:hint="default" w:ascii="Calibri" w:hAnsi="Calibri" w:cs="Calibri"/>
      <w:kern w:val="2"/>
      <w:sz w:val="21"/>
      <w:szCs w:val="24"/>
    </w:rPr>
  </w:style>
  <w:style w:type="paragraph" w:customStyle="1" w:styleId="49">
    <w:name w:val="纯文本1"/>
    <w:basedOn w:val="1"/>
    <w:qFormat/>
    <w:uiPriority w:val="0"/>
    <w:rPr>
      <w:rFonts w:ascii="宋体" w:hAnsi="Courier New"/>
      <w:szCs w:val="20"/>
    </w:rPr>
  </w:style>
  <w:style w:type="character" w:customStyle="1" w:styleId="50">
    <w:name w:val="标题 1 Char"/>
    <w:link w:val="2"/>
    <w:qFormat/>
    <w:uiPriority w:val="0"/>
    <w:rPr>
      <w:rFonts w:eastAsia="宋体"/>
      <w:b/>
      <w:kern w:val="44"/>
      <w:sz w:val="32"/>
    </w:rPr>
  </w:style>
  <w:style w:type="paragraph" w:customStyle="1" w:styleId="51">
    <w:name w:val="Fließtext2"/>
    <w:basedOn w:val="1"/>
    <w:qFormat/>
    <w:uiPriority w:val="99"/>
    <w:pPr>
      <w:overflowPunct w:val="0"/>
      <w:autoSpaceDE w:val="0"/>
      <w:autoSpaceDN w:val="0"/>
      <w:adjustRightInd w:val="0"/>
      <w:textAlignment w:val="baseline"/>
    </w:pPr>
    <w:rPr>
      <w:kern w:val="28"/>
      <w:szCs w:val="20"/>
    </w:rPr>
  </w:style>
  <w:style w:type="character" w:customStyle="1" w:styleId="52">
    <w:name w:val="edittexttarea"/>
    <w:basedOn w:val="26"/>
    <w:qFormat/>
    <w:uiPriority w:val="0"/>
  </w:style>
  <w:style w:type="paragraph" w:customStyle="1" w:styleId="53">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54">
    <w:name w:val="Ｒ07-!正!"/>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5">
    <w:name w:val="文档结构图 Char"/>
    <w:basedOn w:val="26"/>
    <w:link w:val="6"/>
    <w:qFormat/>
    <w:uiPriority w:val="0"/>
    <w:rPr>
      <w:rFonts w:ascii="宋体" w:hAnsi="Calibri"/>
      <w:kern w:val="2"/>
      <w:sz w:val="18"/>
      <w:szCs w:val="18"/>
    </w:rPr>
  </w:style>
  <w:style w:type="paragraph" w:customStyle="1" w:styleId="56">
    <w:name w:val="null3"/>
    <w:hidden/>
    <w:qFormat/>
    <w:uiPriority w:val="0"/>
    <w:rPr>
      <w:rFonts w:hint="eastAsia" w:asciiTheme="minorHAnsi" w:hAnsiTheme="minorHAnsi" w:eastAsiaTheme="minorEastAsia" w:cstheme="minorBidi"/>
      <w:lang w:val="en-US" w:eastAsia="zh-Hans" w:bidi="ar-SA"/>
    </w:rPr>
  </w:style>
  <w:style w:type="paragraph" w:customStyle="1" w:styleId="57">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46005</Words>
  <Characters>47893</Characters>
  <Lines>402</Lines>
  <Paragraphs>113</Paragraphs>
  <TotalTime>13</TotalTime>
  <ScaleCrop>false</ScaleCrop>
  <LinksUpToDate>false</LinksUpToDate>
  <CharactersWithSpaces>50010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2023-04-04T03:05:00Z</dcterms:created>
  <dc:creator>Administrator</dc:creator>
  <cp:lastModifiedBy>lxt</cp:lastModifiedBy>
  <cp:lastPrinted>2023-11-01T07:01:00Z</cp:lastPrinted>
  <dcterms:modified xsi:type="dcterms:W3CDTF">2023-11-06T09:51:30Z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9918F6EF0CF44E14AD80EB1E63BFA540_13</vt:lpwstr>
  </property>
</Properties>
</file>