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outlineLvl w:val="0"/>
        <w:rPr>
          <w:rFonts w:hint="eastAsia" w:asciiTheme="minorEastAsia" w:hAnsiTheme="minorEastAsia" w:eastAsiaTheme="minorEastAsia" w:cstheme="minorEastAsia"/>
          <w:color w:val="auto"/>
          <w:sz w:val="72"/>
          <w:szCs w:val="72"/>
          <w:highlight w:val="none"/>
        </w:rPr>
      </w:pPr>
      <w:r>
        <w:rPr>
          <w:rFonts w:hint="eastAsia" w:asciiTheme="minorEastAsia" w:hAnsiTheme="minorEastAsia" w:eastAsiaTheme="minorEastAsia" w:cstheme="minorEastAsia"/>
          <w:b/>
          <w:color w:val="auto"/>
          <w:sz w:val="72"/>
          <w:szCs w:val="72"/>
          <w:highlight w:val="none"/>
        </w:rPr>
        <w:t>福建省政府采购</w:t>
      </w:r>
    </w:p>
    <w:p>
      <w:pPr>
        <w:pStyle w:val="9"/>
        <w:jc w:val="center"/>
        <w:outlineLvl w:val="0"/>
        <w:rPr>
          <w:rFonts w:hint="eastAsia" w:asciiTheme="minorEastAsia" w:hAnsiTheme="minorEastAsia" w:eastAsiaTheme="minorEastAsia" w:cstheme="minorEastAsia"/>
          <w:color w:val="auto"/>
          <w:sz w:val="72"/>
          <w:szCs w:val="72"/>
          <w:highlight w:val="none"/>
        </w:rPr>
      </w:pPr>
      <w:r>
        <w:rPr>
          <w:rFonts w:hint="eastAsia" w:asciiTheme="minorEastAsia" w:hAnsiTheme="minorEastAsia" w:eastAsiaTheme="minorEastAsia" w:cstheme="minorEastAsia"/>
          <w:b/>
          <w:color w:val="auto"/>
          <w:sz w:val="72"/>
          <w:szCs w:val="72"/>
          <w:highlight w:val="none"/>
        </w:rPr>
        <w:t>货物和服务项目</w:t>
      </w:r>
    </w:p>
    <w:p>
      <w:pPr>
        <w:pStyle w:val="9"/>
        <w:jc w:val="center"/>
        <w:outlineLvl w:val="0"/>
        <w:rPr>
          <w:rFonts w:hint="eastAsia" w:asciiTheme="minorEastAsia" w:hAnsiTheme="minorEastAsia" w:eastAsiaTheme="minorEastAsia" w:cstheme="minorEastAsia"/>
          <w:color w:val="auto"/>
          <w:sz w:val="72"/>
          <w:szCs w:val="72"/>
          <w:highlight w:val="none"/>
        </w:rPr>
      </w:pPr>
      <w:r>
        <w:rPr>
          <w:rFonts w:hint="eastAsia" w:asciiTheme="minorEastAsia" w:hAnsiTheme="minorEastAsia" w:eastAsiaTheme="minorEastAsia" w:cstheme="minorEastAsia"/>
          <w:b/>
          <w:color w:val="auto"/>
          <w:sz w:val="72"/>
          <w:szCs w:val="72"/>
          <w:highlight w:val="none"/>
        </w:rPr>
        <w:t>公开招标文件</w:t>
      </w:r>
    </w:p>
    <w:p>
      <w:pPr>
        <w:pStyle w:val="9"/>
        <w:jc w:val="both"/>
        <w:outlineLvl w:val="2"/>
        <w:rPr>
          <w:rFonts w:hint="eastAsia" w:asciiTheme="minorEastAsia" w:hAnsiTheme="minorEastAsia" w:eastAsiaTheme="minorEastAsia" w:cstheme="minorEastAsia"/>
          <w:b/>
          <w:color w:val="auto"/>
          <w:sz w:val="28"/>
          <w:highlight w:val="none"/>
        </w:rPr>
      </w:pPr>
    </w:p>
    <w:p>
      <w:pPr>
        <w:pStyle w:val="9"/>
        <w:jc w:val="center"/>
        <w:outlineLvl w:val="2"/>
        <w:rPr>
          <w:rFonts w:hint="eastAsia" w:asciiTheme="minorEastAsia" w:hAnsiTheme="minorEastAsia" w:eastAsiaTheme="minorEastAsia" w:cstheme="minorEastAsia"/>
          <w:b/>
          <w:color w:val="auto"/>
          <w:sz w:val="56"/>
          <w:szCs w:val="40"/>
          <w:highlight w:val="none"/>
          <w:lang w:eastAsia="zh-CN"/>
        </w:rPr>
      </w:pPr>
      <w:r>
        <w:rPr>
          <w:rFonts w:hint="eastAsia" w:asciiTheme="minorEastAsia" w:hAnsiTheme="minorEastAsia" w:cstheme="minorEastAsia"/>
          <w:b/>
          <w:color w:val="auto"/>
          <w:sz w:val="56"/>
          <w:szCs w:val="40"/>
          <w:highlight w:val="none"/>
          <w:lang w:eastAsia="zh-CN"/>
        </w:rPr>
        <w:t>（</w:t>
      </w:r>
      <w:r>
        <w:rPr>
          <w:rFonts w:hint="eastAsia" w:asciiTheme="minorEastAsia" w:hAnsiTheme="minorEastAsia" w:cstheme="minorEastAsia"/>
          <w:b/>
          <w:color w:val="auto"/>
          <w:sz w:val="56"/>
          <w:szCs w:val="40"/>
          <w:highlight w:val="none"/>
          <w:lang w:val="en-US" w:eastAsia="zh-CN"/>
        </w:rPr>
        <w:t>预公告版</w:t>
      </w:r>
      <w:r>
        <w:rPr>
          <w:rFonts w:hint="eastAsia" w:asciiTheme="minorEastAsia" w:hAnsiTheme="minorEastAsia" w:cstheme="minorEastAsia"/>
          <w:b/>
          <w:color w:val="auto"/>
          <w:sz w:val="56"/>
          <w:szCs w:val="40"/>
          <w:highlight w:val="none"/>
          <w:lang w:eastAsia="zh-CN"/>
        </w:rPr>
        <w:t>）</w:t>
      </w:r>
    </w:p>
    <w:p>
      <w:pPr>
        <w:pStyle w:val="9"/>
        <w:jc w:val="center"/>
        <w:outlineLvl w:val="2"/>
        <w:rPr>
          <w:rFonts w:hint="eastAsia" w:asciiTheme="minorEastAsia" w:hAnsiTheme="minorEastAsia" w:eastAsiaTheme="minorEastAsia" w:cstheme="minorEastAsia"/>
          <w:b/>
          <w:color w:val="auto"/>
          <w:sz w:val="28"/>
          <w:highlight w:val="none"/>
        </w:rPr>
      </w:pP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项目名称：福建省立医院彩色多普勒超声诊断仪采购项目</w:t>
      </w:r>
    </w:p>
    <w:p>
      <w:pPr>
        <w:pStyle w:val="9"/>
        <w:jc w:val="center"/>
        <w:outlineLvl w:val="2"/>
        <w:rPr>
          <w:rFonts w:hint="eastAsia" w:asciiTheme="minorEastAsia" w:hAnsiTheme="minorEastAsia" w:eastAsiaTheme="minorEastAsia" w:cstheme="minorEastAsia"/>
          <w:b/>
          <w:color w:val="auto"/>
          <w:sz w:val="28"/>
          <w:highlight w:val="none"/>
        </w:rPr>
      </w:pP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备案编号：CGXM-2023-350001-19047[2023]15972</w:t>
      </w:r>
    </w:p>
    <w:p>
      <w:pPr>
        <w:pStyle w:val="9"/>
        <w:jc w:val="center"/>
        <w:outlineLvl w:val="2"/>
        <w:rPr>
          <w:rFonts w:hint="eastAsia" w:asciiTheme="minorEastAsia" w:hAnsiTheme="minorEastAsia" w:eastAsiaTheme="minorEastAsia" w:cstheme="minorEastAsia"/>
          <w:b/>
          <w:color w:val="auto"/>
          <w:sz w:val="28"/>
          <w:highlight w:val="none"/>
        </w:rPr>
      </w:pP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项目编号：[350001]FJKT[GK]2023066</w:t>
      </w:r>
    </w:p>
    <w:p>
      <w:pPr>
        <w:pStyle w:val="9"/>
        <w:jc w:val="center"/>
        <w:outlineLvl w:val="2"/>
        <w:rPr>
          <w:rFonts w:hint="eastAsia" w:asciiTheme="minorEastAsia" w:hAnsiTheme="minorEastAsia" w:eastAsiaTheme="minorEastAsia" w:cstheme="minorEastAsia"/>
          <w:b/>
          <w:color w:val="auto"/>
          <w:sz w:val="28"/>
          <w:highlight w:val="none"/>
        </w:rPr>
      </w:pP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采购人：福建省立医院</w:t>
      </w:r>
    </w:p>
    <w:p>
      <w:pPr>
        <w:pStyle w:val="9"/>
        <w:jc w:val="center"/>
        <w:outlineLvl w:val="2"/>
        <w:rPr>
          <w:rFonts w:hint="eastAsia" w:asciiTheme="minorEastAsia" w:hAnsiTheme="minorEastAsia" w:eastAsiaTheme="minorEastAsia" w:cstheme="minorEastAsia"/>
          <w:b/>
          <w:color w:val="auto"/>
          <w:sz w:val="28"/>
          <w:highlight w:val="none"/>
        </w:rPr>
      </w:pP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代理机构：福建康泰招标有限公司</w:t>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编制时间：2024年01月</w:t>
      </w:r>
    </w:p>
    <w:p>
      <w:pPr>
        <w:pStyle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highlight w:val="none"/>
        </w:rPr>
        <w:t>第一章 投标邀请</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福建康泰招标有限公司 采用公开招标方式组织 福建省立医院彩色多普勒超声诊断仪采购项目 （以下简称：“本项目”）的政府采购活动，现邀请供应商参加投标。</w:t>
      </w:r>
    </w:p>
    <w:p>
      <w:pPr>
        <w:pStyle w:val="9"/>
        <w:ind w:firstLine="480"/>
        <w:jc w:val="left"/>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1、备案编号：CGXM-2023-350001-19047[2023]15972</w:t>
      </w:r>
    </w:p>
    <w:p>
      <w:pPr>
        <w:pStyle w:val="9"/>
        <w:ind w:firstLine="480"/>
        <w:jc w:val="left"/>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2、项目编号：[350001]FJKT[GK]2023066</w:t>
      </w:r>
    </w:p>
    <w:p>
      <w:pPr>
        <w:pStyle w:val="9"/>
        <w:ind w:firstLine="480"/>
        <w:jc w:val="both"/>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3、预算金额、最高限价：详见《采购标的一览表》。</w:t>
      </w:r>
    </w:p>
    <w:p>
      <w:pPr>
        <w:pStyle w:val="9"/>
        <w:ind w:firstLine="480"/>
        <w:jc w:val="left"/>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4、招标内容及要求：详见《采购标的一览表》及招标文件第五章。</w:t>
      </w:r>
    </w:p>
    <w:p>
      <w:pPr>
        <w:pStyle w:val="9"/>
        <w:ind w:firstLine="480"/>
        <w:jc w:val="left"/>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5、需要落实的政府采购政策</w:t>
      </w:r>
    </w:p>
    <w:p>
      <w:pPr>
        <w:pStyle w:val="9"/>
        <w:ind w:firstLine="960"/>
        <w:jc w:val="lef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进口产品：进口产品，不适用于本项目</w:t>
      </w:r>
      <w:r>
        <w:rPr>
          <w:rFonts w:hint="eastAsia" w:asciiTheme="minorEastAsia" w:hAnsiTheme="minorEastAsia" w:cstheme="minorEastAsia"/>
          <w:color w:val="auto"/>
          <w:highlight w:val="none"/>
          <w:lang w:eastAsia="zh-CN"/>
        </w:rPr>
        <w:t>。</w:t>
      </w:r>
    </w:p>
    <w:p>
      <w:pPr>
        <w:pStyle w:val="9"/>
        <w:ind w:firstLine="96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节能产品：节能产品按本招标文件规定执行。</w:t>
      </w:r>
    </w:p>
    <w:p>
      <w:pPr>
        <w:pStyle w:val="9"/>
        <w:ind w:firstLine="96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环境标志产品：环境标志产品按本招标文件规定执行。</w:t>
      </w:r>
    </w:p>
    <w:p>
      <w:pPr>
        <w:pStyle w:val="9"/>
        <w:ind w:firstLine="96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促进中小企业发展的相关政策：</w:t>
      </w:r>
    </w:p>
    <w:p>
      <w:pPr>
        <w:pStyle w:val="9"/>
        <w:ind w:firstLine="96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采购包1：不专门面向中小企业采购</w:t>
      </w:r>
    </w:p>
    <w:p>
      <w:pPr>
        <w:pStyle w:val="9"/>
        <w:ind w:firstLine="1000" w:firstLineChars="5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采购包2：不专门面向中小企业采购</w:t>
      </w:r>
    </w:p>
    <w:p>
      <w:pPr>
        <w:pStyle w:val="9"/>
        <w:ind w:firstLine="1000" w:firstLineChars="5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采购包3：不专门面向中小企业采购</w:t>
      </w:r>
    </w:p>
    <w:p>
      <w:pPr>
        <w:pStyle w:val="9"/>
        <w:ind w:firstLine="480"/>
        <w:jc w:val="both"/>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6、投标人的资格要求</w:t>
      </w:r>
    </w:p>
    <w:p>
      <w:pPr>
        <w:pStyle w:val="9"/>
        <w:ind w:firstLine="96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6.1法定条件：符合政府采购法第二十二条第一款规定的条件。</w:t>
      </w:r>
    </w:p>
    <w:p>
      <w:pPr>
        <w:pStyle w:val="9"/>
        <w:ind w:firstLine="96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6.2特定条件：</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资格审查要求概况</w:t>
            </w:r>
          </w:p>
        </w:tc>
        <w:tc>
          <w:tcPr>
            <w:tcW w:w="4614"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关于【一般资格证明文件中“提供财务状况报告(财务报告、或资信证明）”】的补充说明</w:t>
            </w:r>
          </w:p>
        </w:tc>
        <w:tc>
          <w:tcPr>
            <w:tcW w:w="4614"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针对“财务状况报告(财务报告、或资信证明）”①投标人提供的财务报告复印件（成立年限按照投标截止时间推算）应符合下列规定：a.成立年限满1年及以上的投标人，提供经审计的2022年或2023年的年度财务报告。本招标文件中若有与此处不一致的，以此处补充说明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招标文件规定的其他资格证明文件</w:t>
            </w:r>
          </w:p>
        </w:tc>
        <w:tc>
          <w:tcPr>
            <w:tcW w:w="4614"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必须在有效期内。</w:t>
            </w:r>
          </w:p>
        </w:tc>
      </w:tr>
    </w:tbl>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资格审查要求概况</w:t>
            </w:r>
          </w:p>
        </w:tc>
        <w:tc>
          <w:tcPr>
            <w:tcW w:w="4614"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关于【一般资格证明文件中“提供财务状况报告(财务报告、或资信证明）”】的补充说明</w:t>
            </w:r>
          </w:p>
        </w:tc>
        <w:tc>
          <w:tcPr>
            <w:tcW w:w="4614"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针对“财务状况报告(财务报告、或资信证明）”①投标人提供的财务报告复印件（成立年限按照投标截止时间推算）应符合下列规定：a.成立年限满1年及以上的投标人，提供经审计的2022年或2023年的年度财务报告。本招标文件中若有与此处不一致的，以此处补充说明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招标文件规定的其他资格证明文件</w:t>
            </w:r>
          </w:p>
        </w:tc>
        <w:tc>
          <w:tcPr>
            <w:tcW w:w="4614"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必须在有效期内。</w:t>
            </w:r>
          </w:p>
        </w:tc>
      </w:tr>
    </w:tbl>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采购包3：</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资格审查要求概况</w:t>
            </w:r>
          </w:p>
        </w:tc>
        <w:tc>
          <w:tcPr>
            <w:tcW w:w="4614"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关于【一般资格证明文件中“提供财务状况报告(财务报告、或资信证明）”】的补充说明</w:t>
            </w:r>
          </w:p>
        </w:tc>
        <w:tc>
          <w:tcPr>
            <w:tcW w:w="4614"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针对“财务状况报告(财务报告、或资信证明）”①投标人提供的财务报告复印件（成立年限按照投标截止时间推算）应符合下列规定：a.成立年限满1年及以上的投标人，提供经审计的2022年或2023年的年度财务报告。本招标文件中若有与此处不一致的，以此处补充说明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招标文件规定的其他资格证明文件</w:t>
            </w:r>
          </w:p>
        </w:tc>
        <w:tc>
          <w:tcPr>
            <w:tcW w:w="4614"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必须在有效期内。</w:t>
            </w:r>
          </w:p>
        </w:tc>
      </w:tr>
    </w:tbl>
    <w:p>
      <w:pPr>
        <w:pStyle w:val="9"/>
        <w:ind w:firstLine="96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6.3是否接受联合体投标：</w:t>
      </w:r>
    </w:p>
    <w:p>
      <w:pPr>
        <w:pStyle w:val="9"/>
        <w:ind w:firstLine="96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采购包1：不接受</w:t>
      </w:r>
    </w:p>
    <w:p>
      <w:pPr>
        <w:pStyle w:val="9"/>
        <w:ind w:firstLine="1000" w:firstLineChars="5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采购包2：不接受</w:t>
      </w:r>
    </w:p>
    <w:p>
      <w:pPr>
        <w:pStyle w:val="9"/>
        <w:ind w:firstLine="1000" w:firstLineChars="5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采购包3：不接受</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※根据上述资格要求，电子投标文件中应提交的“投标人的资格及资信证明文件”详见招标文件第四章。</w:t>
      </w:r>
    </w:p>
    <w:p>
      <w:pPr>
        <w:pStyle w:val="9"/>
        <w:ind w:firstLine="480"/>
        <w:jc w:val="both"/>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7、招标文件的获取</w:t>
      </w:r>
    </w:p>
    <w:p>
      <w:pPr>
        <w:pStyle w:val="9"/>
        <w:ind w:firstLine="96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7.1、招标文件获取期限：详见招标公告或更正公告，若不一致，以更正公告为准。</w:t>
      </w:r>
    </w:p>
    <w:p>
      <w:pPr>
        <w:pStyle w:val="9"/>
        <w:ind w:firstLine="96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9"/>
        <w:ind w:firstLine="96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7.3、获取地点及方式：注册账号后，通过福建省政府采购网上公开信息系统以下载方式获取。</w:t>
      </w:r>
    </w:p>
    <w:p>
      <w:pPr>
        <w:pStyle w:val="9"/>
        <w:ind w:firstLine="96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7.4、招标文件售价：0元。</w:t>
      </w:r>
    </w:p>
    <w:p>
      <w:pPr>
        <w:pStyle w:val="9"/>
        <w:ind w:firstLine="480"/>
        <w:jc w:val="both"/>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8、投标截止</w:t>
      </w:r>
    </w:p>
    <w:p>
      <w:pPr>
        <w:pStyle w:val="9"/>
        <w:ind w:firstLine="96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8.1、投标截止时间：详见招标公告或更正公告，若不一致，以更正公告为准。</w:t>
      </w:r>
    </w:p>
    <w:p>
      <w:pPr>
        <w:pStyle w:val="9"/>
        <w:ind w:firstLine="96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8.2、投标人应在投标截止时间前按照福建省政府采购网上公开信息系统设定的操作流程将电子投标文件上传至福建省政府采购网上公开信息系统，否则投标将被拒绝。</w:t>
      </w:r>
    </w:p>
    <w:p>
      <w:pPr>
        <w:pStyle w:val="9"/>
        <w:ind w:firstLine="480"/>
        <w:jc w:val="both"/>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9、开标时间及地点</w:t>
      </w:r>
    </w:p>
    <w:p>
      <w:pPr>
        <w:pStyle w:val="9"/>
        <w:ind w:firstLine="96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详见招标公告或更正公告，若不一致，以更正公告为准。</w:t>
      </w:r>
    </w:p>
    <w:p>
      <w:pPr>
        <w:pStyle w:val="9"/>
        <w:ind w:firstLine="480"/>
        <w:jc w:val="both"/>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10、公告期限</w:t>
      </w:r>
    </w:p>
    <w:p>
      <w:pPr>
        <w:pStyle w:val="9"/>
        <w:ind w:firstLine="96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10.1、招标公告的公告期限：自财政部和福建省财政厅指定的政府采购信息发布媒体最先发布公告之日起5个工作日。</w:t>
      </w:r>
    </w:p>
    <w:p>
      <w:pPr>
        <w:pStyle w:val="9"/>
        <w:ind w:firstLine="96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10.2、招标文件公告期限：招标文件随同招标公告一并发布，其公告期限与招标公告的公告期限保持一致。</w:t>
      </w:r>
    </w:p>
    <w:p>
      <w:pPr>
        <w:pStyle w:val="9"/>
        <w:ind w:firstLine="480"/>
        <w:jc w:val="left"/>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11、采购人：福建省立医院</w:t>
      </w:r>
    </w:p>
    <w:p>
      <w:pPr>
        <w:pStyle w:val="9"/>
        <w:ind w:firstLine="96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地址： 福建省福州市鼓楼区东街134号</w:t>
      </w:r>
    </w:p>
    <w:p>
      <w:pPr>
        <w:pStyle w:val="9"/>
        <w:ind w:firstLine="800" w:firstLineChars="4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邮编： 350001</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联系人： 胡工</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联系电话： 0591-88216078</w:t>
      </w:r>
    </w:p>
    <w:p>
      <w:pPr>
        <w:pStyle w:val="9"/>
        <w:ind w:firstLine="480"/>
        <w:jc w:val="left"/>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12、代理机构：福建康泰招标有限公司</w:t>
      </w:r>
    </w:p>
    <w:p>
      <w:pPr>
        <w:pStyle w:val="9"/>
        <w:ind w:firstLine="96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地址： 福建省福州市鼓楼区湖东路169号中闽天骜大厦第十三层02A单元</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邮编： 350001</w:t>
      </w:r>
    </w:p>
    <w:p>
      <w:pPr>
        <w:pStyle w:val="9"/>
        <w:ind w:firstLine="800" w:firstLineChars="4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联系人： 樊淑贞、陈东英</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联系电话： 0591-87803505</w:t>
      </w:r>
    </w:p>
    <w:p>
      <w:pPr>
        <w:pStyle w:val="9"/>
        <w:ind w:firstLine="480"/>
        <w:jc w:val="both"/>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附1：账户信息</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投标保证金账户</w:t>
            </w:r>
          </w:p>
          <w:p>
            <w:pPr>
              <w:pStyle w:val="9"/>
              <w:jc w:val="left"/>
              <w:rPr>
                <w:rFonts w:hint="eastAsia" w:asciiTheme="minorEastAsia" w:hAnsiTheme="minorEastAsia" w:eastAsiaTheme="minorEastAsia" w:cstheme="minorEastAsia"/>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开户名称： 福建康泰招标有限公司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1、投标人应认真核对账户信息，将投标保证金汇入以上账户，并自行承担因汇错投标保证金而产生的一切后果。</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2、投标人在转账或电汇的凭证上应按照以下格式注明，以便核对：“（项目编号：***）的投标保证金”。</w:t>
            </w:r>
          </w:p>
        </w:tc>
      </w:tr>
    </w:tbl>
    <w:p>
      <w:pPr>
        <w:pStyle w:val="9"/>
        <w:ind w:firstLine="480"/>
        <w:jc w:val="both"/>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附2：采购标的一览表</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采购包1：</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采购包预算金额（元）</w:t>
      </w:r>
      <w:r>
        <w:rPr>
          <w:rFonts w:hint="eastAsia" w:asciiTheme="minorEastAsia" w:hAnsi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 xml:space="preserve"> 2,000,000.00</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采购包最高限价（元）</w:t>
      </w:r>
      <w:r>
        <w:rPr>
          <w:rFonts w:hint="eastAsia" w:asciiTheme="minorEastAsia" w:hAnsi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 xml:space="preserve"> 2,000,000.00</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采购包保证金金额（元）</w:t>
      </w:r>
      <w:r>
        <w:rPr>
          <w:rFonts w:hint="eastAsia" w:asciiTheme="minorEastAsia" w:hAnsi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 xml:space="preserve"> 20,000.00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4"/>
        <w:gridCol w:w="1185"/>
        <w:gridCol w:w="1416"/>
        <w:gridCol w:w="1184"/>
        <w:gridCol w:w="1184"/>
        <w:gridCol w:w="11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标的名称</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标的金额 （元）</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计量单位</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所属行业</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彩色多普勒超声诊断仪</w:t>
            </w:r>
          </w:p>
        </w:tc>
        <w:tc>
          <w:tcPr>
            <w:tcW w:w="1187" w:type="dxa"/>
          </w:tcPr>
          <w:p>
            <w:pPr>
              <w:pStyle w:val="9"/>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w:t>
            </w:r>
          </w:p>
        </w:tc>
        <w:tc>
          <w:tcPr>
            <w:tcW w:w="1187" w:type="dxa"/>
          </w:tcPr>
          <w:p>
            <w:pPr>
              <w:pStyle w:val="9"/>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2,000,000.00</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套</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工业</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否</w:t>
            </w:r>
          </w:p>
        </w:tc>
      </w:tr>
    </w:tbl>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采购包2：</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采购包预算金额（元）</w:t>
      </w:r>
      <w:r>
        <w:rPr>
          <w:rFonts w:hint="eastAsia" w:asciiTheme="minorEastAsia" w:hAnsi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 xml:space="preserve"> 2,000,000.00</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采购包最高限价（元）</w:t>
      </w:r>
      <w:r>
        <w:rPr>
          <w:rFonts w:hint="eastAsia" w:asciiTheme="minorEastAsia" w:hAnsi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 xml:space="preserve"> 2,000,000.00</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采购包保证金金额（元）</w:t>
      </w:r>
      <w:r>
        <w:rPr>
          <w:rFonts w:hint="eastAsia" w:asciiTheme="minorEastAsia" w:hAnsi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 xml:space="preserve"> 20,000.00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4"/>
        <w:gridCol w:w="1185"/>
        <w:gridCol w:w="1416"/>
        <w:gridCol w:w="1184"/>
        <w:gridCol w:w="1184"/>
        <w:gridCol w:w="11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标的名称</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标的金额 （元）</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计量单位</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所属行业</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彩色多普勒超声诊断仪</w:t>
            </w:r>
          </w:p>
        </w:tc>
        <w:tc>
          <w:tcPr>
            <w:tcW w:w="1187" w:type="dxa"/>
          </w:tcPr>
          <w:p>
            <w:pPr>
              <w:pStyle w:val="9"/>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w:t>
            </w:r>
          </w:p>
        </w:tc>
        <w:tc>
          <w:tcPr>
            <w:tcW w:w="1187" w:type="dxa"/>
          </w:tcPr>
          <w:p>
            <w:pPr>
              <w:pStyle w:val="9"/>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2,000,000.00</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套</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工业</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否</w:t>
            </w:r>
          </w:p>
        </w:tc>
      </w:tr>
    </w:tbl>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采购包3：</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采购包预算金额（元）</w:t>
      </w:r>
      <w:r>
        <w:rPr>
          <w:rFonts w:hint="eastAsia" w:asciiTheme="minorEastAsia" w:hAnsi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 xml:space="preserve"> 2,500,000.00</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采购包最高限价（元）</w:t>
      </w:r>
      <w:r>
        <w:rPr>
          <w:rFonts w:hint="eastAsia" w:asciiTheme="minorEastAsia" w:hAnsi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 xml:space="preserve"> 2,</w:t>
      </w:r>
      <w:r>
        <w:rPr>
          <w:rFonts w:hint="eastAsia" w:asciiTheme="minorEastAsia" w:hAnsi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00,000.00</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采购包保证金金额（元）</w:t>
      </w:r>
      <w:r>
        <w:rPr>
          <w:rFonts w:hint="eastAsia" w:asciiTheme="minorEastAsia" w:hAnsi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 xml:space="preserve"> 25,000.00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4"/>
        <w:gridCol w:w="1185"/>
        <w:gridCol w:w="1416"/>
        <w:gridCol w:w="1184"/>
        <w:gridCol w:w="1184"/>
        <w:gridCol w:w="11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标的名称</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标的金额 （元）</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计量单位</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所属行业</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彩色多普勒超声诊断仪</w:t>
            </w:r>
          </w:p>
        </w:tc>
        <w:tc>
          <w:tcPr>
            <w:tcW w:w="1187" w:type="dxa"/>
          </w:tcPr>
          <w:p>
            <w:pPr>
              <w:pStyle w:val="9"/>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w:t>
            </w:r>
          </w:p>
        </w:tc>
        <w:tc>
          <w:tcPr>
            <w:tcW w:w="1187" w:type="dxa"/>
          </w:tcPr>
          <w:p>
            <w:pPr>
              <w:pStyle w:val="9"/>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2,500,000.00</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套</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工业</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否</w:t>
            </w:r>
          </w:p>
        </w:tc>
      </w:tr>
    </w:tbl>
    <w:p>
      <w:pPr>
        <w:pStyle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highlight w:val="none"/>
        </w:rPr>
        <w:t>第二章 投标人须知前附表</w:t>
      </w:r>
    </w:p>
    <w:p>
      <w:pPr>
        <w:pStyle w:val="9"/>
        <w:ind w:firstLine="480"/>
        <w:jc w:val="both"/>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一、投标人须知前附表1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0"/>
        <w:gridCol w:w="1250"/>
        <w:gridCol w:w="6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25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招标文件</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（第三章）</w:t>
            </w:r>
          </w:p>
        </w:tc>
        <w:tc>
          <w:tcPr>
            <w:tcW w:w="637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25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w:t>
            </w:r>
          </w:p>
        </w:tc>
        <w:tc>
          <w:tcPr>
            <w:tcW w:w="637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是否组织现场考察或召开开标前答疑会：</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采购包1：不组织</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采购包2：不组织</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采购包3：不组织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25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10.4</w:t>
            </w:r>
          </w:p>
        </w:tc>
        <w:tc>
          <w:tcPr>
            <w:tcW w:w="637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投标文件的份数：</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（1）可读介质（光盘或U盘） 0 份：投标人应将其上传至福建省政府采购网上公开信息系统的电子投标文件在该可读介质中另存 0 份。</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125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10.7-（1）</w:t>
            </w:r>
          </w:p>
        </w:tc>
        <w:tc>
          <w:tcPr>
            <w:tcW w:w="637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是否允许中标人将本项目的非主体、非关键性工作进行分包：</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采购包1：不允许合同分包；</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采购包2：不允许合同分包；</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采购包3：不允许合同分包；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125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10.8-（1）</w:t>
            </w:r>
          </w:p>
        </w:tc>
        <w:tc>
          <w:tcPr>
            <w:tcW w:w="637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125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12.1</w:t>
            </w:r>
          </w:p>
        </w:tc>
        <w:tc>
          <w:tcPr>
            <w:tcW w:w="637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确定中标候选人名单：</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采购包1：1名</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采购包2：1名</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采购包3：1名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125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12.2</w:t>
            </w:r>
          </w:p>
        </w:tc>
        <w:tc>
          <w:tcPr>
            <w:tcW w:w="637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本项目中标人的确定（以采购包为单位）：</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（1） 采购人应在政府采购招投标管理办法规定的时限内确定中标人。</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（2）若出现中标候选人并列情形，则按照下列方式确定中标人：</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①招标文件规定的方式：</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无。</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②若本款第①点规定方式为“无”，则按照下列方式确定：</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无。</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③若本款第①、②点规定方式均为“无”，则按照下列方式确定：随机抽取。</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（3）本项目确定的中标人家数：</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采购包1：1名</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采购包2：1名</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采购包3：1名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125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w:t>
            </w:r>
          </w:p>
        </w:tc>
        <w:tc>
          <w:tcPr>
            <w:tcW w:w="637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p>
        </w:tc>
        <w:tc>
          <w:tcPr>
            <w:tcW w:w="125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15.1-（2）</w:t>
            </w:r>
          </w:p>
        </w:tc>
        <w:tc>
          <w:tcPr>
            <w:tcW w:w="637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p>
        </w:tc>
        <w:tc>
          <w:tcPr>
            <w:tcW w:w="125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15.4</w:t>
            </w:r>
          </w:p>
        </w:tc>
        <w:tc>
          <w:tcPr>
            <w:tcW w:w="637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招标文件的质疑</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（1）潜在投标人可在质疑时效期间内对招标文件以书面形式提出质疑。</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（2）质疑时效期间：应在依法获取招标文件之日起7个工作日内向 福建康泰招标有限公司 提出，依法获取招标文件的时间以福建省政府采购网上公开信息系统记载的为准。</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c>
          <w:tcPr>
            <w:tcW w:w="125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16.1</w:t>
            </w:r>
          </w:p>
        </w:tc>
        <w:tc>
          <w:tcPr>
            <w:tcW w:w="637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w:t>
            </w:r>
          </w:p>
        </w:tc>
        <w:tc>
          <w:tcPr>
            <w:tcW w:w="125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18.1</w:t>
            </w:r>
          </w:p>
        </w:tc>
        <w:tc>
          <w:tcPr>
            <w:tcW w:w="637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财政部和福建省财政厅指定的政府采购信息发布媒体（以下简称：“指定媒体”）：</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（1）中国政府采购网，网址www.ccgp.gov.cn。</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（2）中国政府采购网福建分网（福建省政府采购网），网址zfcg.czt.fujian.gov.cn。</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w:t>
            </w:r>
          </w:p>
        </w:tc>
        <w:tc>
          <w:tcPr>
            <w:tcW w:w="125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19</w:t>
            </w:r>
          </w:p>
        </w:tc>
        <w:tc>
          <w:tcPr>
            <w:tcW w:w="637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其他事项：</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(1)本项目代理服务费：</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本项目收取代理服务费</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代理服务费用收取对象：中标/成交供应商</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代理服务费收费标准：本项目代理服务费由各采购包中标人支付。代理服务费以中标价为基数进行计算，100万元以下的部分按1.5%收取，100万元-500万元（含）部分按1.1%收取，服务费按差额定率累进法整体下浮30%计算。中标人应在领取中标通知书前以转账、电汇付款方式一次性向采购代理机构缴纳代理服务费。服务费缴纳账户信息：开户名：福建康泰招标有限公司，开户行：中信银行福州江滨路支行,账号：7612110182600018475。</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(2)其他：</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远程解密环节的解密时限规定为30分钟，远程签章环节的签章时限规定为10分钟，请投标人务必密切关注实时开标流程，并根据流程在系统内按时操作，否则产生的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0" w:type="dxa"/>
            <w:gridSpan w:val="2"/>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tc>
        <w:tc>
          <w:tcPr>
            <w:tcW w:w="637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后有投标人须知前附表2，请勿遗漏。</w:t>
            </w:r>
          </w:p>
        </w:tc>
      </w:tr>
    </w:tbl>
    <w:p>
      <w:pPr>
        <w:pStyle w:val="9"/>
        <w:jc w:val="both"/>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二、投标人须知前附表2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0"/>
        <w:gridCol w:w="75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757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757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（1）电子招标投标活动的专门规定适用本项目电子招标投标活动。</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（2）将招标文件</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无。 的内容修正为下列内容：</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无。 后适用本项目的电子招标投标活动。</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（3）将下列内容增列为招标文件的组成部分（以下简称：“增列内容”）适用本项目的电子招标投标活动，若增列内容与招标文件其他章节内容有冲突，应以增列内容为准：</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①电子招标投标活动的具体操作流程以福建省政府采购网上公开信息系统设定的为准。</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②关于电子投标文件：</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a.投标人应按照福建省政府采购网上公开信息系统设定的评审节点编制电子投标文件，否则资格审查小组、评标委员会将按照不利于投标人的内容进行认定。</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③关于证明材料或资料：</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④关于“全称”、“投标人代表签字”及“加盖单位公章”：</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a.在电子投标文件中，涉及“全称”和“投标人代表签字”的内容可使用打字录入方式完成。</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b.在电子投标文件中，涉及“加盖单位公章”的内容应使用投标人的CA证书完成，否则投标无效。</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c.在电子投标文件中，若投标人按照本增列内容第④点第b项规定加盖其单位公章，则出现无全称、或投标人代表未签字等情形，不视为投标无效。</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⑤关于投标人的CA证书：</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a.投标人的CA证书应在系统规定时间内使用CA证书进行电子投标文件的解密操作，逾期未解密的视为放弃投标。</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b.投标人的CA证书可采用信封（包括但不限于：信封、档案袋、文件袋等）作为外包装进行单独包装。外包装密封、不密封皆可。</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c.投标人的CA证书或外包装应标记“项目名称、项目编号、投标人的全称”等内容，以方便识别、使用。</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d.投标人的CA证书应能正常、有效使用，否则产生不利后果由投标人承担责任。</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⑥关于投标截止时间过后</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a.未按招标文件规定提交投标保证金的，其投标将按无效投标处理。</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b.有下列情形之一的，其投标无效,其保证金不予退还或通过投标保函进行索赔：</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b1不同投标人的电子投标文件具有相同内部识别码；</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b2不同投标人的投标保证金从同一单位或个人的账户转出；</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b3投标人的投标保证金同一采购包下有其他投标人提交的投标保证金；</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b4不同投标人存在串通投标的其他情形。</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⑧其他：</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无。</w:t>
            </w:r>
          </w:p>
        </w:tc>
      </w:tr>
    </w:tbl>
    <w:p>
      <w:pPr>
        <w:pStyle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highlight w:val="none"/>
        </w:rPr>
        <w:t>第三章 投标人须知</w:t>
      </w:r>
    </w:p>
    <w:p>
      <w:pPr>
        <w:pStyle w:val="9"/>
        <w:ind w:firstLine="480"/>
        <w:jc w:val="both"/>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一、总则</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1、适用范围</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1.1适用于招标文件载明项目的政府采购活动（以下简称：“本次采购活动”）。</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2、定义</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2.1“采购标的”指招标文件载明的需要采购的货物或服务。</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2.2“潜在投标人”指按照招标文件第一章第7条规定获取招标文件且有意向参加本项目投标的供应商。</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2.3“投标人”指按照招标文件第一章第7条规定获取招标文件并参加本项目投标的供应商。</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2.4“单位负责人”指单位法定代表人或法律、法规规定代表单位行使职权的主要负责人。</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2.5“投标人代表”指投标人的单位负责人或“单位负责人授权书”中载明的接受授权方。</w:t>
      </w:r>
    </w:p>
    <w:p>
      <w:pPr>
        <w:pStyle w:val="9"/>
        <w:ind w:firstLine="480"/>
        <w:jc w:val="both"/>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二、投标人</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3、合格投标人</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3.1一般规定</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（2）投标人的资格要求：详见招标文件第一章。</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3.2若本项目接受联合体投标且投标人为联合体，则联合体各方应遵守本章第3.1条规定，同时还应遵守下列规定：</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（1）联合体各方应提交联合体协议，联合体协议应符合招标文件规定。</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（2）联合体各方不得再单独参加或与其他供应商另外组成联合体参加同一合同项下的投标。</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（3）联合体各方应共同与采购人签订政府采购合同，就政府采购合同约定的事项对采购人承担连带责任。</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（5）联合体一方放弃中标的，视为联合体整体放弃中标，联合体各方承担连带责任。</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（6）如本项目不接受联合体投标而投标人为联合体的，或者本项目接受联合体投标但投标人组成的联合体不符合本章第3.2条规定的，投标无效。</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4、投标费用</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4.1除招标文件另有规定外，投标人应自行承担其参加本项目投标所涉及的一切费用。</w:t>
      </w:r>
    </w:p>
    <w:p>
      <w:pPr>
        <w:pStyle w:val="9"/>
        <w:ind w:firstLine="480"/>
        <w:jc w:val="both"/>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三、招标</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5、招标文件</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5.1招标文件由下述部分组成：</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（1）投标邀请</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（2）投标人须知前附表（表1、2）</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（3）投标人须知</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（4）资格审查与评标</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（5）招标内容及要求</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（6）政府采购合同（参考文本）</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（7）电子投标文件格式</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（8）按照招标文件规定作为招标文件组成部分的其他内容（若有）</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5.2招标文件的澄清或修改</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福建康泰招标有限公司 可对已发出的招标文件进行必要的澄清或修改，但不得对招标文件载明的采购标的和投标人的资格要求进行改变。</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（2）除本章第5.2条第（3）款规定情形外，澄清或修改的内容可能影响电子投标文件编制的， 福建康泰招标有限公司 将在投标截止时间至少15个日历日前，在招标文件载明的指定媒体以更正公告的形式发布澄清或修改的内容。不足15个日历日的， 福建康泰招标有限公司 将顺延投标截止时间及开标时间， 福建康泰招标有限公司 和投标人受原投标截止时间及开标时间制约的所有权利和义务均延长至新的投标截止时间及开标时间。</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（3）澄清或修改的内容可能改变招标文件载明的采购标的和投标人的资格要求的，本次采购活动结束， 福建康泰招标有限公司 将依法组织后续采购活动（包括但不限于：重新招标、采用其他方式采购等）。</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6、现场考察或开标前答疑会</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6.1是否组织现场考察或召开开标前答疑会：详见招标文件第二章。</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7、更正公告</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7.1若 福建康泰招标有限公司 发布更正公告，则更正公告及其所发布的内容或信息（包括但不限于：招标文件的澄清或修改、现场考察或答疑会的有关事宜等）作为招标文件组成部分，对投标人具有约束力。</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7.2更正公告作为 福建康泰招标有限公司 通知所有潜在投标人的书面形式。</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8、终止公告</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8.1若出现因重大变故导致采购任务取消情形， 福建康泰招标有限公司 可终止招标并发布终止公告。</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8.2终止公告作为 福建康泰招标有限公司 通知所有潜在投标人的书面形式。</w:t>
      </w:r>
    </w:p>
    <w:p>
      <w:pPr>
        <w:pStyle w:val="9"/>
        <w:ind w:firstLine="480"/>
        <w:jc w:val="both"/>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四、投标</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9、投标</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9.1投标人可对招标文件载明的全部或部分采购包进行投标。</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9.2投标人应对同一个采购包内的所有内容进行完整投标，否则投标无效。</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9.3投标人代表只能接受一个投标人的授权参加投标，否则投标无效。</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9.4单位负责人为同一人或存在直接控股、管理关系的不同供应商，不得同时参加同一合同项下的投标，否则投标无效。</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9.5为本项目提供整体设计、规范编制或项目管理、监理、检测等服务的供应商，不得参加本项目除整体设计、规范编制和项目管理、监理、检测等服务外的采购活动，否则投标无效。</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9.6列入失信被执行人、重大税收违法案件当事人名单、政府采购严重违法失信行为记录名单及其他不符合政府采购法第二十二条规定条件的供应商，不得参加投标，否则投标无效。</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9.7有下列情形之一的，视为投标人串通投标，其投标无效：</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（1）不同投标人的电子投标文件由同一单位或个人编制；</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（2）不同投标人委托同一单位或个人办理投标事宜；</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（3）不同投标人的电子投标文件载明的项目管理成员或联系人员为同一人；</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（4）不同投标人的电子投标文件异常一致或投标报价呈规律性差异；</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（5）不同投标人的电子投标文件相互混装；</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（6）不同投标人的投标保证金从同一单位或个人的账户转出；</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（7）有关法律、法规和规章及招标文件规定的其他串通投标情形。</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10、电子投标文件</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10.1电子投标文件的编制</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（1）投标人应先仔细阅读招标文件的全部内容后，再进行电子投标文件的编制。</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（2）电子投标文件应按照本章第10.2条规定编制其组成部分。</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10.2电子投标文件由下述部分组成：</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（1）资格及资信证明部分</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①投标函</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②投标人的资格及资信证明文件</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③投标保证金</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（2）报价部分</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①开标一览表</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②投标分项报价表</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③招标文件规定的价格扣除证明材料（若有）</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④招标文件规定的加分证明材料（若有）</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（3）技术商务部分</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①标的说明一览表</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②技术和服务要求响应表</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③商务条件响应表</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④投标人提交的其他资料（若有）</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⑤招标文件规定作为电子投标文件组成部分的其他内容（若有）</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10.3电子投标文件的语言</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（1）除招标文件另有规定外，电子投标文件应使用中文文本，若有不同文本，以中文文本为准。</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10.4投标文件的份数：详见招标文件第二章。</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10.5电子投标文件的格式</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（1）除招标文件另有规定外，电子投标文件应使用招标文件第七章规定的格式。</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（2）除招标文件另有规定外，电子投标文件应使用不能擦去的墨料或墨水打印、书写或复印。</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（3）除招标文件另有规定外，电子投标文件应使用人民币作为计量货币。</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（4）除招标文件另有规定外，签署、盖章应遵守下列规定：</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①电子投标文件应加盖投标人的单位公章。若投标人代表为单位授权的委托代理人，应提供“单位授权书”。</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②电子投标文件应没有涂改或行间插字，除非这些改动是根据 福建康泰招标有限公司 的指示进行的，或是为改正投标人造成的应修改的错误而进行的。若有前述改动，应按照下列规定之一对改动处进行处理：</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a.投标人代表签字确认；</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b.加盖投标人的单位公章或校正章。</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10.6投标报价</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（1）投标报价超出最高限价将导致投标无效。</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（2）最高限价由采购人根据价格测算情况，在预算金额的额度内合理设定。最高限价不得超出预算金额。</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（3）除招标文件另有规定外，电子投标文件不能出现任何选择性的投标报价，即每一个采购包和品目号的采购标的都只能有一个投标报价。任何选择性的投标报价将导致投标无效。</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10.7分包</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（1）是否允许中标人将本项目的非主体、非关键性工作进行分包：详见招标文件第二章。</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（3）招标文件允许中标人将非主体、非关键性工作进行分包的项目，有下列情形之一的，中标人不得分包：</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①电子投标文件中未载明分包承担主体；</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②电子投标文件载明的分包承担主体不具备相应资质条件；</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③电子投标文件载明的分包承担主体拟再次分包；</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④享受中小企业扶持政策获得政府采购合同的，小微企业不得将合同分包给大中型企业，中型企业不得将合同分包给大型企业。</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10.8投标有效期</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（1）招标文件载明的投标有效期：详见招标文件第二章。</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（2）电子投标文件承诺的投标有效期不得少于招标文件载明的投标有效期，否则投标无效。</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（3）根据本次采购活动的需要， 福建康泰招标有限公司 可于投标有效期届满之前书面要求投标人延长投标有效期，投标人应在 福建康泰招标有限公司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10.9投标保证金</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（1）投标保证金作为投标人按照招标文件规定履行相应投标责任、义务的约束及担保。</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（2）投标人以电子保函形式提交投标保证金的，保函的有效期应等于或长于电子投标文件承诺的投标有效期，否则投标无效。</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（3）提交</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③其他形式：</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无。</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④若本项目接受联合体投标且投标人为联合体，则联合体中的牵头方应按照本章第10.9条第（3）款第①、②、③点规定提交投标保证金。</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※除招标文件另有规定外，未按照上述规定提交投标保证金将导致资格审查不合格。</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（4）退还</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①在投标截止时间前撤回已提交的电子投标文件的投标人，其投标保证金将在 福建康泰招标有限公司 收到投标人书面撤回通知之日起5个工作日内退回原账户。</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②未中标人的投标保证金将在中标通知书发出之日起5个工作日内退回原账户。</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③中标人的投标保证金将在政府采购合同签订之日起5个工作日内退回原账户；合同签订之日以福建省政府采购网上公开信息系统记载的为准。</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④终止招标的， 福建康泰招标有限公司 将在终止公告发布之日起5个工作日内退回已收取的投标保证金及其在银行产生的孳息。</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⑤除招标文件另有规定外，质疑或投诉涉及的投标人，若投标保证金尚未退还，则待质疑或投诉处理完毕后不计利息原额退还。</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※本章第10.9条第（4）款第①、②、③点规定的投标保证金退还时限不包括因投标人自身原因导致无法及时退还而增加的时间。</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（6）有下列情形之一的，投标保证金将不予退还或通过投标保函进行索赔：</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①投标人串通投标；</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②投标人提供虚假材料；</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③投标人采取不正当手段诋毁、排挤其他投标人；</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④投标截止时间后，投标人在投标有效期内撤销电子投标文件；</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⑤招标文件规定的其他不予退还情形；</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⑥中标人有下列情形之一的：</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a.除不可抗力外，因中标人自身原因未在中标通知书要求的期限内与采购人签订政府采购合同；</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b.未按照招标文件、投标文件的约定签订政府采购合同或提交履约保证金。</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※若上述投标保证金不予退还情形给采购人（采购代理机构）造成损失，则投标人还要承担相应的赔偿责任。</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10.10电子投标文件的提交</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（1）一个投标人只能提交一个电子投标文件，并按照招标文件第一章规定在系统上完成上传、解密操作。</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10.11电子投标文件的补充、修改或撤回</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（1）投标截止时间前，投标人可对所提交的电子投标文件进行补充、修改或撤回，并书面通知 福建康泰招标有限公司 。</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（2）补充、修改的内容应按照本章第10.5条第（4）款规定进行签署、盖章，并按照本章第10.10条规定提交，否则将被拒收。</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※按照上述规定提交的补充、修改内容作为电子投标文件组成部分。</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10.12除招标文件另有规定外，有下列情形之一的，投标无效：</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（1）电子投标文件未按照招标文件要求签署、盖章；</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（2）不符合招标文件中规定的资格要求；</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（3）投标报价超过招标文件中规定的预算金额或最高限价；</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（4）电子投标文件含有采购人不能接受的附加条件；</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（5）有关法律、法规和规章及招标文件规定的其他无效情形。</w:t>
      </w:r>
    </w:p>
    <w:p>
      <w:pPr>
        <w:pStyle w:val="9"/>
        <w:jc w:val="both"/>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五、开标</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11、开标</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11.1 福建康泰招标有限公司 将在招标文件载明的开标时间及地点主持召开开标会，并邀请投标人参加。</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11.2开标会的主持人、唱标人、记录人及其他工作人员（若有）均由 福建康泰招标有限公司 派出，现场监督人员（若有）可由有关方面派出。</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11.4开标会应遵守下列规定：</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（5）若投标人未到开标现场参加开标会，也未通过远程参加开标会的，视同认可开标结果。</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福建康泰招标有限公司 提出任何疑义或要求（包括质疑）。</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11.5投标截止时间后，参加投标的投标人不足三家的，不进行开标。同时，本次采购活动结束， 福建康泰招标有限公司 将依法组织后续采购活动（包括但不限于：重新招标、采用其他方式采购等）。</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11.6投标截止时间后撤销投标的处理</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投标截止时间后，投标人在投标有效期内撤销投标的，其撤销投标的行为无效。</w:t>
      </w:r>
    </w:p>
    <w:p>
      <w:pPr>
        <w:pStyle w:val="9"/>
        <w:jc w:val="both"/>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六、中标与政府采购合同</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12、中标</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12.1本项目推荐的中标候选人家数：详见招标文件第二章。</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12.2本项目中标人的确定：详见招标文件第二章。</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12.3中标公告</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（1）中标人确定之日起2个工作日内， 福建康泰招标有限公司 将在招标文件载明的指定媒体以中标公告的形式发布中标结果。</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（2）中标公告的公告期限为1个工作日。</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12.4中标通知书</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（1）中标公告发布的同时， 福建康泰招标有限公司 将向中标人发出中标通知书。</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（2）中标通知书发出后，采购人不得违法改变中标结果，中标人无正当理由不得放弃中标。</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13、政府采购合同</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13.2签订时限：详见须知前附表1的13.2。</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13.3政府采购合同的履行、违约责任和解决争议的方法等适用民法典。</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13.4采购人与中标人应根据政府采购合同的约定依法履行合同义务。</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13.5政府采购合同履行过程中，采购人若需追加与合同标的相同的货物或服务，则追加采购金额不得超过原合同采购金额的10%。</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13.6中标人在政府采购合同履行过程中应遵守有关法律、法规和规章的强制性规定（即使前述强制性规定有可能在招标文件中未予列明）。</w:t>
      </w:r>
    </w:p>
    <w:p>
      <w:pPr>
        <w:pStyle w:val="9"/>
        <w:jc w:val="both"/>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七、询问、质疑与投诉</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14、询问</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14.1潜在投标人或投标人对本次采购活动的有关事项若有疑问，可向 福建康泰招标有限公司 提出询问， 福建康泰招标有限公司 将按照政府采购法及实施条例的有关规定进行答复。</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15、质疑</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（1）对招标文件提出质疑的，质疑人应为潜在投标人，且两者的身份、名称等均应保持一致。对采购过程、结果提出质疑的，质疑人应为投标人，且两者的身份、名称等均应保持一致。</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（2）质疑人应按照招标文件第二章规定方式提交质疑函。</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（3）质疑函应包括下列主要内容：</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①质疑人的基本信息，至少包括：全称、地址、邮政编码等；</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②所质疑项目的基本信息，至少包括：项目编号、项目名称等；</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③所质疑的具体事项（以下简称：“质疑事项”）；</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④针对质疑事项提出的明确请求，前述明确请求指质疑人提出质疑的目的以及希望 福建康泰招标有限公司 对其质疑作出的处理结果，如：暂停招标投标活动、修改招标文件、停止或纠正违法违规行为、中标结果无效、废标、重新招标等；</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⑤针对质疑事项导致质疑人自身权益受到损害的必要证明材料，至少包括：</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a.质疑人代表的身份证明材料：</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a2若本项目接受自然人投标且质疑人为自然人的，提供本人的身份证复印件。</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b.其他证明材料（即事实依据和必要的法律依据）包括但不限于下列材料：</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b1所质疑的具体事项是与自己有利害关系的证明材料；</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b2质疑函所述事实存在的证明材料，如：采购文件、采购过程或中标结果违法违规或不符合采购文件要求等证明材料；</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b3依法应终止采购程序的证明材料；</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b4应重新采购的证明材料；</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b5采购文件、采购过程或中标、成交结果损害自己合法权益的证明材料等；</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⑥质疑人代表及其联系方法的信息，至少包括：姓名、手机、电子信箱、邮寄地址等。</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⑦提出质疑的日期。</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※质疑人为法人或其他组织的，质疑函应由单位负责人或委托代理人签字或盖章，并加盖投标人的单位公章。质疑人为自然人的，质疑函应由本人签字。</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15.2对不符合本章第15.1条规定的质疑，将按照下列规定进行处理：</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（1）不符合其中第（1）、（2）条规定的，书面告知质疑人不予受理及其理由。</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（2）不符合其中第（3）条规定的，书面告知质疑人修改、补充后在规定时限内重新提交质疑函。</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15.3对符合本章第15.1条规定的质疑，将按照政府采购法及实施条例、政府采购质疑和投诉办法的有关规定进行答复。</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15.4招标文件的质疑：详见招标文件第二章。</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16、投诉</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16.2投诉应有明确的请求和必要的证明材料，投诉的事项不得超出已质疑事项的范围。</w:t>
      </w:r>
    </w:p>
    <w:p>
      <w:pPr>
        <w:pStyle w:val="9"/>
        <w:jc w:val="both"/>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八、政府采购政策</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17、政府采购政策由财政部根据国家的经济和社会发展政策并会同国家有关部委制定，包括但不限于下列具体政策要求：</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17.1进口产品指通过中国海关报关验放进入中国境内且产自关境外的产品，其中：</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（2）凡在海关特殊监管区域内企业生产或加工（包括从境外进口料件）销往境内其他地区的产品，不作为政府采购项下进口产品。</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（3）对从境外进入海关特殊监管区域，再经办理报关手续后从海关特殊监管区进入境内其他地区的产品，认定为进口产品。</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（4）招标文件列明不允许或未列明允许进口产品参加投标的，均视为拒绝进口产品参加投标。</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（1）中小企业指符合下列条件的中型、小型、微型企业：</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②符合中小企业划分标准的个体工商户，在政府采购活动中视同中小企业。</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（2）在政府采购活动中，供应商提供的货物、工程或者服务符合下列情形的，享受本办法规定的中小企业扶持政策：</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①在货物采购项目中，货物由中小企业制造，即货物由中小企业生产且使用该中小企业商号或者注册商标；</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②在工程采购项目中，工程由中小企业承建，即工程施工单位为中小企业；</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③在服务采购项目中，服务由中小企业承接，即提供服务的人员为中小企业依照《中华人民共和国劳动合同法》订立劳动合同的从业人员。</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在货物采购项目中，供应商提供的货物既有中小企业制造货物，也有大型企业制造货物的，不享受本办法规定的中小企业扶持政策。</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以联合体形式参加政府采购活动，联合体各方均为中小企业的，联合体视同中小企业。其中，联合体各方均为小微企业的，联合体视同小微企业。</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（3）投标人应当按照招标文件明确的采购标的对应行业的划分标准出具中小企业声明函。</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①监狱企业参加采购活动时，应提供由省级以上监狱管理局、戒毒管理局（含新疆生产建设兵团）出具的属于监狱企业的证明文件。</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②监狱企业视同小型、微型企业。</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（5）残疾人福利性单位指同时符合下列条件的单位：</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①安置的残疾人占本单位在职职工人数的比例不低于25%（含25%），并且安置的残疾人人数不少于10人（含10人）；</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②依法与安置的每位残疾人签订了一年以上（含一年）的劳动合同或服务协议；</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③为安置的每位残疾人按月足额缴纳了基本养老保险、基本医疗保险、失业保险、工伤保险和生育保险等社会保险费；</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④通过银行等金融机构向安置的每位残疾人，按月支付了不低于单位所在区县适用的经省级人民政府批准的月最低工资标准的工资；</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⑤提供本单位制造的货物、承担的工程或服务，或提供其他残疾人福利性单位制造的货物（不包括使用非残疾人福利性单位注册商标的货物）。</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17.4信用记录指由财政部确定的有关网站提供的相关主体信用信息。信用记录的查询及使用应符合财政部文件（财库[2016]125号）规定。</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17.5为落实政府采购政策需满足的要求：详见招标文件第一章。</w:t>
      </w:r>
    </w:p>
    <w:p>
      <w:pPr>
        <w:pStyle w:val="9"/>
        <w:jc w:val="both"/>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九、本项目的有关信息</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18、本项目的有关信息，包括但不限于：招标公告、更正公告（若有）、招标文件、招标文件的澄清或修改（若有）、中标公告、终止公告（若有）、废标公告（若有）等都将在招标文件载明的指定媒体发布。</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18.1指定媒体：详见招标文件第二章。</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18.2本项目的潜在投标人或投标人应随时关注指定媒体，否则产生不利后果由其自行承担。</w:t>
      </w:r>
    </w:p>
    <w:p>
      <w:pPr>
        <w:pStyle w:val="9"/>
        <w:jc w:val="both"/>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十、其他事项</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19、其他事项：</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19.2其他：详见招标文件第二章。</w:t>
      </w:r>
    </w:p>
    <w:p>
      <w:pPr>
        <w:pStyle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highlight w:val="none"/>
        </w:rPr>
        <w:t>第四章 资格审查与评标</w:t>
      </w:r>
    </w:p>
    <w:p>
      <w:pPr>
        <w:pStyle w:val="9"/>
        <w:jc w:val="both"/>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一、资格审查</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1、开标结束后，由 福建康泰招标有限公司 负责资格审查小组的组建及资格审查工作的组织。</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1.1资格审查小组</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资格审查小组由3人组成，并负责具体审查事务，其中由采购人派出的采购人代表至少1人，由福建康泰招标有限公司派出的工作人员至少1人，其余1人可为采购人代表或福建康泰招标有限公司的工作人员。</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1.2资格审查的依据是招标文件和电子投标文件。</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1.3资格审查的范围及内容：电子投标文件（资格及资信证明部分），具体如下：</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（1）“投标函”；</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（2）“投标人的资格及资信证明文件”</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①一般资格证明文件：</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999"/>
        <w:gridCol w:w="54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序号</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资格审查要求概况</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单位授权书</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营业执照等证明文件</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提供财务状况报告(财务报告、或资信证明）</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依法缴纳税收证明材料</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依法缴纳社会保障资金证明材料</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具备履行合同所必需设备和专业技术能力的声明函(若有)</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参加采购活动前三年内在经营活动中没有重大违法记录的声明</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信用记录查询结果</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中小企业声明函（以资格条件落实中小企业扶持政策时适用 ）</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联合体协议（若有）</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999"/>
        <w:gridCol w:w="54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序号</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资格审查要求概况</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单位授权书</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营业执照等证明文件</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提供财务状况报告(财务报告、或资信证明）</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依法缴纳税收证明材料</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依法缴纳社会保障资金证明材料</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具备履行合同所必需设备和专业技术能力的声明函(若有)</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参加采购活动前三年内在经营活动中没有重大违法记录的声明</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信用记录查询结果</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中小企业声明函（以资格条件落实中小企业扶持政策时适用 ）</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联合体协议（若有）</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采购包3：</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999"/>
        <w:gridCol w:w="54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序号</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资格审查要求概况</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单位授权书</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营业执照等证明文件</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提供财务状况报告(财务报告、或资信证明）</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依法缴纳税收证明材料</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依法缴纳社会保障资金证明材料</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具备履行合同所必需设备和专业技术能力的声明函(若有)</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参加采购活动前三年内在经营活动中没有重大违法记录的声明</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信用记录查询结果</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中小企业声明函（以资格条件落实中小企业扶持政策时适用 ）</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c>
          <w:tcPr>
            <w:tcW w:w="1999"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联合体协议（若有）</w:t>
            </w:r>
          </w:p>
        </w:tc>
        <w:tc>
          <w:tcPr>
            <w:tcW w:w="54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※备注说明</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①投标人应根据自身实际情况提供上述资格要求的证明材料，格式可参考招标文件第七章提供。</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②投标人提供的相应证明材料复印件均应符合：内容完整、清晰、整洁，并由投标人加盖其单位公章。</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②.其他资格证明文件：</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资格审查要求概况</w:t>
            </w:r>
          </w:p>
        </w:tc>
        <w:tc>
          <w:tcPr>
            <w:tcW w:w="4614"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关于【一般资格证明文件中“提供财务状况报告(财务报告、或资信证明）”】的补充说明</w:t>
            </w:r>
          </w:p>
        </w:tc>
        <w:tc>
          <w:tcPr>
            <w:tcW w:w="4614"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针对“财务状况报告(财务报告、或资信证明）”①投标人提供的财务报告复印件（成立年限按照投标截止时间推算）应符合下列规定：a.成立年限满1年及以上的投标人，提供经审计的2022年或2023年的年度财务报告。本招标文件中若有与此处不一致的，以此处补充说明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招标文件规定的其他资格证明文件</w:t>
            </w:r>
          </w:p>
        </w:tc>
        <w:tc>
          <w:tcPr>
            <w:tcW w:w="4614"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必须在有效期内。</w:t>
            </w:r>
          </w:p>
        </w:tc>
      </w:tr>
    </w:tbl>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资格审查要求概况</w:t>
            </w:r>
          </w:p>
        </w:tc>
        <w:tc>
          <w:tcPr>
            <w:tcW w:w="4614"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关于【一般资格证明文件中“提供财务状况报告(财务报告、或资信证明）”】的补充说明</w:t>
            </w:r>
          </w:p>
        </w:tc>
        <w:tc>
          <w:tcPr>
            <w:tcW w:w="4614"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针对“财务状况报告(财务报告、或资信证明）”①投标人提供的财务报告复印件（成立年限按照投标截止时间推算）应符合下列规定：a.成立年限满1年及以上的投标人，提供经审计的2022年或2023年的年度财务报告。本招标文件中若有与此处不一致的，以此处补充说明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招标文件规定的其他资格证明文件</w:t>
            </w:r>
          </w:p>
        </w:tc>
        <w:tc>
          <w:tcPr>
            <w:tcW w:w="4614"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必须在有效期内。</w:t>
            </w:r>
          </w:p>
        </w:tc>
      </w:tr>
    </w:tbl>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采购包3：</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资格审查要求概况</w:t>
            </w:r>
          </w:p>
        </w:tc>
        <w:tc>
          <w:tcPr>
            <w:tcW w:w="4614"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关于【一般资格证明文件中“提供财务状况报告(财务报告、或资信证明）”】的补充说明</w:t>
            </w:r>
          </w:p>
        </w:tc>
        <w:tc>
          <w:tcPr>
            <w:tcW w:w="4614"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针对“财务状况报告(财务报告、或资信证明）”①投标人提供的财务报告复印件（成立年限按照投标截止时间推算）应符合下列规定：a.成立年限满1年及以上的投标人，提供经审计的2022年或2023年的年度财务报告。本招标文件中若有与此处不一致的，以此处补充说明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招标文件规定的其他资格证明文件</w:t>
            </w:r>
          </w:p>
        </w:tc>
        <w:tc>
          <w:tcPr>
            <w:tcW w:w="4614"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必须在有效期内。</w:t>
            </w:r>
          </w:p>
        </w:tc>
      </w:tr>
    </w:tbl>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（3）投标保证金。</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1.4有下列情形之一的，资格审查不合格：</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未按照招标文件规定提交投标保证金</w:t>
            </w:r>
          </w:p>
        </w:tc>
      </w:tr>
    </w:tbl>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采购包1：</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资格审查不合格项：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55"/>
        <w:gridCol w:w="65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55"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情形</w:t>
            </w:r>
          </w:p>
        </w:tc>
        <w:tc>
          <w:tcPr>
            <w:tcW w:w="6551"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55"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其他情形</w:t>
            </w:r>
          </w:p>
        </w:tc>
        <w:tc>
          <w:tcPr>
            <w:tcW w:w="6551"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资格及资信证明部分中不得出现报价部分的全部或部分的投标报价信息（或组成资料），否则资格审查不合格。</w:t>
            </w:r>
          </w:p>
        </w:tc>
      </w:tr>
    </w:tbl>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采购包2：</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资格审查不合格项：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93"/>
        <w:gridCol w:w="65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情形</w:t>
            </w:r>
          </w:p>
        </w:tc>
        <w:tc>
          <w:tcPr>
            <w:tcW w:w="651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其他情形</w:t>
            </w:r>
          </w:p>
        </w:tc>
        <w:tc>
          <w:tcPr>
            <w:tcW w:w="651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资格及资信证明部分中不得出现报价部分的全部或部分的投标报价信息（或组成资料），否则资格审查不合格。</w:t>
            </w:r>
          </w:p>
        </w:tc>
      </w:tr>
    </w:tbl>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采购包3：</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资格审查不合格项：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80"/>
        <w:gridCol w:w="65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8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情形</w:t>
            </w:r>
          </w:p>
        </w:tc>
        <w:tc>
          <w:tcPr>
            <w:tcW w:w="652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8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其他情形</w:t>
            </w:r>
          </w:p>
        </w:tc>
        <w:tc>
          <w:tcPr>
            <w:tcW w:w="652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资格及资信证明部分中不得出现报价部分的全部或部分的投标报价信息（或组成资料），否则资格审查不合格。</w:t>
            </w:r>
          </w:p>
        </w:tc>
      </w:tr>
    </w:tbl>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2、资格审查情况不得私自外泄，有关信息由 福建康泰招标有限公司 统一对外发布。</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3、资格审查合格的投标人不足三家的，不进行评标。同时，本次采购活动结束， 福建康泰招标有限公司 将依法组织后续采购活动（包括但不限于：重新招标、采用其他方式采购等）。</w:t>
      </w:r>
    </w:p>
    <w:p>
      <w:pPr>
        <w:pStyle w:val="9"/>
        <w:jc w:val="both"/>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二、评标</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4、资格审查结束后，由 福建康泰招标有限公司 负责评标委员会的组建及评标工作的组织。</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5、评标委员会</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由采购人代表和评审专家两部分共5人组成，其中由福建省政府采购评审专家库产生的评审专家4人，由采购人派出的采购人代表1人。</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5.2评标委员会负责具体评标事务，并按照下列原则依法独立履行有关职责：</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（1）评标应保护国家利益、社会公共利益和各方当事人合法权益，提高采购效益，保证项目质量。</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（2）评标应遵循公平、公正、科学、严谨和择优原则。</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（3）评标的依据是招标文件和电子投标文件。</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（4）应按照招标文件规定推荐中标候选人或确定中标人。</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（5）评标应遵守下列评标纪律：</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①评标情况不得私自外泄，有关信息由 福建康泰招标有限公司 统一对外发布。</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②对 福建康泰招标有限公司 或投标人提供的要求保密的资料，不得摘记翻印和外传。</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③不得收受投标人或有关人员的任何礼物，不得串联鼓动其他人袒护某投标人。若与投标人存在利害关系，则应主动声明并回避。</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④全体评委应按照招标文件规定进行评标，一切认定事项应查有实据且不得弄虚作假。</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⑤评标中应充分发扬民主，推荐中标候选人或确定中标人后要服从评标报告。</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※对违反评标纪律的评委，将取消其评委资格，对评标工作造成严重损失者将予以通报批评乃至追究法律责任。</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6、评标程序</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6.1评标前的准备工作</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（1）全体评委应认真审阅招标文件，了解评委应履行或遵守的职责、义务和评标纪律。</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6.2符合性审查</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（1）评标委员会依据招标文件的实质性要求，对通过资格审查的电子投标文件进行符合性审查，以确定其是否满足招标文件的实质性要求。</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（2）满足招标文件的实质性要求指电子投标文件对招标文件实质性要求的响应不存在重大偏差或保留。</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（5）评标委员会对所有投标人都执行相同的程序和标准。</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（6）有下列情形之一的，符合性审查不合格：</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①项目一般情形：</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序号</w:t>
            </w:r>
          </w:p>
        </w:tc>
        <w:tc>
          <w:tcPr>
            <w:tcW w:w="3115"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符合审查要求概况</w:t>
            </w:r>
          </w:p>
        </w:tc>
        <w:tc>
          <w:tcPr>
            <w:tcW w:w="415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3115"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情形1</w:t>
            </w:r>
          </w:p>
        </w:tc>
        <w:tc>
          <w:tcPr>
            <w:tcW w:w="415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3115"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情形2</w:t>
            </w:r>
          </w:p>
        </w:tc>
        <w:tc>
          <w:tcPr>
            <w:tcW w:w="415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3115"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情形3</w:t>
            </w:r>
          </w:p>
        </w:tc>
        <w:tc>
          <w:tcPr>
            <w:tcW w:w="415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投标文件对招标文件实质性要求的响应存在重大偏离或保留。</w:t>
            </w:r>
          </w:p>
        </w:tc>
      </w:tr>
    </w:tbl>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序号</w:t>
            </w:r>
          </w:p>
        </w:tc>
        <w:tc>
          <w:tcPr>
            <w:tcW w:w="3115"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符合审查要求概况</w:t>
            </w:r>
          </w:p>
        </w:tc>
        <w:tc>
          <w:tcPr>
            <w:tcW w:w="415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3115"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情形1</w:t>
            </w:r>
          </w:p>
        </w:tc>
        <w:tc>
          <w:tcPr>
            <w:tcW w:w="415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3115"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情形2</w:t>
            </w:r>
          </w:p>
        </w:tc>
        <w:tc>
          <w:tcPr>
            <w:tcW w:w="415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3115"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情形3</w:t>
            </w:r>
          </w:p>
        </w:tc>
        <w:tc>
          <w:tcPr>
            <w:tcW w:w="415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投标文件对招标文件实质性要求的响应存在重大偏离或保留。</w:t>
            </w:r>
          </w:p>
        </w:tc>
      </w:tr>
    </w:tbl>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采购包3：</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序号</w:t>
            </w:r>
          </w:p>
        </w:tc>
        <w:tc>
          <w:tcPr>
            <w:tcW w:w="3115"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符合审查要求概况</w:t>
            </w:r>
          </w:p>
        </w:tc>
        <w:tc>
          <w:tcPr>
            <w:tcW w:w="415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3115"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情形1</w:t>
            </w:r>
          </w:p>
        </w:tc>
        <w:tc>
          <w:tcPr>
            <w:tcW w:w="415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3115"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情形2</w:t>
            </w:r>
          </w:p>
        </w:tc>
        <w:tc>
          <w:tcPr>
            <w:tcW w:w="415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3115"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情形3</w:t>
            </w:r>
          </w:p>
        </w:tc>
        <w:tc>
          <w:tcPr>
            <w:tcW w:w="415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投标文件对招标文件实质性要求的响应存在重大偏离或保留。</w:t>
            </w:r>
          </w:p>
        </w:tc>
      </w:tr>
    </w:tbl>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②本项目规定的其他情形：</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采购包1：</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0"/>
        <w:gridCol w:w="71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情形</w:t>
            </w:r>
          </w:p>
        </w:tc>
        <w:tc>
          <w:tcPr>
            <w:tcW w:w="712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其他情形</w:t>
            </w:r>
          </w:p>
        </w:tc>
        <w:tc>
          <w:tcPr>
            <w:tcW w:w="712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文件技术部分实际得分低于招标文件技术部分总分值50%的视为无效投标。（2）技术部分中不得出现报价部分的全部或部分的投标报价信息（或组成资料），否则符合性审查不合格。（3）明显不符合技术规格、技术标准要求的；（4）投标文件组成不符合招标文件要求的；（5）投标文件中提供虚假或失实资料的；内容不全或关键字迹模糊、无法辨认的；（6）投标人名称或组织结构与资格性审查时不一致且未提供有效证明的；（7）采取分包、转包方式履行合同的；（8）投标文件附有采购人不能接受的条件；（9）不符合招标文件中规定的其他实质性要求的均视为未实质性响应招标文件要求，均按照无效投标处理。</w:t>
            </w:r>
          </w:p>
        </w:tc>
      </w:tr>
    </w:tbl>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0"/>
        <w:gridCol w:w="71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情形</w:t>
            </w:r>
          </w:p>
        </w:tc>
        <w:tc>
          <w:tcPr>
            <w:tcW w:w="712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其他情形</w:t>
            </w:r>
          </w:p>
        </w:tc>
        <w:tc>
          <w:tcPr>
            <w:tcW w:w="712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人未在投标文件中完全响应招标文件第五章招标内容及要求中第“三、商务要求”全部条款的。（2）商务部分中不得出现报价部分的全部或部分的投标报价信息（或组成资料）（联合体协议及分包意向协议中的比例规定，不适用本条款），否则符合性审查不合格。（3）投标文件中提供虚假或失实资料的；（4）内容不全或关键字迹模糊、无法辨认的；（5）投标人名称或组织结构与资格性审查时不一致且未提供有效证明的；（6）采取分包、转包方式履行合同的；（7）投标文件附有采购人不能接受的条件；（8）不符合招标文件中规定的其他实质性要求的均视为未实质性响应招标文件要求，均按照无效投标处理。</w:t>
            </w:r>
          </w:p>
        </w:tc>
      </w:tr>
    </w:tbl>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附加符合性：无</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价格符合性：无</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采购包2：</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0"/>
        <w:gridCol w:w="71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情形</w:t>
            </w:r>
          </w:p>
        </w:tc>
        <w:tc>
          <w:tcPr>
            <w:tcW w:w="712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其他情形</w:t>
            </w:r>
          </w:p>
        </w:tc>
        <w:tc>
          <w:tcPr>
            <w:tcW w:w="712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文件技术部分实际得分低于招标文件技术部分总分值50%的视为无效投标。（2）技术部分中不得出现报价部分的全部或部分的投标报价信息（或组成资料），否则符合性审查不合格。（3）明显不符合技术规格、技术标准要求的；（4）投标文件组成不符合招标文件要求的；（5）投标文件中提供虚假或失实资料的；内容不全或关键字迹模糊、无法辨认的；（6）投标人名称或组织结构与资格性审查时不一致且未提供有效证明的；（7）采取分包、转包方式履行合同的；（8）投标文件附有采购人不能接受的条件；（9）不符合招标文件中规定的其他实质性要求的均视为未实质性响应招标文件要求，均按照无效投标处理。</w:t>
            </w:r>
          </w:p>
        </w:tc>
      </w:tr>
    </w:tbl>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0"/>
        <w:gridCol w:w="71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情形</w:t>
            </w:r>
          </w:p>
        </w:tc>
        <w:tc>
          <w:tcPr>
            <w:tcW w:w="712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0"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其他情形</w:t>
            </w:r>
          </w:p>
        </w:tc>
        <w:tc>
          <w:tcPr>
            <w:tcW w:w="712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人未在投标文件中完全响应招标文件第五章招标内容及要求中第“三、商务要求”全部条款的。（2）商务部分中不得出现报价部分的全部或部分的投标报价信息（或组成资料）（联合体协议及分包意向协议中的比例规定，不适用本条款），否则符合性审查不合格。（3）投标文件中提供虚假或失实资料的；（4）内容不全或关键字迹模糊、无法辨认的；（5）投标人名称或组织结构与资格性审查时不一致且未提供有效证明的；（6）采取分包、转包方式履行合同的；（7）投标文件附有采购人不能接受的条件；（8）不符合招标文件中规定的其他实质性要求的均视为未实质性响应招标文件要求，均按照无效投标处理。</w:t>
            </w:r>
          </w:p>
        </w:tc>
      </w:tr>
    </w:tbl>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附加符合性：无</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价格符合性：无</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采购包3：</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5"/>
        <w:gridCol w:w="71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5"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情形</w:t>
            </w:r>
          </w:p>
        </w:tc>
        <w:tc>
          <w:tcPr>
            <w:tcW w:w="7151"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5"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其他情形</w:t>
            </w:r>
          </w:p>
        </w:tc>
        <w:tc>
          <w:tcPr>
            <w:tcW w:w="7151"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文件技术部分实际得分低于招标文件技术部分总分值50%的视为无效投标。（2）技术部分中不得出现报价部分的全部或部分的投标报价信息（或组成资料），否则符合性审查不合格。（3）明显不符合技术规格、技术标准要求的；（4）投标文件组成不符合招标文件要求的；（5）投标文件中提供虚假或失实资料的；内容不全或关键字迹模糊、无法辨认的；（6）投标人名称或组织结构与资格性审查时不一致且未提供有效证明的；（7）采取分包、转包方式履行合同的；（8）投标文件附有采购人不能接受的条件；（9）不符合招标文件中规定的其他实质性要求的均视为未实质性响应招标文件要求，均按照无效投标处理。</w:t>
            </w:r>
          </w:p>
        </w:tc>
      </w:tr>
    </w:tbl>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5"/>
        <w:gridCol w:w="71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5"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情形</w:t>
            </w:r>
          </w:p>
        </w:tc>
        <w:tc>
          <w:tcPr>
            <w:tcW w:w="7151"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5"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其他情形</w:t>
            </w:r>
          </w:p>
        </w:tc>
        <w:tc>
          <w:tcPr>
            <w:tcW w:w="7151"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人未在投标文件中完全响应招标文件第五章招标内容及要求中第“三、商务要求”全部条款的。（2）商务部分中不得出现报价部分的全部或部分的投标报价信息（或组成资料）（联合体协议及分包意向协议中的比例规定，不适用本条款），否则符合性审查不合格。（3）投标文件中提供虚假或失实资料的；（4）内容不全或关键字迹模糊、无法辨认的；（5）投标人名称或组织结构与资格性审查时不一致且未提供有效证明的；（6）采取分包、转包方式履行合同的；（7）投标文件附有采购人不能接受的条件；（8）不符合招标文件中规定的其他实质性要求的均视为未实质性响应招标文件要求，均按照无效投标处理。</w:t>
            </w:r>
          </w:p>
        </w:tc>
      </w:tr>
    </w:tbl>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附加符合性：无</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价格符合性：无</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6.3澄清有关问题</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（1）对通过符合性审查的电子投标文件中含义不明确、同类问题表述不一致或有明显文字和计算错误的内容，评标委员会将以书面形式要求投标人作出必要的澄清、说明或补正。</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（3）电子投标文件报价出现前后不一致的，除招标文件另有规定外，按照下列规定修正：</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①开标一览表内容与电子投标文件中相应内容不一致的，以开标一览表为准；</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②大写金额和小写金额不一致的，以大写金额为准；</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③单价金额小数点或百分比有明显错位的，以开标一览表的总价为准，并修改单价；</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④总价金额与按照单价汇总金额不一致的，以单价金额计算结果为准。</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※同时出现两种以上不一致的，按照前款规定的顺序修正。修正后的报价应按照本章第6.3条第（1）、（2）款规定经投标人确认后产生约束力，投标人不确认的，其投标无效。</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（4）关于细微偏差</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②评标委员会将以书面形式要求存在细微偏差的投标人在评标委员会规定的时间内予以补正。若无法补正，则评标委员会将按照不利于投标人的内容进行认定。</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（5）关于投标描述（即电子投标文件中描述的内容）</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①投标描述前后不一致且不涉及证明材料的：按照本章第6.3条第（1）、（2）款规定执行。</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②投标描述与证明材料不一致或多份证明材料之间不一致的：</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a.评标委员会将要求投标人进行书面澄清，并按照不利于投标人的内容进行评标。</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6.4比较与评价</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（1）按照本章第7条载明的评标方法和标准，对符合性审查合格的电子投标文件进行比较与评价。</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（2）关于相同品牌产品（政府采购服务类项目不适用本条款规定）</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a.招标文件规定的方式：</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无。</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b.招标文件未规定的，采取随机抽取方式确定，其他投标无效。</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a.招标文件规定的方式：</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无。</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b.招标文件未规定的，采取随机抽取方式确定，其他同品牌投标人不作为中标候选人。</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③非单一产品采购项目，多家投标人提供的核心产品品牌相同的，按照本章第6.4条第（2）款第①、②规定处理。</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（3）漏（缺）项</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①招标文件中要求列入报价的费用（含配置、功能），漏（缺）项的报价视为已经包括在投标总价中。</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②对多报项及赠送项的价格评标时不予核减，全部进入评标价评议。</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6.5推荐中标候选人：详见本章第7.2条规定。</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6.6编写评标报告</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（1）评标报告由评标委员会负责编写。</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（2）评标报告应包括下列内容：</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①招标公告刊登的媒体名称、开标日期和地点；</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②投标人名单和评标委员会成员名单；</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③评标方法和标准；</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④开标记录和评标情况及说明，包括无效投标人名单及原因；</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⑤评标结果，包括中标候选人名单或确定的中标人；</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⑥其他需要说明的情况，包括但不限于：评标过程中投标人的澄清、说明或补正，评委更换等。</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6.8评委对需要共同认定的事项存在争议的，应按照少数服从多数的原则进行认定。持不同意见的评委应在评标报告上签署不同意见及理由，否则视为同意评标报告。</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6.9在评标过程中发现投标人有下列情形之一的，评标委员会应认定其投标无效，并书面报告本项目监督管理部门：</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（1）恶意串通（包括但不限于招标文件第三章第9.7条规定情形）；</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（2）妨碍其他投标人的竞争行为；</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（3）损害采购人或其他投标人的合法权益。</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6.10评标过程中，有下列情形之一的，应予废标：</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（1）符合性审查合格的投标人不足三家的；</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（2）有关法律、法规和规章规定废标的情形。</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※若废标，则本次采购活动结束， 福建康泰招标有限公司 将依法组织后续采购活动（包括但不限于：重新招标、采用其他方式采购等）。</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7、评标方法和标准</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7.1评标方法：</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采购包1：综合评分法</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采购包2：综合评分法</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采购包3：综合评分法</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7.2评标标准</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采购包1：综合评分法</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（1）投标文件满足招标文件全部实质性要求，且按照评审因素的量化指标评审得分（即评标总得分）最高的投标人为中标候选人。</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各项评审因素的设置如下：</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价格项（F1×A1）满分为30.00分</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价格扣除的规则如下：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43"/>
        <w:gridCol w:w="1225"/>
        <w:gridCol w:w="912"/>
        <w:gridCol w:w="5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3"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项目</w:t>
            </w:r>
          </w:p>
        </w:tc>
        <w:tc>
          <w:tcPr>
            <w:tcW w:w="1225"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适用对象</w:t>
            </w:r>
          </w:p>
        </w:tc>
        <w:tc>
          <w:tcPr>
            <w:tcW w:w="912"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比例</w:t>
            </w:r>
          </w:p>
        </w:tc>
        <w:tc>
          <w:tcPr>
            <w:tcW w:w="502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3"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小型、微型企业，监狱企业，残疾人福利性单位</w:t>
            </w:r>
          </w:p>
        </w:tc>
        <w:tc>
          <w:tcPr>
            <w:tcW w:w="1225"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投标人或者联合体均为小型、微型企业</w:t>
            </w:r>
          </w:p>
        </w:tc>
        <w:tc>
          <w:tcPr>
            <w:tcW w:w="912" w:type="dxa"/>
          </w:tcPr>
          <w:p>
            <w:pPr>
              <w:pStyle w:val="9"/>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15.00%</w:t>
            </w:r>
          </w:p>
        </w:tc>
        <w:tc>
          <w:tcPr>
            <w:tcW w:w="502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政府采购促进中小企业发展管理办法》、《关于进一步加大政府采购支持中小企业力度的通知》、《福建省财政厅关于进一步加大政府采购支持中小企业力度的通知》价格的扣除：1、根据《关于印发&lt;政府采购促进中小企业发展管理办法&gt;的通知》（财库〔2020〕46号）文件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根据《关于进一步加大政府采购支持中小企业力度的通知》（财库〔2022〕19号）、《福建省财政厅关于进一步加大政府采购支持中小企业力度的通知》（闽财规〔2022〕13号）等文件规定，本项目将对符合本办法规定的小微企业报价给予15%（工程项目为5%）的扣除，用扣除后的价格参加评审。中小企业适用价格扣除办法时应提供《中小企业声明函》，否则不予价格扣除。2、依据本办法规定享受扶持政策获得政府采购合同的，小微企业不得将合同分包给大中型企业，中型企业不得将合同分包给大型企业。3、本项目为货物类采购项目，采购标的对应的中小企业划分标准所属行业为“工业”。二、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工程项目为5%）的评审价格扣除优惠。三、残疾人福利性单位价格的扣除：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中华人民共和国政府采购法》、《中华人民共和国残疾人保障法》等法律法规及相关规定，享受政府采购支持政策的残疾人福利性单位应当同时满足以下条件：(1)安置的残疾人占本单位在职职工人数的比例不低于25%(含25%)，并且安置的残疾人人数不少于10人(含10人)；(2)依法与安置的每位残疾人签订了一年以上(含一年)的劳动合同或服务协议；(3)为安置的每位残疾人按月足额缴纳了基本养老保险、基本医疗保险、失业保险、工伤保险和生育保险等社会保险费；(4)通过银行等金融机构向安置的每位残疾人，按月支付了不低于单位所在区县适用的经省级人民政府批准的月最低工资标准的工资；(5)提供本单位制造的货物、承担的工程或者服务，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2、符合规定的残疾人福利性单位参加政府采购活动视同小型、微型企业，提供《残疾人福利性单位声明函》（详见第七章投标文件格式）并对声明的真实性负责，其报价享受15%（工程项目为5%）的评审价格扣除优惠。残疾人福利性单位属于小型、微型企业的，不重复享受政策，按残疾人福利性单位价格扣除标准执行。残疾人福利性单位参与货物项目的，须在投标文件中写明具体哪些货物是由本单位制造，或者由其他残疾人福利性单位制造（不包括使用非残疾人福利性单位注册商标的货物），并对其进行标注。注：1、根据《财政部 民政部 中国残疾人联合会关于促进残疾人就业政府采购政策的通知》(财库〔2017〕141号)的规定，中标供应商为残疾人福利性单位的，采购代理机构将随中标结果同时公告其《残疾人福利性单位声明函》，接受社会监督。供应商提供的《残疾人福利性单位声明函》与事实不符的，将依照《中华人民共和国政府采购法》第七十七条第一款的规定被追究法律责任。(本文件中其他有关对小微企业及其报价扣除描述情况与此处不一致的，以此处为准)。</w:t>
            </w:r>
          </w:p>
        </w:tc>
      </w:tr>
    </w:tbl>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其他：无</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技术项（F2×A2）满分为60.00分</w:t>
      </w:r>
    </w:p>
    <w:tbl>
      <w:tblPr>
        <w:tblStyle w:val="6"/>
        <w:tblW w:w="485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06"/>
        <w:gridCol w:w="850"/>
        <w:gridCol w:w="62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val="en-US" w:eastAsia="zh-CN" w:bidi="ar"/>
              </w:rPr>
              <w:t>项目</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val="en-US" w:eastAsia="zh-CN" w:bidi="ar"/>
              </w:rPr>
              <w:t>分值</w:t>
            </w:r>
          </w:p>
        </w:tc>
        <w:tc>
          <w:tcPr>
            <w:tcW w:w="62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1、技术要求响应情况</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60.00</w:t>
            </w:r>
          </w:p>
        </w:tc>
        <w:tc>
          <w:tcPr>
            <w:tcW w:w="62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根据投标人所投设备对招标文件《第五章 招标内容及要求》“二、技术和服务要求”采购包1中各项要求的响应承诺情况，由评委进行评分：完全满足招标文件要求（按项号计算，共计33项）的得60分；其中标注“★”符号的技术参数（按项号计算，共计4项）为不允许负偏离的实质性要求，出现负偏离按无效投标处理；标注“▲”符号的技术参数（按项号计算，共计9项）每负偏离一项扣3分，正偏离不加分。未标注“★”和“▲”符号的技术参数（按项号计算，共计20项）每负偏离一项扣1.65分，正偏离不加分。</w:t>
            </w:r>
          </w:p>
        </w:tc>
      </w:tr>
    </w:tbl>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商务项（F3×A3）满分为10.00分</w:t>
      </w:r>
    </w:p>
    <w:tbl>
      <w:tblPr>
        <w:tblStyle w:val="6"/>
        <w:tblW w:w="485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06"/>
        <w:gridCol w:w="850"/>
        <w:gridCol w:w="62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val="en-US" w:eastAsia="zh-CN" w:bidi="ar"/>
              </w:rPr>
              <w:t>项目</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val="en-US" w:eastAsia="zh-CN" w:bidi="ar"/>
              </w:rPr>
              <w:t>分值</w:t>
            </w:r>
          </w:p>
        </w:tc>
        <w:tc>
          <w:tcPr>
            <w:tcW w:w="62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1、业绩</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3.00</w:t>
            </w:r>
          </w:p>
        </w:tc>
        <w:tc>
          <w:tcPr>
            <w:tcW w:w="62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根据投标人提供自2020年1月1日起至本项目投标截止时间止（日期以合同签订时间为准）由投标人在国内所完成的与本次投标同类产品项目业绩情况，由评委进行评分：每提供1份业绩得1分，满分3分。投标人应如实提供该业绩项目的中标公告（提供相关网站中标公告的下载网页并注明网址）、中标通知书复印件、采购合同文本复印件，以及能够证明该业绩项目已经采购人验收合格的相关证明文件复印件。未提供或证明材料提供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2、质保期承诺</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3.00</w:t>
            </w:r>
          </w:p>
        </w:tc>
        <w:tc>
          <w:tcPr>
            <w:tcW w:w="62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根据投标人对投标货物免费质保期的承诺情况，由评委进行评分：全部货物免费保修期在招标文件要求的基础上（5年），每延长1年得1分，满分3分。投标人须提供承诺函（格式自拟），未提供的不得分。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3、技术培训方案</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2.00</w:t>
            </w:r>
          </w:p>
        </w:tc>
        <w:tc>
          <w:tcPr>
            <w:tcW w:w="62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根据投标人针对本项目提供的技术培训方案（包括但不限于：管理人员、操作人员、设备维护人员进行培训等情况），由评委进行评分：方案包含的要点齐全无缺漏项、内容与要点相符、每个要点均有展开详细的阐述且能够适用于本项目得2分；方案所包含的要点齐全、内容与要点相符、每个要点均有展开阐述（没有特别具体）但基本能够适用于本项目的得1分；方案所包含的要点有缺漏、内容与要点相符但仅有纲要、内容简略，未展开详细阐述但基本能够适用于本项目的得0.5分；未提供方案或内容存在明显错误、内容明显不适用于本项目需求的均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4、售后服务方案</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2.00</w:t>
            </w:r>
          </w:p>
        </w:tc>
        <w:tc>
          <w:tcPr>
            <w:tcW w:w="62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根据投标人针对本项目提供的售后服务方案（包括但不限于：具体的售后服务内容、故障响应时间等），由评委进行评分：方案包含的要点齐全无缺漏项、内容与要点相符、每个要点均有展开详细的阐述且能够适用于本项目得2分；方案所包含的要点齐全、内容与要点相符、每个要点均有展开阐述（没有特别具体）但基本能够适用于本项目的得1分；方案所包含的要点有缺漏、内容与要点相符但仅有纲要、内容简略，未展开详细阐述但基本能够适用于本项目的得0.5分；未提供方案或内容存在明显错误、内容明显不适用于本项目需求的均不得分。</w:t>
            </w:r>
          </w:p>
        </w:tc>
      </w:tr>
    </w:tbl>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加分项（F4×A4）</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7"/>
        <w:gridCol w:w="737"/>
        <w:gridCol w:w="63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7"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项目</w:t>
            </w:r>
          </w:p>
        </w:tc>
        <w:tc>
          <w:tcPr>
            <w:tcW w:w="737"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分值</w:t>
            </w:r>
          </w:p>
        </w:tc>
        <w:tc>
          <w:tcPr>
            <w:tcW w:w="6362"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7"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节能、环境标志产品</w:t>
            </w:r>
          </w:p>
        </w:tc>
        <w:tc>
          <w:tcPr>
            <w:tcW w:w="737" w:type="dxa"/>
          </w:tcPr>
          <w:p>
            <w:pPr>
              <w:pStyle w:val="9"/>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7.20</w:t>
            </w:r>
          </w:p>
        </w:tc>
        <w:tc>
          <w:tcPr>
            <w:tcW w:w="6362"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按财政部 发展改革委 生态环境部 市场监管总局印发《关于调整优化节能产品、环境标志产品政府采购执行机制的通知》(财库〔2019〕9号)、《关于印发环境标志产品政府采购品目清单的通知》财库〔2019〕18号 和《关于印发节能产品政府采购品目清单的通知》(财库〔2019〕19号)的规定执行。根据《关于调整优化节能产品、环境标志产品政府采购执行机制的通知》(财库〔2019〕9号)的规定，“采购人拟采购的产品属于品目清单范围的，采购人及其委托的采购代理机构应当依据国家确定的认证机构出具的、处于有效期之内的节能产品、环境标志产品认证证书，对获得证书的产品实施政府优先采购或强制采购。” 本次采购货物中如属政府强制采购节能产品的，投标人须提供国家确定的认证机构出具的、处于有效期之内的节能产品、环境标志产品认证证书则按以下标准进行评审优惠： ①、若同一合同包内的节能(非强制类产品)、减排、环境标志产品报价总金额低于本合同包报价总金额20%(含20%)以下的，将分别给予节能、减排、环境标志产品价格评标项和技术评标项标准总分值4％的加分； ②、若同一合同包内节能(非强制类产品)、减排、环境标志产品报价总金额占本合同包报价总金额20%-50%(含50%)的，将分别给予节能、减排、环境标志产品在价格评标项和技术评标项标准总分值6％的加分； ③、若同一合同包内节能(非强制类产品)、减排、环境标志产品报价总金额占本合同包报价总金额50%以上的，将分别给予节能、减排、环境标志产品在价格评标项和技术评标项标准总分值8％的加分。 注：对于同时列入“品目清单”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若节能、环境标志清单内的产品仅是构成投标产品的部件、组件或零件的，则该投标产品不享受鼓励优惠政策。评标委员会审查此项响应性只根据投标文件本身的内容，而不寻求其他的外部证据。</w:t>
            </w:r>
          </w:p>
        </w:tc>
      </w:tr>
    </w:tbl>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（4）中标候选人排列规则顺序如下：</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a.按照评标总得分（FA）由高到低顺序排列。</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b.评标总得分（FA）相同的，按照评标价（即价格扣除后的投标报价）由低到高顺序排列。</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c.评标总得分（FA）且评标价（即价格扣除后的投标报价）相同的并列。</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采购包2：综合评分法</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（1）投标文件满足招标文件全部实质性要求，且按照评审因素的量化指标评审得分（即评标总得分）最高的投标人为中标候选人。</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各项评审因素的设置如下：</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价格项（F1×A1）满分为30.00分</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价格扣除的规则如下：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07"/>
        <w:gridCol w:w="1325"/>
        <w:gridCol w:w="862"/>
        <w:gridCol w:w="48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7"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项目</w:t>
            </w:r>
          </w:p>
        </w:tc>
        <w:tc>
          <w:tcPr>
            <w:tcW w:w="1325"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适用对象</w:t>
            </w:r>
          </w:p>
        </w:tc>
        <w:tc>
          <w:tcPr>
            <w:tcW w:w="862"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比例</w:t>
            </w:r>
          </w:p>
        </w:tc>
        <w:tc>
          <w:tcPr>
            <w:tcW w:w="4812"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7"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小型、微型企业，监狱企业，残疾人福利性单位</w:t>
            </w:r>
          </w:p>
        </w:tc>
        <w:tc>
          <w:tcPr>
            <w:tcW w:w="1325"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投标人或者联合体均为小型、微型企业</w:t>
            </w:r>
          </w:p>
        </w:tc>
        <w:tc>
          <w:tcPr>
            <w:tcW w:w="862" w:type="dxa"/>
          </w:tcPr>
          <w:p>
            <w:pPr>
              <w:pStyle w:val="9"/>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15.00%</w:t>
            </w:r>
          </w:p>
        </w:tc>
        <w:tc>
          <w:tcPr>
            <w:tcW w:w="4812"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政府采购促进中小企业发展管理办法》、《关于进一步加大政府采购支持中小企业力度的通知》、《福建省财政厅关于进一步加大政府采购支持中小企业力度的通知》价格的扣除：1、根据《关于印发&lt;政府采购促进中小企业发展管理办法&gt;的通知》（财库〔2020〕46号）文件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根据《关于进一步加大政府采购支持中小企业力度的通知》（财库〔2022〕19号）、《福建省财政厅关于进一步加大政府采购支持中小企业力度的通知》（闽财规〔2022〕13号）等文件规定，本项目将对符合本办法规定的小微企业报价给予15%（工程项目为5%）的扣除，用扣除后的价格参加评审。中小企业适用价格扣除办法时应提供《中小企业声明函》，否则不予价格扣除。2、依据本办法规定享受扶持政策获得政府采购合同的，小微企业不得将合同分包给大中型企业，中型企业不得将合同分包给大型企业。3、本项目为货物类采购项目，采购标的对应的中小企业划分标准所属行业为“工业”。二、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工程项目为5%）的评审价格扣除优惠。三、残疾人福利性单位价格的扣除：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中华人民共和国政府采购法》、《中华人民共和国残疾人保障法》等法律法规及相关规定，享受政府采购支持政策的残疾人福利性单位应当同时满足以下条件：(1)安置的残疾人占本单位在职职工人数的比例不低于25%(含25%)，并且安置的残疾人人数不少于10人(含10人)；(2)依法与安置的每位残疾人签订了一年以上(含一年)的劳动合同或服务协议；(3)为安置的每位残疾人按月足额缴纳了基本养老保险、基本医疗保险、失业保险、工伤保险和生育保险等社会保险费；(4)通过银行等金融机构向安置的每位残疾人，按月支付了不低于单位所在区县适用的经省级人民政府批准的月最低工资标准的工资；(5)提供本单位制造的货物、承担的工程或者服务，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2、符合规定的残疾人福利性单位参加政府采购活动视同小型、微型企业，提供《残疾人福利性单位声明函》（详见第七章投标文件格式）并对声明的真实性负责，其报价享受15%（工程项目为5%）的评审价格扣除优惠。残疾人福利性单位属于小型、微型企业的，不重复享受政策，按残疾人福利性单位价格扣除标准执行。残疾人福利性单位参与货物项目的，须在投标文件中写明具体哪些货物是由本单位制造，或者由其他残疾人福利性单位制造（不包括使用非残疾人福利性单位注册商标的货物），并对其进行标注。注：1、根据《财政部 民政部 中国残疾人联合会关于促进残疾人就业政府采购政策的通知》(财库〔2017〕141号)的规定，中标供应商为残疾人福利性单位的，采购代理机构将随中标结果同时公告其《残疾人福利性单位声明函》，接受社会监督。供应商提供的《残疾人福利性单位声明函》与事实不符的，将依照《中华人民共和国政府采购法》第七十七条第一款的规定被追究法律责任。(本文件中其他有关对小微企业及其报价扣除描述情况与此处不一致的，以此处为准)。</w:t>
            </w:r>
          </w:p>
        </w:tc>
      </w:tr>
    </w:tbl>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其他：无</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技术项（F2×A2）满分为60.00分</w:t>
      </w:r>
    </w:p>
    <w:tbl>
      <w:tblPr>
        <w:tblStyle w:val="6"/>
        <w:tblW w:w="485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06"/>
        <w:gridCol w:w="850"/>
        <w:gridCol w:w="62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val="en-US" w:eastAsia="zh-CN" w:bidi="ar"/>
              </w:rPr>
              <w:t>项目</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val="en-US" w:eastAsia="zh-CN" w:bidi="ar"/>
              </w:rPr>
              <w:t>分值</w:t>
            </w:r>
          </w:p>
        </w:tc>
        <w:tc>
          <w:tcPr>
            <w:tcW w:w="62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1、技术要求响应情况</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60.00</w:t>
            </w:r>
          </w:p>
        </w:tc>
        <w:tc>
          <w:tcPr>
            <w:tcW w:w="62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根据投标人所投设备对招标文件《第五章 招标内容及要求》“二、技术和服务要求”采购包2中各项要求的响应承诺情况，由评委进行评分：完全满足招标文件要求（按项号计算，共计86项）的得60分；其中标注“★”符号的技术参数（按项号计算，共计2项）为不允许负偏离的实质性要求，出现负偏离按无效投标处理；标注“▲”符号的技术参数（按项号计算，共计4项）每负偏离一项扣3分，正偏离不加分。未标注“★”和“▲”符号的技术参数（按项号计算，共计80项）每负偏离一项扣0.6分，正偏离不加分。</w:t>
            </w:r>
          </w:p>
        </w:tc>
      </w:tr>
    </w:tbl>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商务项（F3×A3）满分为10.00分</w:t>
      </w:r>
    </w:p>
    <w:tbl>
      <w:tblPr>
        <w:tblStyle w:val="6"/>
        <w:tblW w:w="485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06"/>
        <w:gridCol w:w="850"/>
        <w:gridCol w:w="62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val="en-US" w:eastAsia="zh-CN" w:bidi="ar"/>
              </w:rPr>
              <w:t>项目</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val="en-US" w:eastAsia="zh-CN" w:bidi="ar"/>
              </w:rPr>
              <w:t>分值</w:t>
            </w:r>
          </w:p>
        </w:tc>
        <w:tc>
          <w:tcPr>
            <w:tcW w:w="62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1、业绩</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3.00</w:t>
            </w:r>
          </w:p>
        </w:tc>
        <w:tc>
          <w:tcPr>
            <w:tcW w:w="62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根据投标人提供自2020年1月1日起至本项目投标截止时间止（日期以合同签订时间为准）由投标人在国内所完成的与本次投标同类产品项目业绩情况，由评委进行评分：每提供1份业绩得1分，满分3分。投标人应如实提供该业绩项目的中标公告（提供相关网站中标公告的下载网页并注明网址）、中标通知书复印件、采购合同文本复印件，以及能够证明该业绩项目已经采购人验收合格的相关证明文件复印件。未提供或证明材料提供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2、质保期承诺</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3.00</w:t>
            </w:r>
          </w:p>
        </w:tc>
        <w:tc>
          <w:tcPr>
            <w:tcW w:w="62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根据投标人对投标货物免费质保期的承诺情况，由评委进行评分：全部货物免费保修期在招标文件要求的基础上（2年），每延长1年得1分，满分3分。投标人须提供承诺函（格式自拟），未提供的不得分。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3、技术培训方案</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2.00</w:t>
            </w:r>
          </w:p>
        </w:tc>
        <w:tc>
          <w:tcPr>
            <w:tcW w:w="62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根据投标人针对本项目提供的技术培训方案（包括但不限于：管理人员、操作人员、设备维护人员进行培训等情况），由评委进行评分：方案包含的要点齐全无缺漏项、内容与要点相符、每个要点均有展开详细的阐述且能够适用于本项目得2分；方案所包含的要点齐全、内容与要点相符、每个要点均有展开阐述（没有特别具体）但基本能够适用于本项目的得1分；方案所包含的要点有缺漏、内容与要点相符但仅有纲要、内容简略，未展开详细阐述但基本能够适用于本项目的得0.5分；未提供方案或内容存在明显错误、内容明显不适用于本项目需求的均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4、售后服务方案</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2.00</w:t>
            </w:r>
          </w:p>
        </w:tc>
        <w:tc>
          <w:tcPr>
            <w:tcW w:w="62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根据投标人针对本项目提供的售后服务方案（包括但不限于：具体的售后服务内容、故障响应时间等），由评委进行评分：方案包含的要点齐全无缺漏项、内容与要点相符、每个要点均有展开详细的阐述且能够适用于本项目得2分；方案所包含的要点齐全、内容与要点相符、每个要点均有展开阐述（没有特别具体）但基本能够适用于本项目的得1分；方案所包含的要点有缺漏、内容与要点相符但仅有纲要、内容简略，未展开详细阐述但基本能够适用于本项目的得0.5分；未提供方案或内容存在明显错误、内容明显不适用于本项目需求的均不得分。</w:t>
            </w:r>
          </w:p>
        </w:tc>
      </w:tr>
    </w:tbl>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加分项（F4×A4）</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7"/>
        <w:gridCol w:w="687"/>
        <w:gridCol w:w="60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7"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项目</w:t>
            </w:r>
          </w:p>
        </w:tc>
        <w:tc>
          <w:tcPr>
            <w:tcW w:w="687" w:type="dxa"/>
          </w:tcPr>
          <w:p>
            <w:pPr>
              <w:pStyle w:val="9"/>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分值</w:t>
            </w:r>
          </w:p>
        </w:tc>
        <w:tc>
          <w:tcPr>
            <w:tcW w:w="6012"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7"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节能、环境标志产品</w:t>
            </w:r>
          </w:p>
        </w:tc>
        <w:tc>
          <w:tcPr>
            <w:tcW w:w="687" w:type="dxa"/>
          </w:tcPr>
          <w:p>
            <w:pPr>
              <w:pStyle w:val="9"/>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7.20</w:t>
            </w:r>
          </w:p>
        </w:tc>
        <w:tc>
          <w:tcPr>
            <w:tcW w:w="6012"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按财政部 发展改革委 生态环境部 市场监管总局印发《关于调整优化节能产品、环境标志产品政府采购执行机制的通知》(财库〔2019〕9号)、《关于印发环境标志产品政府采购品目清单的通知》财库〔2019〕18号 和《关于印发节能产品政府采购品目清单的通知》(财库〔2019〕19号)的规定执行。根据《关于调整优化节能产品、环境标志产品政府采购执行机制的通知》(财库〔2019〕9号)的规定，“采购人拟采购的产品属于品目清单范围的，采购人及其委托的采购代理机构应当依据国家确定的认证机构出具的、处于有效期之内的节能产品、环境标志产品认证证书，对获得证书的产品实施政府优先采购或强制采购。” 本次采购货物中如属政府强制采购节能产品的，投标人须提供国家确定的认证机构出具的、处于有效期之内的节能产品、环境标志产品认证证书则按以下标准进行评审优惠： ①、若同一合同包内的节能(非强制类产品)、减排、环境标志产品报价总金额低于本合同包报价总金额20%(含20%)以下的，将分别给予节能、减排、环境标志产品价格评标项和技术评标项标准总分值4％的加分； ②、若同一合同包内节能(非强制类产品)、减排、环境标志产品报价总金额占本合同包报价总金额20%-50%(含50%)的，将分别给予节能、减排、环境标志产品在价格评标项和技术评标项标准总分值6％的加分； ③、若同一合同包内节能(非强制类产品)、减排、环境标志产品报价总金额占本合同包报价总金额50%以上的，将分别给予节能、减排、环境标志产品在价格评标项和技术评标项标准总分值8％的加分。 注：对于同时列入“品目清单”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若节能、环境标志清单内的产品仅是构成投标产品的部件、组件或零件的，则该投标产品不享受鼓励优惠政策。评标委员会审查此项响应性只根据投标文件本身的内容，而不寻求其他的外部证据。</w:t>
            </w:r>
          </w:p>
        </w:tc>
      </w:tr>
    </w:tbl>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（4）中标候选人排列规则顺序如下：</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a.按照评标总得分（FA）由高到低顺序排列。</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b.评标总得分（FA）相同的，按照评标价（即价格扣除后的投标报价）由低到高顺序排列。</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c.评标总得分（FA）且评标价（即价格扣除后的投标报价）相同的并列。</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采购包3：综合评分法</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（1）投标文件满足招标文件全部实质性要求，且按照评审因素的量化指标评审得分（即评标总得分）最高的投标人为中标候选人。</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各项评审因素的设置如下：</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价格项（F1×A1）满分为30.00分</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价格扣除的规则如下：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4"/>
        <w:gridCol w:w="1188"/>
        <w:gridCol w:w="850"/>
        <w:gridCol w:w="50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4"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项目</w:t>
            </w:r>
          </w:p>
        </w:tc>
        <w:tc>
          <w:tcPr>
            <w:tcW w:w="1188"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适用对象</w:t>
            </w:r>
          </w:p>
        </w:tc>
        <w:tc>
          <w:tcPr>
            <w:tcW w:w="850"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比例</w:t>
            </w:r>
          </w:p>
        </w:tc>
        <w:tc>
          <w:tcPr>
            <w:tcW w:w="5024"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4"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小型、微型企业，监狱企业，残疾人福利性单位</w:t>
            </w:r>
          </w:p>
        </w:tc>
        <w:tc>
          <w:tcPr>
            <w:tcW w:w="1188"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投标人或者联合体均为小型、微型企业</w:t>
            </w:r>
          </w:p>
        </w:tc>
        <w:tc>
          <w:tcPr>
            <w:tcW w:w="850" w:type="dxa"/>
          </w:tcPr>
          <w:p>
            <w:pPr>
              <w:pStyle w:val="9"/>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15.00%</w:t>
            </w:r>
          </w:p>
        </w:tc>
        <w:tc>
          <w:tcPr>
            <w:tcW w:w="5024"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政府采购促进中小企业发展管理办法》、《关于进一步加大政府采购支持中小企业力度的通知》、《福建省财政厅关于进一步加大政府采购支持中小企业力度的通知》价格的扣除：1、根据《关于印发&lt;政府采购促进中小企业发展管理办法&gt;的通知》（财库〔2020〕46号）文件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根据《关于进一步加大政府采购支持中小企业力度的通知》（财库〔2022〕19号）、《福建省财政厅关于进一步加大政府采购支持中小企业力度的通知》（闽财规〔2022〕13号）等文件规定，本项目将对符合本办法规定的小微企业报价给予15%（工程项目为5%）的扣除，用扣除后的价格参加评审。中小企业适用价格扣除办法时应提供《中小企业声明函》，否则不予价格扣除。2、依据本办法规定享受扶持政策获得政府采购合同的，小微企业不得将合同分包给大中型企业，中型企业不得将合同分包给大型企业。3、本项目为货物类采购项目，采购标的对应的中小企业划分标准所属行业为“工业”。二、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工程项目为5%）的评审价格扣除优惠。三、残疾人福利性单位价格的扣除：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中华人民共和国政府采购法》、《中华人民共和国残疾人保障法》等法律法规及相关规定，享受政府采购支持政策的残疾人福利性单位应当同时满足以下条件：(1)安置的残疾人占本单位在职职工人数的比例不低于25%(含25%)，并且安置的残疾人人数不少于10人(含10人)；(2)依法与安置的每位残疾人签订了一年以上(含一年)的劳动合同或服务协议；(3)为安置的每位残疾人按月足额缴纳了基本养老保险、基本医疗保险、失业保险、工伤保险和生育保险等社会保险费；(4)通过银行等金融机构向安置的每位残疾人，按月支付了不低于单位所在区县适用的经省级人民政府批准的月最低工资标准的工资；(5)提供本单位制造的货物、承担的工程或者服务，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2、符合规定的残疾人福利性单位参加政府采购活动视同小型、微型企业，提供《残疾人福利性单位声明函》（详见第七章投标文件格式）并对声明的真实性负责，其报价享受15%（工程项目为5%）的评审价格扣除优惠。残疾人福利性单位属于小型、微型企业的，不重复享受政策，按残疾人福利性单位价格扣除标准执行。残疾人福利性单位参与货物项目的，须在投标文件中写明具体哪些货物是由本单位制造，或者由其他残疾人福利性单位制造（不包括使用非残疾人福利性单位注册商标的货物），并对其进行标注。注：1、根据《财政部 民政部 中国残疾人联合会关于促进残疾人就业政府采购政策的通知》(财库〔2017〕141号)的规定，中标供应商为残疾人福利性单位的，采购代理机构将随中标结果同时公告其《残疾人福利性单位声明函》，接受社会监督。供应商提供的《残疾人福利性单位声明函》与事实不符的，将依照《中华人民共和国政府采购法》第七十七条第一款的规定被追究法律责任。(本文件中其他有关对小微企业及其报价扣除描述情况与此处不一致的，以此处为准)。</w:t>
            </w:r>
          </w:p>
        </w:tc>
      </w:tr>
    </w:tbl>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其他：无</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技术项（F2×A2）满分为60.00分</w:t>
      </w:r>
    </w:p>
    <w:tbl>
      <w:tblPr>
        <w:tblStyle w:val="6"/>
        <w:tblW w:w="485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06"/>
        <w:gridCol w:w="850"/>
        <w:gridCol w:w="62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val="en-US" w:eastAsia="zh-CN" w:bidi="ar"/>
              </w:rPr>
              <w:t>项目</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val="en-US" w:eastAsia="zh-CN" w:bidi="ar"/>
              </w:rPr>
              <w:t>分值</w:t>
            </w:r>
          </w:p>
        </w:tc>
        <w:tc>
          <w:tcPr>
            <w:tcW w:w="62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1、技术要求响应情况</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60.00</w:t>
            </w:r>
          </w:p>
        </w:tc>
        <w:tc>
          <w:tcPr>
            <w:tcW w:w="62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根据投标人所投设备对招标文件《第五章 招标内容及要求》“二、技术和服务要求”采购包3中各项要求的响应承诺情况，由评委进行评分：完全满足招标文件要求（按项号计算，共计95项）的得60分；其中标注“★”符号的技术参数（按项号计算，共计2项）为不允许负偏离的实质性要求，出现负偏离按无效投标处理；标注“▲”符号的技术参数（按项号计算，共计9项）每负偏离一项扣2分，正偏离不加分。未标注“★”和“▲”符号的技术参数（按项号计算，共计8</w:t>
            </w:r>
            <w:r>
              <w:rPr>
                <w:rFonts w:hint="default" w:ascii="宋体" w:hAnsi="宋体" w:eastAsia="宋体" w:cs="宋体"/>
                <w:color w:val="auto"/>
                <w:kern w:val="0"/>
                <w:sz w:val="20"/>
                <w:szCs w:val="20"/>
                <w:highlight w:val="none"/>
                <w:lang w:val="en-US" w:eastAsia="zh-CN" w:bidi="ar"/>
              </w:rPr>
              <w:t>4</w:t>
            </w:r>
            <w:r>
              <w:rPr>
                <w:rFonts w:hint="eastAsia" w:ascii="宋体" w:hAnsi="宋体" w:eastAsia="宋体" w:cs="宋体"/>
                <w:color w:val="auto"/>
                <w:kern w:val="0"/>
                <w:sz w:val="20"/>
                <w:szCs w:val="20"/>
                <w:highlight w:val="none"/>
                <w:lang w:val="en-US" w:eastAsia="zh-CN" w:bidi="ar"/>
              </w:rPr>
              <w:t>项）每负偏离一项扣0.5分，正偏离不加分。</w:t>
            </w:r>
          </w:p>
        </w:tc>
      </w:tr>
    </w:tbl>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商务项（F3×A3）满分为10.00分</w:t>
      </w:r>
    </w:p>
    <w:tbl>
      <w:tblPr>
        <w:tblStyle w:val="6"/>
        <w:tblW w:w="485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06"/>
        <w:gridCol w:w="850"/>
        <w:gridCol w:w="62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val="en-US" w:eastAsia="zh-CN" w:bidi="ar"/>
              </w:rPr>
              <w:t>项目</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val="en-US" w:eastAsia="zh-CN" w:bidi="ar"/>
              </w:rPr>
              <w:t>分值</w:t>
            </w:r>
          </w:p>
        </w:tc>
        <w:tc>
          <w:tcPr>
            <w:tcW w:w="62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1、业绩</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3.00</w:t>
            </w:r>
          </w:p>
        </w:tc>
        <w:tc>
          <w:tcPr>
            <w:tcW w:w="62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根据投标人提供自2020年1月1日起至本项目投标截止时间止（日期以合同签订时间为准）由投标人在国内所完成的与本次投标同类产品项目业绩情况，由评委进行评分：每提供1份业绩得1分，满分3分。投标人应如实提供该业绩项目的中标公告（提供相关网站中标公告的下载网页并注明网址）、中标通知书复印件、采购合同文本复印件，以及能够证明该业绩项目已经采购人验收合格的相关证明文件复印件。未提供或证明材料提供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2、质保期承诺</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3.00</w:t>
            </w:r>
          </w:p>
        </w:tc>
        <w:tc>
          <w:tcPr>
            <w:tcW w:w="62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根据投标人对投标货物免费质保期的承诺情况，由评委进行评分：全部货物免费保修期在招标文件要求的基础上（2年），每延长1年得1分，满分3分。投标人须提供承诺函（格式自拟），未提供的不得分。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3、技术培训方案</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2.00</w:t>
            </w:r>
          </w:p>
        </w:tc>
        <w:tc>
          <w:tcPr>
            <w:tcW w:w="62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根据投标人针对本项目提供的技术培训方案（包括但不限于：管理人员、操作人员、设备维护人员进行培训等情况），由评委进行评分：方案包含的要点齐全无缺漏项、内容与要点相符、每个要点均有展开详细的阐述且能够适用于本项目得2分；方案所包含的要点齐全、内容与要点相符、每个要点均有展开阐述（没有特别具体）但基本能够适用于本项目的得1分；方案所包含的要点有缺漏、内容与要点相符但仅有纲要、内容简略，未展开详细阐述但基本能够适用于本项目的得0.5分；未提供方案或内容存在明显错误、内容明显不适用于本项目需求的均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4、售后服务方案</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2.00</w:t>
            </w:r>
          </w:p>
        </w:tc>
        <w:tc>
          <w:tcPr>
            <w:tcW w:w="62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根据投标人针对本项目提供的售后服务方案（包括但不限于：具体的售后服务内容、故障响应时间等），由评委进行评分：方案包含的要点齐全无缺漏项、内容与要点相符、每个要点均有展开详细的阐述且能够适用于本项目得2分；方案所包含的要点齐全、内容与要点相符、每个要点均有展开阐述（没有特别具体）但基本能够适用于本项目的得1分；方案所包含的要点有缺漏、内容与要点相符但仅有纲要、内容简略，未展开详细阐述但基本能够适用于本项目的得0.5分；未提供方案或内容存在明显错误、内容明显不适用于本项目需求的均不得分。</w:t>
            </w:r>
          </w:p>
        </w:tc>
      </w:tr>
    </w:tbl>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加分项（F4×A4）</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44"/>
        <w:gridCol w:w="738"/>
        <w:gridCol w:w="59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4"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项目</w:t>
            </w:r>
          </w:p>
        </w:tc>
        <w:tc>
          <w:tcPr>
            <w:tcW w:w="738"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分值</w:t>
            </w:r>
          </w:p>
        </w:tc>
        <w:tc>
          <w:tcPr>
            <w:tcW w:w="5924"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4"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节能、环境标志产品</w:t>
            </w:r>
          </w:p>
        </w:tc>
        <w:tc>
          <w:tcPr>
            <w:tcW w:w="738" w:type="dxa"/>
          </w:tcPr>
          <w:p>
            <w:pPr>
              <w:pStyle w:val="9"/>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7.20</w:t>
            </w:r>
          </w:p>
        </w:tc>
        <w:tc>
          <w:tcPr>
            <w:tcW w:w="5924"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按财政部 发展改革委 生态环境部 市场监管总局印发《关于调整优化节能产品、环境标志产品政府采购执行机制的通知》(财库〔2019〕9号)、《关于印发环境标志产品政府采购品目清单的通知》财库〔2019〕18号 和《关于印发节能产品政府采购品目清单的通知》(财库〔2019〕19号)的规定执行。根据《关于调整优化节能产品、环境标志产品政府采购执行机制的通知》(财库〔2019〕9号)的规定，“采购人拟采购的产品属于品目清单范围的，采购人及其委托的采购代理机构应当依据国家确定的认证机构出具的、处于有效期之内的节能产品、环境标志产品认证证书，对获得证书的产品实施政府优先采购或强制采购。” 本次采购货物中如属政府强制采购节能产品的，投标人须提供国家确定的认证机构出具的、处于有效期之内的节能产品、环境标志产品认证证书则按以下标准进行评审优惠： ①、若同一合同包内的节能(非强制类产品)、减排、环境标志产品报价总金额低于本合同包报价总金额20%(含20%)以下的，将分别给予节能、减排、环境标志产品价格评标项和技术评标项标准总分值4％的加分； ②、若同一合同包内节能(非强制类产品)、减排、环境标志产品报价总金额占本合同包报价总金额20%-50%(含50%)的，将分别给予节能、减排、环境标志产品在价格评标项和技术评标项标准总分值6％的加分； ③、若同一合同包内节能(非强制类产品)、减排、环境标志产品报价总金额占本合同包报价总金额50%以上的，将分别给予节能、减排、环境标志产品在价格评标项和技术评标项标准总分值8％的加分。 注：对于同时列入“品目清单”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若节能、环境标志清单内的产品仅是构成投标产品的部件、组件或零件的，则该投标产品不享受鼓励优惠政策。评标委员会审查此项响应性只根据投标文件本身的内容，而不寻求其他的外部证据。</w:t>
            </w:r>
          </w:p>
        </w:tc>
      </w:tr>
    </w:tbl>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（4）中标候选人排列规则顺序如下：</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a.按照评标总得分（FA）由高到低顺序排列。</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b.评标总得分（FA）相同的，按照评标价（即价格扣除后的投标报价）由低到高顺序排列。</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c.评标总得分（FA）且评标价（即价格扣除后的投标报价）相同的并列。</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8、其他规定</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8.1评标应全程保密且不得透露给任一投标人或与评标工作无关的人员。</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8.2评标将进行全程实时录音录像，录音录像资料随采购文件一并存档。</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8.4其他：</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无。</w:t>
      </w:r>
    </w:p>
    <w:p>
      <w:pPr>
        <w:pStyle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highlight w:val="none"/>
        </w:rPr>
        <w:t>第五章 招标内容及要求</w:t>
      </w:r>
    </w:p>
    <w:p>
      <w:pPr>
        <w:pStyle w:val="9"/>
        <w:jc w:val="both"/>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一、项目概况（采购标的）</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1、本项目为福建省立医院彩色多普勒超声诊断仪采购项目。</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2、本项目采购包1核心产品为“◆彩色多普勒超声诊断仪”，采购包2核心产品为“◆彩色多普勒超声诊断仪”，采购包3核心产品为“◆彩色多普勒超声诊断仪”，若有两家及以上投标人提供同一品牌的核心产品的，按招标文件第四章第6.4条第（2）款第1、2规定处理。</w:t>
      </w:r>
    </w:p>
    <w:p>
      <w:pPr>
        <w:pStyle w:val="9"/>
        <w:jc w:val="both"/>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二、技术和服务要求（以“★”标示的内容为不允许负偏离的实质性要求）</w:t>
      </w:r>
    </w:p>
    <w:p>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32"/>
          <w:szCs w:val="32"/>
          <w:highlight w:val="none"/>
          <w:lang w:val="en-US" w:eastAsia="zh-CN"/>
        </w:rPr>
        <w:t>采购包1◆</w:t>
      </w:r>
      <w:r>
        <w:rPr>
          <w:rFonts w:hint="eastAsia" w:ascii="宋体" w:hAnsi="宋体" w:eastAsia="宋体" w:cs="宋体"/>
          <w:b/>
          <w:color w:val="auto"/>
          <w:sz w:val="32"/>
          <w:szCs w:val="32"/>
          <w:highlight w:val="none"/>
        </w:rPr>
        <w:t>彩色多普勒超声诊断仪</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技术</w:t>
      </w:r>
      <w:r>
        <w:rPr>
          <w:rFonts w:hint="eastAsia" w:ascii="宋体" w:hAnsi="宋体" w:eastAsia="宋体" w:cs="宋体"/>
          <w:b/>
          <w:color w:val="auto"/>
          <w:sz w:val="32"/>
          <w:szCs w:val="32"/>
          <w:highlight w:val="none"/>
          <w:lang w:val="en-US" w:eastAsia="zh-CN"/>
        </w:rPr>
        <w:t>参数</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1、用途说明</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项号1</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1.1、用途：腹部、产科、妇科、心脏、小器官、泌尿、血管、儿科、神经、急诊、麻醉、其他</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2、物理规格及人机交互要求</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项号2</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2.1、显示器要求：≥23.8英寸高分辨率彩色液晶显示器，亮度可对比度通过预设可调，≥4个显示器关节支撑臂，显示器可以上下倾斜、左右旋转、前后移动，具有独立的显示器锁定装置（非关节臂锁定），可以更好的保护显示器，避免损坏。</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项号3</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2.2、触摸屏要求：≥13.3英寸彩色触摸屏，触摸屏角度可以独立于主机调节（机身静止状态下，独立调节角度≥25度）。</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项号4</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2.3、探头接口数量≥5个（5个探头接口均为无针式接口且大小一致）。</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3、二维灰阶模式</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项号5</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3.1、M型模式、彩色M型模式、解剖M型模式（≥3条取样线，360度自由旋转）、彩色多普勒成像、频谱多普勒成像，连续多普勒成像（要求线阵探头可支持连续多普勒成像）、组织多普勒成像,包括组织速度多普勒成像、组织能量多普勒成像、组织频谱多普勒成像、组织M型模式四种成像模式</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项号6</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3.2、空间复合成像技术，做曲别针实验最高可显示≥9条线</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项号7</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3.3、扩展成像（要求凸阵、线阵、心脏探头可用）</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项号8</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3.4、全域动态聚焦技术，声像图全程动态聚焦技术，全场图像均匀一致，图像上无焦点显示，仪器无任何实体和触摸按键可调节焦点</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项号9</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3.5、声速匹配技术，根据人体组织真实情况，一键实时自动匹配至最佳成像声速，并将具体声速数值在屏幕上显示</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项号10</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3.6、具备B模式局部ROI区域高分辨率显示技术，提高感兴趣区的二维图像分辨率和细节分辨率，支持实时显示高分辨率显示取样框，且支持高分辨率显示取样框的大小可调节，有利于甲状腺等组织肿块的鉴别诊断</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项号11</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3.7、立体血流技术，提供更接近真实世界的三度空间视觉，呈现血流的上下、左右、前后三维关系</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项号12</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3.8、宽景拼接成像技术（非拓展成像）：支持二维宽景和能量宽景，具有红、蓝、绿三种彩色框及文字提示扫描速度过快、过慢或者正常；宽景成像支持凸阵探头、线阵探头、腔内探头、单晶体相控阵探头</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项号13</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3.9、</w:t>
      </w:r>
      <w:r>
        <w:rPr>
          <w:rFonts w:hint="eastAsia" w:ascii="宋体" w:hAnsi="宋体" w:eastAsia="宋体" w:cs="宋体"/>
          <w:b w:val="0"/>
          <w:bCs/>
          <w:color w:val="auto"/>
          <w:sz w:val="24"/>
          <w:szCs w:val="24"/>
          <w:highlight w:val="none"/>
          <w:lang w:eastAsia="zh-CN"/>
        </w:rPr>
        <w:t>包含但不限于以下</w:t>
      </w:r>
      <w:r>
        <w:rPr>
          <w:rFonts w:hint="eastAsia" w:ascii="宋体" w:hAnsi="宋体" w:eastAsia="宋体" w:cs="宋体"/>
          <w:b w:val="0"/>
          <w:bCs/>
          <w:color w:val="auto"/>
          <w:sz w:val="24"/>
          <w:szCs w:val="24"/>
          <w:highlight w:val="none"/>
        </w:rPr>
        <w:t>2种血管标记功能，一种为专业血管图谱编辑功能，可手动编辑图谱，直观显示病变的位置；一种为传统体表体位图标记</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项号14</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3.10、智能血流跟踪技术，可以实现ROI框位置和角度的自动优化，提供Color/Power模式下彩色血流/能量图像的实时动态优化，节省人工调节时间，提升扫查效率</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项号15</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3.11、超微细血流成像技术，对微细低速血流具有高敏感度，可检测并显示组织内部及病灶血流灌注的低速血流，明显提高血流敏感度、血管空间分辨力</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项号16</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3.12、声衰减成像技术，可对肝脏组织的衰减系数进行测量及可视化显示，用干脂肪肝和肝纤维化的量化评估诊断。能够提供客观量化指标、规避人为因素影响</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4</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造影成像：</w:t>
      </w:r>
      <w:r>
        <w:rPr>
          <w:rFonts w:hint="eastAsia" w:ascii="宋体" w:hAnsi="宋体" w:eastAsia="宋体" w:cs="宋体"/>
          <w:b w:val="0"/>
          <w:bCs/>
          <w:color w:val="auto"/>
          <w:sz w:val="24"/>
          <w:szCs w:val="24"/>
          <w:highlight w:val="none"/>
        </w:rPr>
        <w:t>造影成像功能支持腹部探头、浅表探头、支持实时显示组织图像和造影图像，支持造影击碎，支持斑点噪声抑制，具备混合模式，支持造影图像和组织图像位置互换、支持微血管造影增强功能、支持低机械指数造影、具有双计时器、支持向后存储≥8分钟电影。</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项号17</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4.1、造影定量分析功能，支持时间强度分析曲线，以表格的形式显示数据，取样点可跟踪感兴趣区运动，≥8个ROI</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项号18</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4.2、具备造影时序分析功能，使用不同颜色标记造影剂到达时间，方便观察并比较病灶及组织的造影剂灌注特点，可对彩色和时间进行设置。</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项号19</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4.3、高帧率造影成像帧率：凸阵探头10cm深度，扫描角度45°，帧率可达30帧/秒及以上，线阵探头4cm深度，帧率可50帧/秒及以上</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项号20</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4.4、实时造影时，支持对组织灰阶图像进行标记，标记点同步映射到造影的图像上，便于观察</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项号21</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4.5、应变式弹性成像，具有压力提示，支持逐帧图像的压力大小查看，具有压力补偿技术</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项号22</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4.6、应变式弹性成像支持应变、应变率和应变直方图的测量，具有肿块周边组织与正常组织、肿块周边组织与肿块内组织弹性分析功能</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项号23</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4.7、剪切波定量弹性成像，动态显示二维剪切波弹性成像图，支持凸阵探头、线阵探头、腔内探头</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项号24</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4.8、剪切波定量弹性成像，具备组织硬度定量分析软件（支持多比值分析、柱状图分析）弹性定量的参数包括杨氏模量值、剪切模量值、剪切波速度，定量组织的硬度信息</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项号25</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4.9、具有质控稳定性指数、质控图、质控指数等质控形式，可自动生成剪切波弹性检查数据报告，报告中包含平均数、中位数、IQR/Median等量化数据，并且提供临床阈值供临床参考</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项号26</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4.10、具有病灶周边浸润区的环形定量工具，同时需具有实体的专用的按键调节精准控制，环形的大小分级分档，可视可调</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剪切波弹性成像支持高帧率成像，剪切波感兴趣区域2cm</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3cm时，帧率≥5帧/秒</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项号27</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4.1</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、支持在同一切面下同时进行应变式弹性成像和剪切波弹性成像并实时双幅显示。</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项号28</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5、支持肝肾比测量，基于B图像自动计算肾皮质和肝脏的灰阶比值进行肝脂肪变性评估，一键式肝肾皮质识别，实现快速简便的肝脂肪变性评估，肝脂肪变性的定量评估提供比传统定性评估更准确的定量分析</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项号29</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6、内置双硬盘设计（非外接，包括固态硬盘≥120GB和机械硬盘≥1TB），两个硬盘独立运行</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7、系统技术参数及要求</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项号30</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7.1、二维灰阶模式：最大显示深度</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≥38cm、TGC</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≥8段、LGC</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≥8段、腔内探头扫描角度</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≥200度</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项号31</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7.2、彩色多普勒成像：包括速度、速度方差、能量、方向能量显示等、取样框偏转</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≥±30度（线阵探头）、支持B/C 同宽</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项号32</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7.3、频谱多普勒模式：最大速度</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≥8.60m/s（连续多普勒速度</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xml:space="preserve"> ≥35m/s）、最小速度</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≤1mm/s（非噪声信号）、取样容积</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0.5-30mm，支持所有探头、偏转角度</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≥±30度（线阵探头）</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项号33</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z w:val="24"/>
          <w:szCs w:val="24"/>
          <w:highlight w:val="none"/>
        </w:rPr>
        <w:t>8、探头配置要求（4把）：单晶体凸阵探头、线阵探头（</w:t>
      </w:r>
      <w:r>
        <w:rPr>
          <w:rFonts w:hint="eastAsia" w:ascii="宋体" w:hAnsi="宋体" w:eastAsia="宋体" w:cs="宋体"/>
          <w:b w:val="0"/>
          <w:bCs/>
          <w:color w:val="auto"/>
          <w:sz w:val="24"/>
          <w:szCs w:val="24"/>
          <w:highlight w:val="none"/>
          <w:lang w:eastAsia="zh-CN"/>
        </w:rPr>
        <w:t>2把</w:t>
      </w:r>
      <w:r>
        <w:rPr>
          <w:rFonts w:hint="eastAsia" w:ascii="宋体" w:hAnsi="宋体" w:eastAsia="宋体" w:cs="宋体"/>
          <w:b w:val="0"/>
          <w:bCs/>
          <w:color w:val="auto"/>
          <w:sz w:val="24"/>
          <w:szCs w:val="24"/>
          <w:highlight w:val="none"/>
        </w:rPr>
        <w:t>）、腔内一线一凸双平面探头</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8.1、探头频率</w:t>
      </w:r>
      <w:r>
        <w:rPr>
          <w:rFonts w:hint="eastAsia" w:ascii="宋体" w:hAnsi="宋体" w:eastAsia="宋体" w:cs="宋体"/>
          <w:b w:val="0"/>
          <w:bCs/>
          <w:color w:val="auto"/>
          <w:sz w:val="24"/>
          <w:szCs w:val="24"/>
          <w:highlight w:val="none"/>
          <w:lang w:eastAsia="zh-CN"/>
        </w:rPr>
        <w:t>：</w:t>
      </w:r>
    </w:p>
    <w:p>
      <w:pPr>
        <w:pStyle w:val="9"/>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8.</w:t>
      </w:r>
      <w:r>
        <w:rPr>
          <w:rFonts w:hint="eastAsia" w:ascii="宋体" w:hAnsi="宋体" w:eastAsia="宋体" w:cs="宋体"/>
          <w:b w:val="0"/>
          <w:bCs/>
          <w:color w:val="auto"/>
          <w:sz w:val="24"/>
          <w:szCs w:val="24"/>
          <w:highlight w:val="none"/>
          <w:lang w:val="en-US" w:eastAsia="zh-CN"/>
        </w:rPr>
        <w:t>1.1</w:t>
      </w:r>
      <w:r>
        <w:rPr>
          <w:rFonts w:hint="eastAsia" w:ascii="宋体" w:hAnsi="宋体" w:eastAsia="宋体" w:cs="宋体"/>
          <w:b w:val="0"/>
          <w:bCs/>
          <w:color w:val="auto"/>
          <w:sz w:val="24"/>
          <w:szCs w:val="24"/>
          <w:highlight w:val="none"/>
        </w:rPr>
        <w:t>、单晶体凸阵探头频率：1.2-6.0 MHz</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rPr>
        <w:t>8.</w:t>
      </w:r>
      <w:r>
        <w:rPr>
          <w:rFonts w:hint="eastAsia" w:ascii="宋体" w:hAnsi="宋体" w:eastAsia="宋体" w:cs="宋体"/>
          <w:b w:val="0"/>
          <w:bCs/>
          <w:color w:val="auto"/>
          <w:sz w:val="24"/>
          <w:szCs w:val="24"/>
          <w:highlight w:val="none"/>
          <w:lang w:val="en-US" w:eastAsia="zh-CN"/>
        </w:rPr>
        <w:t>1.2</w:t>
      </w:r>
      <w:r>
        <w:rPr>
          <w:rFonts w:hint="eastAsia" w:ascii="宋体" w:hAnsi="宋体" w:eastAsia="宋体" w:cs="宋体"/>
          <w:b w:val="0"/>
          <w:bCs/>
          <w:color w:val="auto"/>
          <w:sz w:val="24"/>
          <w:szCs w:val="24"/>
          <w:highlight w:val="none"/>
        </w:rPr>
        <w:t>、线阵探头频率：4.0-15.0 MHz</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rPr>
        <w:t>8.</w:t>
      </w:r>
      <w:r>
        <w:rPr>
          <w:rFonts w:hint="eastAsia" w:ascii="宋体" w:hAnsi="宋体" w:eastAsia="宋体" w:cs="宋体"/>
          <w:b w:val="0"/>
          <w:bCs/>
          <w:color w:val="auto"/>
          <w:sz w:val="24"/>
          <w:szCs w:val="24"/>
          <w:highlight w:val="none"/>
          <w:lang w:val="en-US" w:eastAsia="zh-CN"/>
        </w:rPr>
        <w:t>1.3</w:t>
      </w:r>
      <w:r>
        <w:rPr>
          <w:rFonts w:hint="eastAsia" w:ascii="宋体" w:hAnsi="宋体" w:eastAsia="宋体" w:cs="宋体"/>
          <w:b w:val="0"/>
          <w:bCs/>
          <w:color w:val="auto"/>
          <w:sz w:val="24"/>
          <w:szCs w:val="24"/>
          <w:highlight w:val="none"/>
        </w:rPr>
        <w:t>、腔内一线一凸双平面探头：超声频率线阵3.2-12.8MHz；凸阵3.5-9.5MHz</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rPr>
        <w:t>8.</w:t>
      </w:r>
      <w:r>
        <w:rPr>
          <w:rFonts w:hint="eastAsia" w:ascii="宋体" w:hAnsi="宋体" w:eastAsia="宋体" w:cs="宋体"/>
          <w:b w:val="0"/>
          <w:bCs/>
          <w:color w:val="auto"/>
          <w:sz w:val="24"/>
          <w:szCs w:val="24"/>
          <w:highlight w:val="none"/>
          <w:lang w:val="en-US" w:eastAsia="zh-CN"/>
        </w:rPr>
        <w:t>1.4</w:t>
      </w:r>
      <w:r>
        <w:rPr>
          <w:rFonts w:hint="eastAsia" w:ascii="宋体" w:hAnsi="宋体" w:eastAsia="宋体" w:cs="宋体"/>
          <w:b w:val="0"/>
          <w:bCs/>
          <w:color w:val="auto"/>
          <w:sz w:val="24"/>
          <w:szCs w:val="24"/>
          <w:highlight w:val="none"/>
        </w:rPr>
        <w:t>、线阵探头：4.0-9.0MHZ</w:t>
      </w:r>
      <w:r>
        <w:rPr>
          <w:rFonts w:hint="eastAsia" w:ascii="宋体" w:hAnsi="宋体" w:eastAsia="宋体" w:cs="宋体"/>
          <w:b w:val="0"/>
          <w:bCs/>
          <w:color w:val="auto"/>
          <w:sz w:val="24"/>
          <w:szCs w:val="24"/>
          <w:highlight w:val="none"/>
          <w:lang w:eastAsia="zh-CN"/>
        </w:rPr>
        <w:t>。</w:t>
      </w:r>
    </w:p>
    <w:p>
      <w:pPr>
        <w:spacing w:line="360" w:lineRule="auto"/>
        <w:jc w:val="both"/>
        <w:rPr>
          <w:rFonts w:hint="default"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采购包2</w:t>
      </w:r>
      <w:r>
        <w:rPr>
          <w:rFonts w:hint="eastAsia" w:ascii="宋体" w:hAnsi="宋体" w:eastAsia="宋体" w:cs="宋体"/>
          <w:b/>
          <w:color w:val="auto"/>
          <w:sz w:val="32"/>
          <w:szCs w:val="32"/>
          <w:highlight w:val="none"/>
          <w:lang w:val="en-US" w:eastAsia="zh-CN"/>
        </w:rPr>
        <w:t>◆彩色多普勒超声诊断仪</w:t>
      </w:r>
      <w:r>
        <w:rPr>
          <w:rFonts w:hint="eastAsia" w:asciiTheme="minorEastAsia" w:hAnsiTheme="minorEastAsia" w:eastAsiaTheme="minorEastAsia" w:cstheme="minorEastAsia"/>
          <w:b/>
          <w:color w:val="auto"/>
          <w:sz w:val="32"/>
          <w:szCs w:val="32"/>
          <w:highlight w:val="none"/>
          <w:lang w:val="en-US" w:eastAsia="zh-CN"/>
        </w:rPr>
        <w:t>--技术参数</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（项号1）1</w:t>
      </w:r>
      <w:r>
        <w:rPr>
          <w:rFonts w:hint="eastAsia" w:asciiTheme="minorEastAsia" w:hAnsiTheme="minorEastAsia" w:eastAsiaTheme="minorEastAsia" w:cstheme="minorEastAsia"/>
          <w:b/>
          <w:bCs/>
          <w:color w:val="auto"/>
          <w:sz w:val="24"/>
          <w:szCs w:val="24"/>
          <w:highlight w:val="none"/>
        </w:rPr>
        <w:t>、设备用途：</w:t>
      </w:r>
      <w:r>
        <w:rPr>
          <w:rFonts w:hint="eastAsia" w:asciiTheme="minorEastAsia" w:hAnsiTheme="minorEastAsia" w:eastAsiaTheme="minorEastAsia" w:cstheme="minorEastAsia"/>
          <w:bCs/>
          <w:color w:val="auto"/>
          <w:sz w:val="24"/>
          <w:szCs w:val="24"/>
          <w:highlight w:val="none"/>
        </w:rPr>
        <w:t>腹部、妇产科、泌尿科、小器官、心脏、血管、肌肉骨骼外周神经、微创介入、TCD、新生儿、儿科等</w:t>
      </w:r>
      <w:r>
        <w:rPr>
          <w:rFonts w:hint="eastAsia" w:asciiTheme="minorEastAsia" w:hAnsiTheme="minorEastAsia" w:eastAsiaTheme="minorEastAsia" w:cstheme="minorEastAsia"/>
          <w:color w:val="auto"/>
          <w:sz w:val="24"/>
          <w:szCs w:val="24"/>
          <w:highlight w:val="none"/>
        </w:rPr>
        <w:t>各科系病例诊断、疑难病例会诊和科研教学等极具价值</w:t>
      </w:r>
      <w:r>
        <w:rPr>
          <w:rFonts w:hint="eastAsia" w:asciiTheme="minorEastAsia" w:hAnsiTheme="minorEastAsia" w:eastAsiaTheme="minorEastAsia" w:cstheme="minorEastAsia"/>
          <w:bCs/>
          <w:color w:val="auto"/>
          <w:sz w:val="24"/>
          <w:szCs w:val="24"/>
          <w:highlight w:val="none"/>
        </w:rPr>
        <w:t>的顶级超声系统。</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、主要规格及系统概述：</w:t>
      </w:r>
      <w:r>
        <w:rPr>
          <w:rFonts w:hint="eastAsia" w:asciiTheme="minorEastAsia" w:hAnsiTheme="minorEastAsia" w:eastAsiaTheme="minorEastAsia" w:cstheme="minorEastAsia"/>
          <w:bCs/>
          <w:color w:val="auto"/>
          <w:sz w:val="24"/>
          <w:szCs w:val="24"/>
          <w:highlight w:val="none"/>
        </w:rPr>
        <w:t xml:space="preserve">  </w:t>
      </w:r>
    </w:p>
    <w:p>
      <w:pPr>
        <w:spacing w:line="360" w:lineRule="auto"/>
        <w:ind w:right="97" w:rightChars="46"/>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（项号2）</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.1</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主机</w:t>
      </w:r>
      <w:r>
        <w:rPr>
          <w:rFonts w:hint="eastAsia" w:asciiTheme="minorEastAsia" w:hAnsiTheme="minorEastAsia" w:cstheme="minorEastAsia"/>
          <w:bCs/>
          <w:color w:val="auto"/>
          <w:sz w:val="24"/>
          <w:szCs w:val="24"/>
          <w:highlight w:val="none"/>
          <w:lang w:val="en-US" w:eastAsia="zh-CN"/>
        </w:rPr>
        <w:t>工作站</w:t>
      </w:r>
      <w:r>
        <w:rPr>
          <w:rFonts w:hint="eastAsia" w:asciiTheme="minorEastAsia" w:hAnsiTheme="minorEastAsia" w:eastAsiaTheme="minorEastAsia" w:cstheme="minorEastAsia"/>
          <w:bCs/>
          <w:color w:val="auto"/>
          <w:sz w:val="24"/>
          <w:szCs w:val="24"/>
          <w:highlight w:val="none"/>
        </w:rPr>
        <w:t>系统为Windows操作系统</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 xml:space="preserve"> </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项号3）</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.2</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显示器：≥23寸显示器</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可以上下、前后、左右自由活动、仰俯</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（项号4）</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.3</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具备≥13英寸彩色触摸控制屏,显示分辨率</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eastAsia="ko-KR"/>
        </w:rPr>
        <w:t>1,920</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eastAsia="ko-KR"/>
        </w:rPr>
        <w:t>1,080</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firstLine="480" w:firstLineChars="200"/>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.3.1</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可与监视器同步显示图像</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firstLine="480" w:firstLineChars="200"/>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.3.2</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触摸屏幕操作菜单可自主编辑,并可滑动翻页</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.3.3</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触摸屏可做独立感应式位置调整</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角度可达30度。</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（项号5）</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.4</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数字化TGC分布于触摸屏</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且可随不同预设保存</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（项号6）</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.5</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操作面板电动调节高度、前后、左右位置及旋转</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left="200" w:right="97" w:rightChars="46" w:hanging="241" w:hangingChars="100"/>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（项号7）</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.6</w:t>
      </w:r>
      <w:r>
        <w:rPr>
          <w:rFonts w:hint="eastAsia" w:ascii="宋体" w:hAnsi="宋体" w:eastAsia="宋体" w:cs="宋体"/>
          <w:b w:val="0"/>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主机成像通道数：≥7,000,000</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（项号8）</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.7</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系统最大动态范围：≥350dB</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项号9）</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.8</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系统最大扫查深度：≥45cm</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成像及分析单元：全新智能化波束形成器</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（项号10）</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.1</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二维灰阶成像及分析单元</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（项号11）</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.2</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M型显示及分析单元</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（项号12）</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.3</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彩色多普勒显示及分析单元</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（项号13）</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.4</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能量多普勒显示及分析单元</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（项号14）</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.5</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脉冲多普勒显示及分析单元</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（项号15）</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.6</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连续多普勒显示及分析单元</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（项号16）</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.7</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组织多普勒显示及分析单元</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（项号17）</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.8</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方向性彩色多普勒能量图成像单元</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先进的成像及定量技术</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（项号18）</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.1</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谐波成像技术</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（项号19）</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.2</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智能图像增强技术：可智能识别因强回声结构产生的声影区</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并动态补偿以减少声影对后方组织结构造成图像显示不清及声晕伪影等影响。</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（项号20）</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.3</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高清成像技术：具备对接收到的回波信号采用“反卷积算法”得到真实的图像</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还原在组织中线性传播的声波回波信号。提供重要的组织细节信息</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可支持线阵及凸阵探头</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（项号21）</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.4</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自适应彩色血流技术</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根据彩色取样框位置自动调节发射、接收频带宽</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提供最佳彩色灵敏度和分辨率</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（项号22）</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.5</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斑点噪声抑制技术</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（项号23）</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.6</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智能滤波技术：消除多维度的噪声伪像</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增强边缘显示</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逐级可调</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支持所有探头</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并可结合其它图像优化技术同时使用</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（项号24）</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.7</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空间复合成像</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可实现曲别针实验</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多级可调</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≥12级</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并应用于2D/彩色血流模式下</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（项号25）</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.8</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组织偏差校正技术：用户可选择声束在不同组织内的传播速度</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达到最佳成像效果</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（项号26）</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.9</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双幅实时动态显示功能</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同屏显示二维及彩色血流的实时图像</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不降低帧频</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不降低图像质量</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（项号27）</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.10</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多模态图像一键优化功能：通过一键操作</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迅速优化二维、彩色、多普勒频谱图像</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（项号28）</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.11</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图标指示功能</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可任意选择剪贴板中存储的影像</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进行回放、调节、测量、分析和诊断</w:t>
      </w:r>
      <w:r>
        <w:rPr>
          <w:rFonts w:hint="eastAsia" w:asciiTheme="minorEastAsia" w:hAnsiTheme="minorEastAsia" w:eastAsiaTheme="minorEastAsia" w:cstheme="minorEastAsia"/>
          <w:bCs/>
          <w:color w:val="auto"/>
          <w:sz w:val="24"/>
          <w:szCs w:val="24"/>
          <w:highlight w:val="none"/>
          <w:lang w:eastAsia="zh-CN"/>
        </w:rPr>
        <w:t>。</w:t>
      </w:r>
    </w:p>
    <w:p>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（项号29）</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.12</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全景成像：连续获取系列切面</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自动快速无缝拼接为整幅图像</w:t>
      </w:r>
      <w:r>
        <w:rPr>
          <w:rFonts w:hint="eastAsia" w:asciiTheme="minorEastAsia" w:hAnsiTheme="minorEastAsia" w:eastAsiaTheme="minorEastAsia" w:cstheme="minorEastAsia"/>
          <w:color w:val="auto"/>
          <w:sz w:val="24"/>
          <w:szCs w:val="24"/>
          <w:highlight w:val="none"/>
          <w:lang w:eastAsia="zh-CN"/>
        </w:rPr>
        <w:t>。</w:t>
      </w:r>
    </w:p>
    <w:p>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项号30）</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.13</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低速血流成像技术：基于时间空间相干成像原理</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提取组织中的慢速血流或者微弱血流信号。同时具备定量分析功能：通过彩色部分的像素数与感兴趣区像素的比值得到VI（血管指数）</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可定量显示VI。</w:t>
      </w:r>
    </w:p>
    <w:p>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（项号31）</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.14</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立体血流显示技术</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利用冯氏光照模型</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更加直观的了解血流状况、小血管的结构和走形以及与周围组织的关系</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可以与彩色血流图、彩色能量图及微血流灌注成像联合使用。</w:t>
      </w:r>
    </w:p>
    <w:p>
      <w:pPr>
        <w:spacing w:line="360" w:lineRule="auto"/>
        <w:ind w:right="97" w:rightChars="46"/>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.15</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弹性成像单元</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可进行弹性定量</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且具备甲状腺专用、乳腺专用及肌骨专用的弹性成像和定量工具</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（项号32）</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.15.1</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乳腺弹性成像：具备单取样和双取样两种模式。</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单感兴趣区取样技术</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由机器选择背景脂肪组织的平均应变值做参考</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操作者只需选取一次感兴趣区域即可快速自动获得目标应变值和参考应变值之间比值</w:t>
      </w:r>
      <w:r>
        <w:rPr>
          <w:rFonts w:hint="eastAsia" w:asciiTheme="minorEastAsia" w:hAnsi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双感兴趣区取样技术</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为操作者可自定义参考区和病变区</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系统即自动计算病变区域与正常组织的应变比B/A</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仪器内置弹性彩色编码指控标尺</w:t>
      </w:r>
      <w:r>
        <w:rPr>
          <w:rFonts w:hint="eastAsia" w:asciiTheme="minorEastAsia" w:hAnsi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（项号33）</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.15.2</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甲状腺弹性成像：无需外部压力</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通过采集颈动脉波动对甲状腺组织产生的压力及应变力而获得甲状腺的弹性图像</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对甲状腺内感兴趣区内组织弹性的均匀度进行量化分析</w:t>
      </w:r>
    </w:p>
    <w:p>
      <w:pPr>
        <w:spacing w:line="360" w:lineRule="auto"/>
        <w:ind w:right="97" w:rightChars="4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项号34）</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.16</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智能扫查辅助诊断技术：可在机实现符合BI-RADS分类标准（乳腺）和TI-RADS标准（甲状腺）的数据及报告系统</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也可自动提供占位的多组声学特征</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包括病变形状、病变走向、边界、内部回声类型等。</w:t>
      </w:r>
    </w:p>
    <w:p>
      <w:pPr>
        <w:numPr>
          <w:ilvl w:val="0"/>
          <w:numId w:val="0"/>
        </w:numPr>
        <w:spacing w:line="360" w:lineRule="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感兴趣区定位</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自动识别、勾络病灶边界</w:t>
      </w:r>
      <w:r>
        <w:rPr>
          <w:rFonts w:hint="eastAsia" w:asciiTheme="minorEastAsia" w:hAnsiTheme="minorEastAsia" w:eastAsiaTheme="minorEastAsia" w:cstheme="minorEastAsia"/>
          <w:bCs/>
          <w:color w:val="auto"/>
          <w:sz w:val="24"/>
          <w:szCs w:val="24"/>
          <w:highlight w:val="none"/>
          <w:lang w:val="en-US" w:eastAsia="zh-CN"/>
        </w:rPr>
        <w:t>。</w:t>
      </w:r>
    </w:p>
    <w:p>
      <w:pPr>
        <w:numPr>
          <w:ilvl w:val="0"/>
          <w:numId w:val="0"/>
        </w:numPr>
        <w:spacing w:line="360" w:lineRule="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kern w:val="2"/>
          <w:sz w:val="24"/>
          <w:szCs w:val="24"/>
          <w:highlight w:val="none"/>
          <w:lang w:val="en-US" w:eastAsia="zh-CN" w:bidi="ar-SA"/>
        </w:rPr>
        <w:t>（2）</w:t>
      </w:r>
      <w:r>
        <w:rPr>
          <w:rFonts w:hint="eastAsia" w:asciiTheme="minorEastAsia" w:hAnsiTheme="minorEastAsia" w:eastAsiaTheme="minorEastAsia" w:cstheme="minorEastAsia"/>
          <w:bCs/>
          <w:color w:val="auto"/>
          <w:sz w:val="24"/>
          <w:szCs w:val="24"/>
          <w:highlight w:val="none"/>
        </w:rPr>
        <w:t>通过自动计算</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准确获取并显示病灶基本所需测量数值</w:t>
      </w:r>
      <w:r>
        <w:rPr>
          <w:rFonts w:hint="eastAsia" w:asciiTheme="minorEastAsia" w:hAnsiTheme="minorEastAsia" w:eastAsiaTheme="minorEastAsia" w:cstheme="minorEastAsia"/>
          <w:bCs/>
          <w:color w:val="auto"/>
          <w:sz w:val="24"/>
          <w:szCs w:val="24"/>
          <w:highlight w:val="none"/>
          <w:lang w:eastAsia="zh-CN"/>
        </w:rPr>
        <w:t>。</w:t>
      </w:r>
    </w:p>
    <w:p>
      <w:pPr>
        <w:spacing w:line="360" w:lineRule="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内置BI-RADS（或者TI-RADS、RUSS、ATA等）分类诊断模型</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并自动予以匹配</w:t>
      </w:r>
      <w:r>
        <w:rPr>
          <w:rFonts w:hint="eastAsia" w:asciiTheme="minorEastAsia" w:hAnsiTheme="minorEastAsia" w:eastAsiaTheme="minorEastAsia" w:cstheme="minorEastAsia"/>
          <w:bCs/>
          <w:color w:val="auto"/>
          <w:sz w:val="24"/>
          <w:szCs w:val="24"/>
          <w:highlight w:val="none"/>
          <w:lang w:eastAsia="zh-CN"/>
        </w:rPr>
        <w:t>。</w:t>
      </w:r>
    </w:p>
    <w:p>
      <w:pPr>
        <w:spacing w:line="360" w:lineRule="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任意添加分析后及检查图片到Report系统</w:t>
      </w:r>
      <w:r>
        <w:rPr>
          <w:rFonts w:hint="eastAsia" w:asciiTheme="minorEastAsia" w:hAnsiTheme="minorEastAsia" w:eastAsiaTheme="minorEastAsia" w:cstheme="minorEastAsia"/>
          <w:bCs/>
          <w:color w:val="auto"/>
          <w:sz w:val="24"/>
          <w:szCs w:val="24"/>
          <w:highlight w:val="none"/>
          <w:lang w:eastAsia="zh-CN"/>
        </w:rPr>
        <w:t>。</w:t>
      </w:r>
    </w:p>
    <w:p>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（项号35）</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.17</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增强造影成像技术</w:t>
      </w:r>
      <w:r>
        <w:rPr>
          <w:rFonts w:hint="eastAsia" w:asciiTheme="minorEastAsia" w:hAnsiTheme="minorEastAsia" w:eastAsiaTheme="minorEastAsia" w:cstheme="minorEastAsia"/>
          <w:color w:val="auto"/>
          <w:sz w:val="24"/>
          <w:szCs w:val="24"/>
          <w:highlight w:val="none"/>
          <w:lang w:eastAsia="zh-CN"/>
        </w:rPr>
        <w:t>：</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.17.1</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具备低机械指数及高机械指数造影成像功能。</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.17.2</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具备Flash爆破成像</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快速廓清造影剂</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以支持二次造影成像需求</w:t>
      </w:r>
      <w:r>
        <w:rPr>
          <w:rFonts w:hint="eastAsia" w:asciiTheme="minorEastAsia" w:hAnsiTheme="minorEastAsia" w:eastAsiaTheme="minorEastAsia" w:cstheme="minorEastAsia"/>
          <w:color w:val="auto"/>
          <w:sz w:val="24"/>
          <w:szCs w:val="24"/>
          <w:highlight w:val="none"/>
          <w:lang w:eastAsia="zh-CN"/>
        </w:rPr>
        <w:t>。</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.17.3</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为多脉冲非对称脉冲波调制技术</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复合基波、谐波及脉冲反相谐波信号采集成像</w:t>
      </w:r>
      <w:r>
        <w:rPr>
          <w:rFonts w:hint="eastAsia" w:asciiTheme="minorEastAsia" w:hAnsiTheme="minorEastAsia" w:eastAsiaTheme="minorEastAsia" w:cstheme="minorEastAsia"/>
          <w:color w:val="auto"/>
          <w:sz w:val="24"/>
          <w:szCs w:val="24"/>
          <w:highlight w:val="none"/>
          <w:lang w:eastAsia="zh-CN"/>
        </w:rPr>
        <w:t>。</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.17.4</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具备双幅造影图像及基波图像同屏对比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双福图像可独立调节成像参数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具备双造影计时器。</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.17.5</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血管造影脉络图技术可一键描记造影剂按时间相的灌注轨迹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清晰记录病变组织滋养血管的分布及灌注路径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可多次成像</w:t>
      </w:r>
      <w:r>
        <w:rPr>
          <w:rFonts w:hint="eastAsia" w:asciiTheme="minorEastAsia" w:hAnsiTheme="minorEastAsia" w:eastAsiaTheme="minorEastAsia" w:cstheme="minorEastAsia"/>
          <w:color w:val="auto"/>
          <w:sz w:val="24"/>
          <w:szCs w:val="24"/>
          <w:highlight w:val="none"/>
          <w:lang w:eastAsia="zh-CN"/>
        </w:rPr>
        <w:t>。</w:t>
      </w:r>
    </w:p>
    <w:p>
      <w:pPr>
        <w:spacing w:line="360" w:lineRule="auto"/>
        <w:ind w:firstLine="480" w:firstLineChars="200"/>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.17.</w:t>
      </w:r>
      <w:r>
        <w:rPr>
          <w:rFonts w:hint="eastAsia" w:asciiTheme="minorEastAsia" w:hAnsiTheme="minorEastAsia" w:eastAsiaTheme="minorEastAsia" w:cstheme="minorEastAsia"/>
          <w:bCs/>
          <w:color w:val="auto"/>
          <w:sz w:val="24"/>
          <w:szCs w:val="24"/>
          <w:highlight w:val="none"/>
          <w:lang w:val="en-US" w:eastAsia="zh-CN"/>
        </w:rPr>
        <w:t>6</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具备在机TIC曲线分析</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.17.</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支持凸阵、线阵、腔内及容积探头的造影</w:t>
      </w:r>
      <w:r>
        <w:rPr>
          <w:rFonts w:hint="eastAsia" w:asciiTheme="minorEastAsia" w:hAnsiTheme="minorEastAsia" w:eastAsiaTheme="minorEastAsia" w:cstheme="minorEastAsia"/>
          <w:color w:val="auto"/>
          <w:sz w:val="24"/>
          <w:szCs w:val="24"/>
          <w:highlight w:val="none"/>
          <w:lang w:eastAsia="zh-CN"/>
        </w:rPr>
        <w:t>。</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测量和分析部分</w:t>
      </w:r>
    </w:p>
    <w:p>
      <w:pPr>
        <w:spacing w:line="360" w:lineRule="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（项号36）</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.1</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一般测量：距离、周长、面积、体积、角度、百分比、曲线长度及不规则面积等</w:t>
      </w:r>
      <w:r>
        <w:rPr>
          <w:rFonts w:hint="eastAsia" w:asciiTheme="minorEastAsia" w:hAnsiTheme="minorEastAsia" w:eastAsiaTheme="minorEastAsia" w:cstheme="minorEastAsia"/>
          <w:bCs/>
          <w:color w:val="auto"/>
          <w:sz w:val="24"/>
          <w:szCs w:val="24"/>
          <w:highlight w:val="none"/>
          <w:lang w:val="en-US" w:eastAsia="zh-CN"/>
        </w:rPr>
        <w:t>。</w:t>
      </w:r>
    </w:p>
    <w:p>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.1.1</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测量放大镜：可实时同步无失真放大测量取样区域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同屏双区域显示</w:t>
      </w:r>
      <w:r>
        <w:rPr>
          <w:rFonts w:hint="eastAsia" w:asciiTheme="minorEastAsia" w:hAnsiTheme="minorEastAsia" w:eastAsiaTheme="minorEastAsia" w:cstheme="minorEastAsia"/>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（项号37）</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.2</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腹部测量与分析</w:t>
      </w:r>
      <w:r>
        <w:rPr>
          <w:rFonts w:hint="eastAsia" w:asciiTheme="minorEastAsia" w:hAnsiTheme="minorEastAsia" w:eastAsiaTheme="minorEastAsia" w:cstheme="minorEastAsia"/>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（项号38）</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.3</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产科测量与分析</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具有胎儿体重孕龄评估</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生长曲线显示</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（项号39）</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.4</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妇科测量与分析</w:t>
      </w:r>
      <w:r>
        <w:rPr>
          <w:rFonts w:hint="eastAsia" w:asciiTheme="minorEastAsia" w:hAnsiTheme="minorEastAsia" w:eastAsiaTheme="minorEastAsia" w:cstheme="minorEastAsia"/>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（项号40）</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.5</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颈动脉测量与分析</w:t>
      </w:r>
      <w:r>
        <w:rPr>
          <w:rFonts w:hint="eastAsia" w:asciiTheme="minorEastAsia" w:hAnsiTheme="minorEastAsia" w:eastAsiaTheme="minorEastAsia" w:cstheme="minorEastAsia"/>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（项号41）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.6</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心脏测量与分析</w:t>
      </w:r>
      <w:r>
        <w:rPr>
          <w:rFonts w:hint="eastAsia" w:asciiTheme="minorEastAsia" w:hAnsiTheme="minorEastAsia" w:eastAsiaTheme="minorEastAsia" w:cstheme="minorEastAsia"/>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（项号42）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.7</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泌尿科测量与分析</w:t>
      </w:r>
      <w:r>
        <w:rPr>
          <w:rFonts w:hint="eastAsia" w:asciiTheme="minorEastAsia" w:hAnsiTheme="minorEastAsia" w:eastAsiaTheme="minorEastAsia" w:cstheme="minorEastAsia"/>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（项号43）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.8</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胎儿心脏测量与分析</w:t>
      </w:r>
      <w:r>
        <w:rPr>
          <w:rFonts w:hint="eastAsia" w:asciiTheme="minorEastAsia" w:hAnsiTheme="minorEastAsia" w:eastAsiaTheme="minorEastAsia" w:cstheme="minorEastAsia"/>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（项号44）</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.9</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上下肢动脉、上下肢静脉测量与分析</w:t>
      </w:r>
      <w:r>
        <w:rPr>
          <w:rFonts w:hint="eastAsia" w:asciiTheme="minorEastAsia" w:hAnsiTheme="minorEastAsia" w:eastAsiaTheme="minorEastAsia" w:cstheme="minorEastAsia"/>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（项号45）</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.10</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小儿髋关节测量</w:t>
      </w:r>
      <w:r>
        <w:rPr>
          <w:rFonts w:hint="eastAsia" w:asciiTheme="minorEastAsia" w:hAnsiTheme="minorEastAsia" w:eastAsiaTheme="minorEastAsia" w:cstheme="minorEastAsia"/>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探头规格</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（项号46）</w:t>
      </w:r>
      <w:r>
        <w:rPr>
          <w:rFonts w:hint="eastAsia" w:asciiTheme="minorEastAsia" w:hAnsiTheme="minorEastAsia" w:eastAsiaTheme="minorEastAsia" w:cstheme="minorEastAsia"/>
          <w:bCs/>
          <w:color w:val="auto"/>
          <w:sz w:val="24"/>
          <w:szCs w:val="24"/>
          <w:highlight w:val="none"/>
          <w:lang w:val="en-US" w:eastAsia="zh-CN"/>
        </w:rPr>
        <w:t>6</w:t>
      </w:r>
      <w:r>
        <w:rPr>
          <w:rFonts w:hint="eastAsia" w:asciiTheme="minorEastAsia" w:hAnsiTheme="minorEastAsia" w:eastAsiaTheme="minorEastAsia" w:cstheme="minorEastAsia"/>
          <w:bCs/>
          <w:color w:val="auto"/>
          <w:sz w:val="24"/>
          <w:szCs w:val="24"/>
          <w:highlight w:val="none"/>
        </w:rPr>
        <w:t>.1</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频率：所有探头均为超宽频变频电子探头</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支持频带发射与接收</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（项号47）</w:t>
      </w:r>
      <w:r>
        <w:rPr>
          <w:rFonts w:hint="eastAsia" w:asciiTheme="minorEastAsia" w:hAnsiTheme="minorEastAsia" w:eastAsiaTheme="minorEastAsia" w:cstheme="minorEastAsia"/>
          <w:bCs/>
          <w:color w:val="auto"/>
          <w:sz w:val="24"/>
          <w:szCs w:val="24"/>
          <w:highlight w:val="none"/>
          <w:lang w:val="en-US" w:eastAsia="zh-CN"/>
        </w:rPr>
        <w:t>6</w:t>
      </w:r>
      <w:r>
        <w:rPr>
          <w:rFonts w:hint="eastAsia" w:asciiTheme="minorEastAsia" w:hAnsiTheme="minorEastAsia" w:eastAsiaTheme="minorEastAsia" w:cstheme="minorEastAsia"/>
          <w:bCs/>
          <w:color w:val="auto"/>
          <w:sz w:val="24"/>
          <w:szCs w:val="24"/>
          <w:highlight w:val="none"/>
        </w:rPr>
        <w:t>.2</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支持3D成像</w:t>
      </w:r>
      <w:r>
        <w:rPr>
          <w:rFonts w:hint="eastAsia" w:asciiTheme="minorEastAsia" w:hAnsiTheme="minorEastAsia" w:eastAsiaTheme="minorEastAsia" w:cstheme="minorEastAsia"/>
          <w:bCs/>
          <w:color w:val="auto"/>
          <w:sz w:val="24"/>
          <w:szCs w:val="24"/>
          <w:highlight w:val="none"/>
          <w:lang w:eastAsia="zh-CN"/>
        </w:rPr>
        <w:t>。</w:t>
      </w:r>
    </w:p>
    <w:p>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6</w:t>
      </w:r>
      <w:r>
        <w:rPr>
          <w:rFonts w:hint="eastAsia" w:asciiTheme="minorEastAsia" w:hAnsiTheme="minorEastAsia" w:eastAsiaTheme="minorEastAsia" w:cstheme="minorEastAsia"/>
          <w:bCs/>
          <w:color w:val="auto"/>
          <w:sz w:val="24"/>
          <w:szCs w:val="24"/>
          <w:highlight w:val="none"/>
        </w:rPr>
        <w:t>.3</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探头规格</w:t>
      </w:r>
      <w:r>
        <w:rPr>
          <w:rFonts w:hint="eastAsia" w:asciiTheme="minorEastAsia" w:hAnsiTheme="minorEastAsia" w:eastAsiaTheme="minorEastAsia" w:cstheme="minorEastAsia"/>
          <w:color w:val="auto"/>
          <w:sz w:val="24"/>
          <w:szCs w:val="24"/>
          <w:highlight w:val="none"/>
          <w:lang w:eastAsia="zh-CN"/>
        </w:rPr>
        <w:t>：</w:t>
      </w:r>
    </w:p>
    <w:p>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（项号48）</w:t>
      </w:r>
      <w:r>
        <w:rPr>
          <w:rFonts w:hint="eastAsia" w:asciiTheme="minorEastAsia" w:hAnsiTheme="minorEastAsia" w:eastAsiaTheme="minorEastAsia" w:cstheme="minorEastAsia"/>
          <w:bCs/>
          <w:color w:val="auto"/>
          <w:sz w:val="24"/>
          <w:szCs w:val="24"/>
          <w:highlight w:val="none"/>
          <w:lang w:val="en-US" w:eastAsia="zh-CN"/>
        </w:rPr>
        <w:t>6</w:t>
      </w:r>
      <w:r>
        <w:rPr>
          <w:rFonts w:hint="eastAsia" w:asciiTheme="minorEastAsia" w:hAnsiTheme="minorEastAsia" w:eastAsiaTheme="minorEastAsia" w:cstheme="minorEastAsia"/>
          <w:bCs/>
          <w:color w:val="auto"/>
          <w:sz w:val="24"/>
          <w:szCs w:val="24"/>
          <w:highlight w:val="none"/>
        </w:rPr>
        <w:t>.3.1</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性能：超宽频带变频探头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频段或频率数字双重显示模式</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探头在二维模式下中心频率最大可选择≥3种；多普勒频率可最大选择≥2种；中心频率的变频频段及频率具体数字均可在屏幕上可视可调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必须具备单晶体探头技术</w:t>
      </w:r>
      <w:r>
        <w:rPr>
          <w:rFonts w:hint="eastAsia" w:asciiTheme="minorEastAsia" w:hAnsiTheme="minorEastAsia" w:eastAsiaTheme="minorEastAsia" w:cstheme="minorEastAsia"/>
          <w:color w:val="auto"/>
          <w:sz w:val="24"/>
          <w:szCs w:val="24"/>
          <w:highlight w:val="none"/>
          <w:lang w:eastAsia="zh-CN"/>
        </w:rPr>
        <w:t>。</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项号49）</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.3.2</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探头</w:t>
      </w:r>
      <w:r>
        <w:rPr>
          <w:rFonts w:hint="eastAsia" w:asciiTheme="minorEastAsia" w:hAnsiTheme="minorEastAsia" w:eastAsiaTheme="minorEastAsia" w:cstheme="minorEastAsia"/>
          <w:color w:val="auto"/>
          <w:sz w:val="24"/>
          <w:szCs w:val="24"/>
          <w:highlight w:val="none"/>
          <w:lang w:val="en-US" w:eastAsia="zh-CN"/>
        </w:rPr>
        <w:t>配置要求</w:t>
      </w:r>
      <w:r>
        <w:rPr>
          <w:rFonts w:hint="eastAsia" w:asciiTheme="minorEastAsia" w:hAnsiTheme="minorEastAsia" w:eastAsiaTheme="minorEastAsia" w:cstheme="minorEastAsia"/>
          <w:color w:val="auto"/>
          <w:sz w:val="24"/>
          <w:szCs w:val="24"/>
          <w:highlight w:val="none"/>
        </w:rPr>
        <w:t>：</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单晶体凸阵探头1-7MHz</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1把；</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血管线阵探头2-9MHz</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1把；</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（3）高频线阵探头3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MHz</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1把；</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腔内探头2-11MHz</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1把；</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（5）单晶体凸阵容积</w:t>
      </w:r>
      <w:r>
        <w:rPr>
          <w:rFonts w:hint="eastAsia" w:asciiTheme="minorEastAsia" w:hAnsiTheme="minorEastAsia" w:eastAsiaTheme="minorEastAsia" w:cstheme="minorEastAsia"/>
          <w:color w:val="auto"/>
          <w:sz w:val="24"/>
          <w:szCs w:val="24"/>
          <w:highlight w:val="none"/>
        </w:rPr>
        <w:t>探头</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MHz</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1把。</w:t>
      </w:r>
    </w:p>
    <w:p>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（项号50）</w:t>
      </w:r>
      <w:r>
        <w:rPr>
          <w:rFonts w:hint="eastAsia" w:asciiTheme="minorEastAsia" w:hAnsiTheme="minorEastAsia" w:eastAsiaTheme="minorEastAsia" w:cstheme="minorEastAsia"/>
          <w:bCs/>
          <w:color w:val="auto"/>
          <w:sz w:val="24"/>
          <w:szCs w:val="24"/>
          <w:highlight w:val="none"/>
          <w:lang w:val="en-US" w:eastAsia="zh-CN"/>
        </w:rPr>
        <w:t>6</w:t>
      </w:r>
      <w:r>
        <w:rPr>
          <w:rFonts w:hint="eastAsia" w:asciiTheme="minorEastAsia" w:hAnsiTheme="minorEastAsia" w:eastAsiaTheme="minorEastAsia" w:cstheme="minorEastAsia"/>
          <w:bCs/>
          <w:color w:val="auto"/>
          <w:sz w:val="24"/>
          <w:szCs w:val="24"/>
          <w:highlight w:val="none"/>
        </w:rPr>
        <w:t>.4</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探头接口：</w:t>
      </w:r>
      <w:bookmarkStart w:id="0" w:name="_Hlk78550940"/>
      <w:r>
        <w:rPr>
          <w:rFonts w:hint="eastAsia" w:asciiTheme="minorEastAsia" w:hAnsiTheme="minorEastAsia" w:eastAsiaTheme="minorEastAsia" w:cstheme="minorEastAsia"/>
          <w:color w:val="auto"/>
          <w:sz w:val="24"/>
          <w:szCs w:val="24"/>
          <w:highlight w:val="none"/>
        </w:rPr>
        <w:t>同时激活探头接口≥4个</w:t>
      </w:r>
      <w:bookmarkEnd w:id="0"/>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均为无针式探头接口</w:t>
      </w:r>
      <w:r>
        <w:rPr>
          <w:rFonts w:hint="eastAsia" w:asciiTheme="minorEastAsia" w:hAnsiTheme="minorEastAsia" w:eastAsiaTheme="minorEastAsia" w:cstheme="minorEastAsia"/>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输入/输出信号：</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（项号51）</w:t>
      </w:r>
      <w:r>
        <w:rPr>
          <w:rFonts w:hint="eastAsia" w:asciiTheme="minorEastAsia" w:hAnsiTheme="minorEastAsia" w:eastAsiaTheme="minorEastAsia" w:cstheme="minorEastAsia"/>
          <w:bCs/>
          <w:color w:val="auto"/>
          <w:sz w:val="24"/>
          <w:szCs w:val="24"/>
          <w:highlight w:val="none"/>
          <w:lang w:val="en-US" w:eastAsia="zh-CN"/>
        </w:rPr>
        <w:t>7</w:t>
      </w:r>
      <w:r>
        <w:rPr>
          <w:rFonts w:hint="eastAsia" w:asciiTheme="minorEastAsia" w:hAnsiTheme="minorEastAsia" w:eastAsiaTheme="minorEastAsia" w:cstheme="minorEastAsia"/>
          <w:bCs/>
          <w:color w:val="auto"/>
          <w:sz w:val="24"/>
          <w:szCs w:val="24"/>
          <w:highlight w:val="none"/>
        </w:rPr>
        <w:t>.1</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输入：USB</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（项号52）</w:t>
      </w:r>
      <w:r>
        <w:rPr>
          <w:rFonts w:hint="eastAsia" w:asciiTheme="minorEastAsia" w:hAnsiTheme="minorEastAsia" w:eastAsiaTheme="minorEastAsia" w:cstheme="minorEastAsia"/>
          <w:bCs/>
          <w:color w:val="auto"/>
          <w:sz w:val="24"/>
          <w:szCs w:val="24"/>
          <w:highlight w:val="none"/>
          <w:lang w:val="en-US" w:eastAsia="zh-CN"/>
        </w:rPr>
        <w:t>7</w:t>
      </w:r>
      <w:r>
        <w:rPr>
          <w:rFonts w:hint="eastAsia" w:asciiTheme="minorEastAsia" w:hAnsiTheme="minorEastAsia" w:eastAsiaTheme="minorEastAsia" w:cstheme="minorEastAsia"/>
          <w:bCs/>
          <w:color w:val="auto"/>
          <w:sz w:val="24"/>
          <w:szCs w:val="24"/>
          <w:highlight w:val="none"/>
        </w:rPr>
        <w:t>.2</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输出：HDMI、S-VHS、VHS、VGA、音频输出、USB、DICOM 3.0、DICOM SR</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（项号53）</w:t>
      </w:r>
      <w:r>
        <w:rPr>
          <w:rFonts w:hint="eastAsia" w:asciiTheme="minorEastAsia" w:hAnsiTheme="minorEastAsia" w:eastAsiaTheme="minorEastAsia" w:cstheme="minorEastAsia"/>
          <w:bCs/>
          <w:color w:val="auto"/>
          <w:sz w:val="24"/>
          <w:szCs w:val="24"/>
          <w:highlight w:val="none"/>
          <w:lang w:val="en-US" w:eastAsia="zh-CN"/>
        </w:rPr>
        <w:t>7</w:t>
      </w:r>
      <w:r>
        <w:rPr>
          <w:rFonts w:hint="eastAsia" w:asciiTheme="minorEastAsia" w:hAnsiTheme="minorEastAsia" w:eastAsiaTheme="minorEastAsia" w:cstheme="minorEastAsia"/>
          <w:bCs/>
          <w:color w:val="auto"/>
          <w:sz w:val="24"/>
          <w:szCs w:val="24"/>
          <w:highlight w:val="none"/>
        </w:rPr>
        <w:t>.3</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主机内置一体化USB接口≥6个</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二维成像主要参数</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（项号54）</w:t>
      </w:r>
      <w:r>
        <w:rPr>
          <w:rFonts w:hint="eastAsia" w:asciiTheme="minorEastAsia" w:hAnsiTheme="minorEastAsia" w:eastAsiaTheme="minorEastAsia" w:cstheme="minorEastAsia"/>
          <w:bCs/>
          <w:color w:val="auto"/>
          <w:sz w:val="24"/>
          <w:szCs w:val="24"/>
          <w:highlight w:val="none"/>
          <w:lang w:val="en-US" w:eastAsia="zh-CN"/>
        </w:rPr>
        <w:t>8</w:t>
      </w:r>
      <w:r>
        <w:rPr>
          <w:rFonts w:hint="eastAsia" w:asciiTheme="minorEastAsia" w:hAnsiTheme="minorEastAsia" w:eastAsiaTheme="minorEastAsia" w:cstheme="minorEastAsia"/>
          <w:bCs/>
          <w:color w:val="auto"/>
          <w:sz w:val="24"/>
          <w:szCs w:val="24"/>
          <w:highlight w:val="none"/>
        </w:rPr>
        <w:t>.1</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扫描速率：相控阵探头</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全视野</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18cm深度时</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帧速度≥65帧/秒</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项号55）</w:t>
      </w:r>
      <w:r>
        <w:rPr>
          <w:rFonts w:hint="eastAsia" w:asciiTheme="minorEastAsia" w:hAnsiTheme="minorEastAsia" w:eastAsiaTheme="minorEastAsia" w:cstheme="minorEastAsia"/>
          <w:bCs/>
          <w:color w:val="auto"/>
          <w:sz w:val="24"/>
          <w:szCs w:val="24"/>
          <w:highlight w:val="none"/>
          <w:lang w:val="en-US" w:eastAsia="zh-CN"/>
        </w:rPr>
        <w:t>8</w:t>
      </w:r>
      <w:r>
        <w:rPr>
          <w:rFonts w:hint="eastAsia" w:asciiTheme="minorEastAsia" w:hAnsiTheme="minorEastAsia" w:eastAsiaTheme="minorEastAsia" w:cstheme="minorEastAsia"/>
          <w:bCs/>
          <w:color w:val="auto"/>
          <w:sz w:val="24"/>
          <w:szCs w:val="24"/>
          <w:highlight w:val="none"/>
        </w:rPr>
        <w:t>.2</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扫描线：</w:t>
      </w:r>
      <w:bookmarkStart w:id="1" w:name="OLE_LINK5"/>
      <w:r>
        <w:rPr>
          <w:rFonts w:hint="eastAsia" w:asciiTheme="minorEastAsia" w:hAnsiTheme="minorEastAsia" w:eastAsiaTheme="minorEastAsia" w:cstheme="minorEastAsia"/>
          <w:bCs/>
          <w:color w:val="auto"/>
          <w:sz w:val="24"/>
          <w:szCs w:val="24"/>
          <w:highlight w:val="none"/>
        </w:rPr>
        <w:t>每帧线密度</w:t>
      </w:r>
      <w:bookmarkEnd w:id="1"/>
      <w:r>
        <w:rPr>
          <w:rFonts w:hint="eastAsia" w:asciiTheme="minorEastAsia" w:hAnsiTheme="minorEastAsia" w:eastAsiaTheme="minorEastAsia" w:cstheme="minorEastAsia"/>
          <w:bCs/>
          <w:color w:val="auto"/>
          <w:sz w:val="24"/>
          <w:szCs w:val="24"/>
          <w:highlight w:val="none"/>
        </w:rPr>
        <w:t>≥1024超声线</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（项号56）</w:t>
      </w:r>
      <w:r>
        <w:rPr>
          <w:rFonts w:hint="eastAsia" w:asciiTheme="minorEastAsia" w:hAnsiTheme="minorEastAsia" w:eastAsiaTheme="minorEastAsia" w:cstheme="minorEastAsia"/>
          <w:bCs/>
          <w:color w:val="auto"/>
          <w:sz w:val="24"/>
          <w:szCs w:val="24"/>
          <w:highlight w:val="none"/>
          <w:lang w:val="en-US" w:eastAsia="zh-CN"/>
        </w:rPr>
        <w:t>8</w:t>
      </w:r>
      <w:r>
        <w:rPr>
          <w:rFonts w:hint="eastAsia" w:asciiTheme="minorEastAsia" w:hAnsiTheme="minorEastAsia" w:eastAsiaTheme="minorEastAsia" w:cstheme="minorEastAsia"/>
          <w:bCs/>
          <w:color w:val="auto"/>
          <w:sz w:val="24"/>
          <w:szCs w:val="24"/>
          <w:highlight w:val="none"/>
        </w:rPr>
        <w:t>.3</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声束聚焦：发射≥8段</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接收自动连续聚焦</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（项号57）</w:t>
      </w:r>
      <w:r>
        <w:rPr>
          <w:rFonts w:hint="eastAsia" w:asciiTheme="minorEastAsia" w:hAnsiTheme="minorEastAsia" w:eastAsiaTheme="minorEastAsia" w:cstheme="minorEastAsia"/>
          <w:bCs/>
          <w:color w:val="auto"/>
          <w:sz w:val="24"/>
          <w:szCs w:val="24"/>
          <w:highlight w:val="none"/>
          <w:lang w:val="en-US" w:eastAsia="zh-CN"/>
        </w:rPr>
        <w:t>8</w:t>
      </w:r>
      <w:r>
        <w:rPr>
          <w:rFonts w:hint="eastAsia" w:asciiTheme="minorEastAsia" w:hAnsiTheme="minorEastAsia" w:eastAsiaTheme="minorEastAsia" w:cstheme="minorEastAsia"/>
          <w:bCs/>
          <w:color w:val="auto"/>
          <w:sz w:val="24"/>
          <w:szCs w:val="24"/>
          <w:highlight w:val="none"/>
        </w:rPr>
        <w:t>.4</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接收方式：接收通道≥40,000,000</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多路信号并行处理</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（项号58）</w:t>
      </w:r>
      <w:r>
        <w:rPr>
          <w:rFonts w:hint="eastAsia" w:asciiTheme="minorEastAsia" w:hAnsiTheme="minorEastAsia" w:eastAsiaTheme="minorEastAsia" w:cstheme="minorEastAsia"/>
          <w:bCs/>
          <w:color w:val="auto"/>
          <w:sz w:val="24"/>
          <w:szCs w:val="24"/>
          <w:highlight w:val="none"/>
          <w:lang w:val="en-US" w:eastAsia="zh-CN"/>
        </w:rPr>
        <w:t>8</w:t>
      </w:r>
      <w:r>
        <w:rPr>
          <w:rFonts w:hint="eastAsia" w:asciiTheme="minorEastAsia" w:hAnsiTheme="minorEastAsia" w:eastAsiaTheme="minorEastAsia" w:cstheme="minorEastAsia"/>
          <w:bCs/>
          <w:color w:val="auto"/>
          <w:sz w:val="24"/>
          <w:szCs w:val="24"/>
          <w:highlight w:val="none"/>
        </w:rPr>
        <w:t>.5</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数字技术：接收数字式声束形成器</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连续动态聚焦</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可变孔径及动态变迹</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（项号59）</w:t>
      </w:r>
      <w:r>
        <w:rPr>
          <w:rFonts w:hint="eastAsia" w:asciiTheme="minorEastAsia" w:hAnsiTheme="minorEastAsia" w:eastAsiaTheme="minorEastAsia" w:cstheme="minorEastAsia"/>
          <w:bCs/>
          <w:color w:val="auto"/>
          <w:sz w:val="24"/>
          <w:szCs w:val="24"/>
          <w:highlight w:val="none"/>
          <w:lang w:val="en-US" w:eastAsia="zh-CN"/>
        </w:rPr>
        <w:t>8</w:t>
      </w:r>
      <w:r>
        <w:rPr>
          <w:rFonts w:hint="eastAsia" w:asciiTheme="minorEastAsia" w:hAnsiTheme="minorEastAsia" w:eastAsiaTheme="minorEastAsia" w:cstheme="minorEastAsia"/>
          <w:bCs/>
          <w:color w:val="auto"/>
          <w:sz w:val="24"/>
          <w:szCs w:val="24"/>
          <w:highlight w:val="none"/>
        </w:rPr>
        <w:t>.6</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线阵探头梯形成像技术</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支持所有成像模式</w:t>
      </w:r>
      <w:r>
        <w:rPr>
          <w:rFonts w:hint="eastAsia" w:asciiTheme="minorEastAsia" w:hAnsiTheme="minorEastAsia" w:eastAsiaTheme="minorEastAsia" w:cstheme="minorEastAsia"/>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（项号60）</w:t>
      </w:r>
      <w:r>
        <w:rPr>
          <w:rFonts w:hint="eastAsia" w:asciiTheme="minorEastAsia" w:hAnsiTheme="minorEastAsia" w:eastAsiaTheme="minorEastAsia" w:cstheme="minorEastAsia"/>
          <w:bCs/>
          <w:color w:val="auto"/>
          <w:sz w:val="24"/>
          <w:szCs w:val="24"/>
          <w:highlight w:val="none"/>
          <w:lang w:val="en-US" w:eastAsia="zh-CN"/>
        </w:rPr>
        <w:t>8</w:t>
      </w:r>
      <w:r>
        <w:rPr>
          <w:rFonts w:hint="eastAsia" w:asciiTheme="minorEastAsia" w:hAnsiTheme="minorEastAsia" w:eastAsiaTheme="minorEastAsia" w:cstheme="minorEastAsia"/>
          <w:bCs/>
          <w:color w:val="auto"/>
          <w:sz w:val="24"/>
          <w:szCs w:val="24"/>
          <w:highlight w:val="none"/>
        </w:rPr>
        <w:t>.7</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 xml:space="preserve">回放重现：2D灰阶图像回放≥12700帧 </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（项号61）</w:t>
      </w:r>
      <w:r>
        <w:rPr>
          <w:rFonts w:hint="eastAsia" w:asciiTheme="minorEastAsia" w:hAnsiTheme="minorEastAsia" w:eastAsiaTheme="minorEastAsia" w:cstheme="minorEastAsia"/>
          <w:bCs/>
          <w:color w:val="auto"/>
          <w:sz w:val="24"/>
          <w:szCs w:val="24"/>
          <w:highlight w:val="none"/>
          <w:lang w:val="en-US" w:eastAsia="zh-CN"/>
        </w:rPr>
        <w:t>8</w:t>
      </w:r>
      <w:r>
        <w:rPr>
          <w:rFonts w:hint="eastAsia" w:asciiTheme="minorEastAsia" w:hAnsiTheme="minorEastAsia" w:eastAsiaTheme="minorEastAsia" w:cstheme="minorEastAsia"/>
          <w:bCs/>
          <w:color w:val="auto"/>
          <w:sz w:val="24"/>
          <w:szCs w:val="24"/>
          <w:highlight w:val="none"/>
        </w:rPr>
        <w:t>.8</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预设条件：针对不同的检查脏器</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预置最佳化图像的检查条件</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减少操作时的调节</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及常用所需的外部调节及组合调节</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（项号62）</w:t>
      </w:r>
      <w:r>
        <w:rPr>
          <w:rFonts w:hint="eastAsia" w:asciiTheme="minorEastAsia" w:hAnsiTheme="minorEastAsia" w:eastAsiaTheme="minorEastAsia" w:cstheme="minorEastAsia"/>
          <w:bCs/>
          <w:color w:val="auto"/>
          <w:sz w:val="24"/>
          <w:szCs w:val="24"/>
          <w:highlight w:val="none"/>
          <w:lang w:val="en-US" w:eastAsia="zh-CN"/>
        </w:rPr>
        <w:t>8</w:t>
      </w:r>
      <w:r>
        <w:rPr>
          <w:rFonts w:hint="eastAsia" w:asciiTheme="minorEastAsia" w:hAnsiTheme="minorEastAsia" w:eastAsiaTheme="minorEastAsia" w:cstheme="minorEastAsia"/>
          <w:bCs/>
          <w:color w:val="auto"/>
          <w:sz w:val="24"/>
          <w:szCs w:val="24"/>
          <w:highlight w:val="none"/>
        </w:rPr>
        <w:t>.9</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增益调节：B、B/M、C、D可独立调节</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（项号63）</w:t>
      </w:r>
      <w:r>
        <w:rPr>
          <w:rFonts w:hint="eastAsia" w:asciiTheme="minorEastAsia" w:hAnsiTheme="minorEastAsia" w:eastAsiaTheme="minorEastAsia" w:cstheme="minorEastAsia"/>
          <w:bCs/>
          <w:color w:val="auto"/>
          <w:sz w:val="24"/>
          <w:szCs w:val="24"/>
          <w:highlight w:val="none"/>
          <w:lang w:val="en-US" w:eastAsia="zh-CN"/>
        </w:rPr>
        <w:t>8</w:t>
      </w:r>
      <w:r>
        <w:rPr>
          <w:rFonts w:hint="eastAsia" w:asciiTheme="minorEastAsia" w:hAnsiTheme="minorEastAsia" w:eastAsiaTheme="minorEastAsia" w:cstheme="minorEastAsia"/>
          <w:bCs/>
          <w:color w:val="auto"/>
          <w:sz w:val="24"/>
          <w:szCs w:val="24"/>
          <w:highlight w:val="none"/>
        </w:rPr>
        <w:t>.10</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数码TGC≥8段增益补偿调节</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（项号64）</w:t>
      </w:r>
      <w:r>
        <w:rPr>
          <w:rFonts w:hint="eastAsia" w:asciiTheme="minorEastAsia" w:hAnsiTheme="minorEastAsia" w:eastAsiaTheme="minorEastAsia" w:cstheme="minorEastAsia"/>
          <w:bCs/>
          <w:color w:val="auto"/>
          <w:sz w:val="24"/>
          <w:szCs w:val="24"/>
          <w:highlight w:val="none"/>
          <w:lang w:val="en-US" w:eastAsia="zh-CN"/>
        </w:rPr>
        <w:t>8</w:t>
      </w:r>
      <w:r>
        <w:rPr>
          <w:rFonts w:hint="eastAsia" w:asciiTheme="minorEastAsia" w:hAnsiTheme="minorEastAsia" w:eastAsiaTheme="minorEastAsia" w:cstheme="minorEastAsia"/>
          <w:bCs/>
          <w:color w:val="auto"/>
          <w:sz w:val="24"/>
          <w:szCs w:val="24"/>
          <w:highlight w:val="none"/>
        </w:rPr>
        <w:t>.11</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最大扫查深度</w:t>
      </w:r>
      <w:r>
        <w:rPr>
          <w:rFonts w:hint="eastAsia" w:asciiTheme="minorEastAsia" w:hAnsiTheme="minorEastAsia" w:eastAsiaTheme="minorEastAsia" w:cstheme="minorEastAsia"/>
          <w:bCs/>
          <w:color w:val="auto"/>
          <w:sz w:val="24"/>
          <w:szCs w:val="24"/>
          <w:highlight w:val="none"/>
        </w:rPr>
        <w:t>≥45</w:t>
      </w:r>
      <w:r>
        <w:rPr>
          <w:rFonts w:hint="eastAsia" w:asciiTheme="minorEastAsia" w:hAnsiTheme="minorEastAsia" w:eastAsiaTheme="minorEastAsia" w:cstheme="minorEastAsia"/>
          <w:color w:val="auto"/>
          <w:sz w:val="24"/>
          <w:szCs w:val="24"/>
          <w:highlight w:val="none"/>
        </w:rPr>
        <w:t>cm</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最小显示深度</w:t>
      </w: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color w:val="auto"/>
          <w:sz w:val="24"/>
          <w:szCs w:val="24"/>
          <w:highlight w:val="none"/>
        </w:rPr>
        <w:t>cm</w:t>
      </w:r>
      <w:r>
        <w:rPr>
          <w:rFonts w:hint="eastAsia" w:asciiTheme="minorEastAsia" w:hAnsiTheme="minorEastAsia" w:eastAsiaTheme="minorEastAsia" w:cstheme="minorEastAsia"/>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频谱多普勒</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（项号65）</w:t>
      </w:r>
      <w:r>
        <w:rPr>
          <w:rFonts w:hint="eastAsia" w:asciiTheme="minorEastAsia" w:hAnsiTheme="minorEastAsia" w:eastAsiaTheme="minorEastAsia" w:cstheme="minorEastAsia"/>
          <w:bCs/>
          <w:color w:val="auto"/>
          <w:sz w:val="24"/>
          <w:szCs w:val="24"/>
          <w:highlight w:val="none"/>
          <w:lang w:val="en-US" w:eastAsia="zh-CN"/>
        </w:rPr>
        <w:t>9</w:t>
      </w:r>
      <w:r>
        <w:rPr>
          <w:rFonts w:hint="eastAsia" w:asciiTheme="minorEastAsia" w:hAnsiTheme="minorEastAsia" w:eastAsiaTheme="minorEastAsia" w:cstheme="minorEastAsia"/>
          <w:bCs/>
          <w:color w:val="auto"/>
          <w:sz w:val="24"/>
          <w:szCs w:val="24"/>
          <w:highlight w:val="none"/>
        </w:rPr>
        <w:t>.1</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方式：脉冲波多普勒（PW）、高脉冲重复频率（HPRF）、连续波多普勒（CW）</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（项号66）</w:t>
      </w:r>
      <w:r>
        <w:rPr>
          <w:rFonts w:hint="eastAsia" w:asciiTheme="minorEastAsia" w:hAnsiTheme="minorEastAsia" w:eastAsiaTheme="minorEastAsia" w:cstheme="minorEastAsia"/>
          <w:bCs/>
          <w:color w:val="auto"/>
          <w:sz w:val="24"/>
          <w:szCs w:val="24"/>
          <w:highlight w:val="none"/>
          <w:lang w:val="en-US" w:eastAsia="zh-CN"/>
        </w:rPr>
        <w:t>9</w:t>
      </w:r>
      <w:r>
        <w:rPr>
          <w:rFonts w:hint="eastAsia" w:asciiTheme="minorEastAsia" w:hAnsiTheme="minorEastAsia" w:eastAsiaTheme="minorEastAsia" w:cstheme="minorEastAsia"/>
          <w:bCs/>
          <w:color w:val="auto"/>
          <w:sz w:val="24"/>
          <w:szCs w:val="24"/>
          <w:highlight w:val="none"/>
        </w:rPr>
        <w:t>.2</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最大测量速度：（基线为零,量程范围最大</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无角度纠正时）PW：血流速度≥9m/s</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CW：血流速度≥17m/s</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（项号67）</w:t>
      </w:r>
      <w:r>
        <w:rPr>
          <w:rFonts w:hint="eastAsia" w:asciiTheme="minorEastAsia" w:hAnsiTheme="minorEastAsia" w:eastAsiaTheme="minorEastAsia" w:cstheme="minorEastAsia"/>
          <w:bCs/>
          <w:color w:val="auto"/>
          <w:sz w:val="24"/>
          <w:szCs w:val="24"/>
          <w:highlight w:val="none"/>
          <w:lang w:val="en-US" w:eastAsia="zh-CN"/>
        </w:rPr>
        <w:t>9</w:t>
      </w:r>
      <w:r>
        <w:rPr>
          <w:rFonts w:hint="eastAsia" w:asciiTheme="minorEastAsia" w:hAnsiTheme="minorEastAsia" w:eastAsiaTheme="minorEastAsia" w:cstheme="minorEastAsia"/>
          <w:bCs/>
          <w:color w:val="auto"/>
          <w:sz w:val="24"/>
          <w:szCs w:val="24"/>
          <w:highlight w:val="none"/>
        </w:rPr>
        <w:t>.3</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 xml:space="preserve">最低测量速度：≤1mm/s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（项号68）</w:t>
      </w:r>
      <w:r>
        <w:rPr>
          <w:rFonts w:hint="eastAsia" w:asciiTheme="minorEastAsia" w:hAnsiTheme="minorEastAsia" w:eastAsiaTheme="minorEastAsia" w:cstheme="minorEastAsia"/>
          <w:bCs/>
          <w:color w:val="auto"/>
          <w:sz w:val="24"/>
          <w:szCs w:val="24"/>
          <w:highlight w:val="none"/>
          <w:lang w:val="en-US" w:eastAsia="zh-CN"/>
        </w:rPr>
        <w:t>9</w:t>
      </w:r>
      <w:r>
        <w:rPr>
          <w:rFonts w:hint="eastAsia" w:asciiTheme="minorEastAsia" w:hAnsiTheme="minorEastAsia" w:eastAsiaTheme="minorEastAsia" w:cstheme="minorEastAsia"/>
          <w:bCs/>
          <w:color w:val="auto"/>
          <w:sz w:val="24"/>
          <w:szCs w:val="24"/>
          <w:highlight w:val="none"/>
        </w:rPr>
        <w:t>.4</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显示方式：B/D、B/C/D</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（项号69）</w:t>
      </w:r>
      <w:r>
        <w:rPr>
          <w:rFonts w:hint="eastAsia" w:asciiTheme="minorEastAsia" w:hAnsiTheme="minorEastAsia" w:eastAsiaTheme="minorEastAsia" w:cstheme="minorEastAsia"/>
          <w:bCs/>
          <w:color w:val="auto"/>
          <w:sz w:val="24"/>
          <w:szCs w:val="24"/>
          <w:highlight w:val="none"/>
          <w:lang w:val="en-US" w:eastAsia="zh-CN"/>
        </w:rPr>
        <w:t>9</w:t>
      </w:r>
      <w:r>
        <w:rPr>
          <w:rFonts w:hint="eastAsia" w:asciiTheme="minorEastAsia" w:hAnsiTheme="minorEastAsia" w:eastAsiaTheme="minorEastAsia" w:cstheme="minorEastAsia"/>
          <w:bCs/>
          <w:color w:val="auto"/>
          <w:sz w:val="24"/>
          <w:szCs w:val="24"/>
          <w:highlight w:val="none"/>
        </w:rPr>
        <w:t>.5</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多普勒电影回放：≥8192线</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（项号70）</w:t>
      </w:r>
      <w:r>
        <w:rPr>
          <w:rFonts w:hint="eastAsia" w:asciiTheme="minorEastAsia" w:hAnsiTheme="minorEastAsia" w:eastAsiaTheme="minorEastAsia" w:cstheme="minorEastAsia"/>
          <w:bCs/>
          <w:color w:val="auto"/>
          <w:sz w:val="24"/>
          <w:szCs w:val="24"/>
          <w:highlight w:val="none"/>
          <w:lang w:val="en-US" w:eastAsia="zh-CN"/>
        </w:rPr>
        <w:t>9</w:t>
      </w:r>
      <w:r>
        <w:rPr>
          <w:rFonts w:hint="eastAsia" w:asciiTheme="minorEastAsia" w:hAnsiTheme="minorEastAsia" w:eastAsiaTheme="minorEastAsia" w:cstheme="minorEastAsia"/>
          <w:bCs/>
          <w:color w:val="auto"/>
          <w:sz w:val="24"/>
          <w:szCs w:val="24"/>
          <w:highlight w:val="none"/>
        </w:rPr>
        <w:t>.6</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零位移动：≥8级</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（项号71）</w:t>
      </w:r>
      <w:r>
        <w:rPr>
          <w:rFonts w:hint="eastAsia" w:asciiTheme="minorEastAsia" w:hAnsiTheme="minorEastAsia" w:eastAsiaTheme="minorEastAsia" w:cstheme="minorEastAsia"/>
          <w:bCs/>
          <w:color w:val="auto"/>
          <w:sz w:val="24"/>
          <w:szCs w:val="24"/>
          <w:highlight w:val="none"/>
          <w:lang w:val="en-US" w:eastAsia="zh-CN"/>
        </w:rPr>
        <w:t>9</w:t>
      </w:r>
      <w:r>
        <w:rPr>
          <w:rFonts w:hint="eastAsia" w:asciiTheme="minorEastAsia" w:hAnsiTheme="minorEastAsia" w:eastAsiaTheme="minorEastAsia" w:cstheme="minorEastAsia"/>
          <w:bCs/>
          <w:color w:val="auto"/>
          <w:sz w:val="24"/>
          <w:szCs w:val="24"/>
          <w:highlight w:val="none"/>
        </w:rPr>
        <w:t>.7</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取样宽度及位置范围：多级可调</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最小取样宽度0.5mm</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最大20mm</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（项号72）</w:t>
      </w:r>
      <w:r>
        <w:rPr>
          <w:rFonts w:hint="eastAsia" w:asciiTheme="minorEastAsia" w:hAnsiTheme="minorEastAsia" w:eastAsiaTheme="minorEastAsia" w:cstheme="minorEastAsia"/>
          <w:bCs/>
          <w:color w:val="auto"/>
          <w:sz w:val="24"/>
          <w:szCs w:val="24"/>
          <w:highlight w:val="none"/>
          <w:lang w:val="en-US" w:eastAsia="zh-CN"/>
        </w:rPr>
        <w:t>9</w:t>
      </w:r>
      <w:r>
        <w:rPr>
          <w:rFonts w:hint="eastAsia" w:asciiTheme="minorEastAsia" w:hAnsiTheme="minorEastAsia" w:eastAsiaTheme="minorEastAsia" w:cstheme="minorEastAsia"/>
          <w:bCs/>
          <w:color w:val="auto"/>
          <w:sz w:val="24"/>
          <w:szCs w:val="24"/>
          <w:highlight w:val="none"/>
        </w:rPr>
        <w:t>.8</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实时多普勒频谱自动包络并完成频谱测量计算</w:t>
      </w:r>
      <w:r>
        <w:rPr>
          <w:rFonts w:hint="eastAsia" w:asciiTheme="minorEastAsia" w:hAnsiTheme="minorEastAsia" w:eastAsiaTheme="minorEastAsia" w:cstheme="minorEastAsia"/>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（项号73）</w:t>
      </w:r>
      <w:r>
        <w:rPr>
          <w:rFonts w:hint="eastAsia" w:asciiTheme="minorEastAsia" w:hAnsiTheme="minorEastAsia" w:eastAsiaTheme="minorEastAsia" w:cstheme="minorEastAsia"/>
          <w:bCs/>
          <w:color w:val="auto"/>
          <w:sz w:val="24"/>
          <w:szCs w:val="24"/>
          <w:highlight w:val="none"/>
          <w:lang w:val="en-US" w:eastAsia="zh-CN"/>
        </w:rPr>
        <w:t>9</w:t>
      </w:r>
      <w:r>
        <w:rPr>
          <w:rFonts w:hint="eastAsia" w:asciiTheme="minorEastAsia" w:hAnsiTheme="minorEastAsia" w:eastAsiaTheme="minorEastAsia" w:cstheme="minorEastAsia"/>
          <w:bCs/>
          <w:color w:val="auto"/>
          <w:sz w:val="24"/>
          <w:szCs w:val="24"/>
          <w:highlight w:val="none"/>
        </w:rPr>
        <w:t>.9</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实时三同步功能</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彩色多普勒</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（项号74）</w:t>
      </w:r>
      <w:r>
        <w:rPr>
          <w:rFonts w:hint="eastAsia" w:asciiTheme="minorEastAsia" w:hAnsiTheme="minorEastAsia" w:eastAsiaTheme="minorEastAsia" w:cstheme="minorEastAsia"/>
          <w:bCs/>
          <w:color w:val="auto"/>
          <w:sz w:val="24"/>
          <w:szCs w:val="24"/>
          <w:highlight w:val="none"/>
          <w:lang w:val="en-US" w:eastAsia="zh-CN"/>
        </w:rPr>
        <w:t>10</w:t>
      </w:r>
      <w:r>
        <w:rPr>
          <w:rFonts w:hint="eastAsia" w:asciiTheme="minorEastAsia" w:hAnsiTheme="minorEastAsia" w:eastAsiaTheme="minorEastAsia" w:cstheme="minorEastAsia"/>
          <w:bCs/>
          <w:color w:val="auto"/>
          <w:sz w:val="24"/>
          <w:szCs w:val="24"/>
          <w:highlight w:val="none"/>
        </w:rPr>
        <w:t>.1</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彩色优化技术：提高帧频、提高彩色灵敏度</w:t>
      </w:r>
      <w:r>
        <w:rPr>
          <w:rFonts w:hint="eastAsia" w:asciiTheme="minorEastAsia" w:hAnsiTheme="minorEastAsia" w:eastAsiaTheme="minorEastAsia" w:cstheme="minorEastAsia"/>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（项号75）</w:t>
      </w:r>
      <w:r>
        <w:rPr>
          <w:rFonts w:hint="eastAsia" w:asciiTheme="minorEastAsia" w:hAnsiTheme="minorEastAsia" w:eastAsiaTheme="minorEastAsia" w:cstheme="minorEastAsia"/>
          <w:bCs/>
          <w:color w:val="auto"/>
          <w:sz w:val="24"/>
          <w:szCs w:val="24"/>
          <w:highlight w:val="none"/>
          <w:lang w:val="en-US" w:eastAsia="zh-CN"/>
        </w:rPr>
        <w:t>10</w:t>
      </w:r>
      <w:r>
        <w:rPr>
          <w:rFonts w:hint="eastAsia" w:asciiTheme="minorEastAsia" w:hAnsiTheme="minorEastAsia" w:eastAsiaTheme="minorEastAsia" w:cstheme="minorEastAsia"/>
          <w:bCs/>
          <w:color w:val="auto"/>
          <w:sz w:val="24"/>
          <w:szCs w:val="24"/>
          <w:highlight w:val="none"/>
        </w:rPr>
        <w:t>.2</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 xml:space="preserve">显示方式：速度方差显示、能量显示、速度显示、方差显示 </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（项号76）</w:t>
      </w:r>
      <w:r>
        <w:rPr>
          <w:rFonts w:hint="eastAsia" w:asciiTheme="minorEastAsia" w:hAnsiTheme="minorEastAsia" w:eastAsiaTheme="minorEastAsia" w:cstheme="minorEastAsia"/>
          <w:bCs/>
          <w:color w:val="auto"/>
          <w:sz w:val="24"/>
          <w:szCs w:val="24"/>
          <w:highlight w:val="none"/>
          <w:lang w:val="en-US" w:eastAsia="zh-CN"/>
        </w:rPr>
        <w:t>10</w:t>
      </w:r>
      <w:r>
        <w:rPr>
          <w:rFonts w:hint="eastAsia" w:asciiTheme="minorEastAsia" w:hAnsiTheme="minorEastAsia" w:eastAsiaTheme="minorEastAsia" w:cstheme="minorEastAsia"/>
          <w:bCs/>
          <w:color w:val="auto"/>
          <w:sz w:val="24"/>
          <w:szCs w:val="24"/>
          <w:highlight w:val="none"/>
        </w:rPr>
        <w:t>.3</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显示控制：</w:t>
      </w:r>
      <w:r>
        <w:rPr>
          <w:rFonts w:hint="eastAsia" w:asciiTheme="minorEastAsia" w:hAnsiTheme="minorEastAsia" w:eastAsiaTheme="minorEastAsia" w:cstheme="minorEastAsia"/>
          <w:color w:val="auto"/>
          <w:sz w:val="24"/>
          <w:szCs w:val="24"/>
          <w:highlight w:val="none"/>
        </w:rPr>
        <w:t>零位</w:t>
      </w:r>
      <w:r>
        <w:rPr>
          <w:rFonts w:hint="eastAsia" w:asciiTheme="minorEastAsia" w:hAnsiTheme="minorEastAsia" w:eastAsiaTheme="minorEastAsia" w:cstheme="minorEastAsia"/>
          <w:bCs/>
          <w:color w:val="auto"/>
          <w:sz w:val="24"/>
          <w:szCs w:val="24"/>
          <w:highlight w:val="none"/>
        </w:rPr>
        <w:t>移动、黑/白与彩色比较、彩色对比</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 xml:space="preserve"> </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（项号77）</w:t>
      </w:r>
      <w:r>
        <w:rPr>
          <w:rFonts w:hint="eastAsia" w:asciiTheme="minorEastAsia" w:hAnsiTheme="minorEastAsia" w:eastAsiaTheme="minorEastAsia" w:cstheme="minorEastAsia"/>
          <w:bCs/>
          <w:color w:val="auto"/>
          <w:sz w:val="24"/>
          <w:szCs w:val="24"/>
          <w:highlight w:val="none"/>
          <w:lang w:val="en-US" w:eastAsia="zh-CN"/>
        </w:rPr>
        <w:t>10</w:t>
      </w:r>
      <w:r>
        <w:rPr>
          <w:rFonts w:hint="eastAsia" w:asciiTheme="minorEastAsia" w:hAnsiTheme="minorEastAsia" w:eastAsiaTheme="minorEastAsia" w:cstheme="minorEastAsia"/>
          <w:bCs/>
          <w:color w:val="auto"/>
          <w:sz w:val="24"/>
          <w:szCs w:val="24"/>
          <w:highlight w:val="none"/>
        </w:rPr>
        <w:t>.4</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 xml:space="preserve">显示位置调整：线阵扫描感兴趣的图像范围：-20°～+20 </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（项号78）</w:t>
      </w:r>
      <w:r>
        <w:rPr>
          <w:rFonts w:hint="eastAsia" w:asciiTheme="minorEastAsia" w:hAnsiTheme="minorEastAsia" w:eastAsiaTheme="minorEastAsia" w:cstheme="minorEastAsia"/>
          <w:bCs/>
          <w:color w:val="auto"/>
          <w:sz w:val="24"/>
          <w:szCs w:val="24"/>
          <w:highlight w:val="none"/>
          <w:lang w:val="en-US" w:eastAsia="zh-CN"/>
        </w:rPr>
        <w:t>10</w:t>
      </w:r>
      <w:r>
        <w:rPr>
          <w:rFonts w:hint="eastAsia" w:asciiTheme="minorEastAsia" w:hAnsiTheme="minorEastAsia" w:eastAsiaTheme="minorEastAsia" w:cstheme="minorEastAsia"/>
          <w:bCs/>
          <w:color w:val="auto"/>
          <w:sz w:val="24"/>
          <w:szCs w:val="24"/>
          <w:highlight w:val="none"/>
        </w:rPr>
        <w:t>.5</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彩色标尺显示：基线居中时</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 xml:space="preserve">标尺显示最低血流测量速度≤0.8cm/s </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（项号79）</w:t>
      </w:r>
      <w:r>
        <w:rPr>
          <w:rFonts w:hint="eastAsia" w:asciiTheme="minorEastAsia" w:hAnsiTheme="minorEastAsia" w:eastAsiaTheme="minorEastAsia" w:cstheme="minorEastAsia"/>
          <w:bCs/>
          <w:color w:val="auto"/>
          <w:sz w:val="24"/>
          <w:szCs w:val="24"/>
          <w:highlight w:val="none"/>
          <w:lang w:val="en-US" w:eastAsia="zh-CN"/>
        </w:rPr>
        <w:t>10</w:t>
      </w:r>
      <w:r>
        <w:rPr>
          <w:rFonts w:hint="eastAsia" w:asciiTheme="minorEastAsia" w:hAnsiTheme="minorEastAsia" w:eastAsiaTheme="minorEastAsia" w:cstheme="minorEastAsia"/>
          <w:bCs/>
          <w:color w:val="auto"/>
          <w:sz w:val="24"/>
          <w:szCs w:val="24"/>
          <w:highlight w:val="none"/>
        </w:rPr>
        <w:t>.6</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彩色显示帧频：相控阵探头</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最大角度</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18cm深时</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彩色显示帧频≥11帧/s</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（项号80）</w:t>
      </w:r>
      <w:r>
        <w:rPr>
          <w:rFonts w:hint="eastAsia" w:asciiTheme="minorEastAsia" w:hAnsiTheme="minorEastAsia" w:eastAsiaTheme="minorEastAsia" w:cstheme="minorEastAsia"/>
          <w:bCs/>
          <w:color w:val="auto"/>
          <w:sz w:val="24"/>
          <w:szCs w:val="24"/>
          <w:highlight w:val="none"/>
          <w:lang w:val="en-US" w:eastAsia="zh-CN"/>
        </w:rPr>
        <w:t>10</w:t>
      </w:r>
      <w:r>
        <w:rPr>
          <w:rFonts w:hint="eastAsia" w:asciiTheme="minorEastAsia" w:hAnsiTheme="minorEastAsia" w:eastAsiaTheme="minorEastAsia" w:cstheme="minorEastAsia"/>
          <w:bCs/>
          <w:color w:val="auto"/>
          <w:sz w:val="24"/>
          <w:szCs w:val="24"/>
          <w:highlight w:val="none"/>
        </w:rPr>
        <w:t>.7</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彩色显示帧频：腹部凸阵探头</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最大角度</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18cm深时</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彩色显示帧频≥5帧/s</w:t>
      </w:r>
      <w:r>
        <w:rPr>
          <w:rFonts w:hint="eastAsia" w:asciiTheme="minorEastAsia" w:hAnsiTheme="minorEastAsia" w:eastAsiaTheme="minorEastAsia" w:cstheme="minorEastAsia"/>
          <w:bCs/>
          <w:color w:val="auto"/>
          <w:sz w:val="24"/>
          <w:szCs w:val="24"/>
          <w:highlight w:val="none"/>
          <w:lang w:eastAsia="zh-CN"/>
        </w:rPr>
        <w:t>。</w:t>
      </w:r>
    </w:p>
    <w:p>
      <w:pPr>
        <w:tabs>
          <w:tab w:val="left" w:pos="420"/>
        </w:tabs>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超声图像及病案管理系统：</w:t>
      </w:r>
    </w:p>
    <w:p>
      <w:pPr>
        <w:tabs>
          <w:tab w:val="left" w:pos="420"/>
        </w:tabs>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（项号81）</w:t>
      </w: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.1</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数字化SSD固态硬盘容量≥500GB</w:t>
      </w:r>
    </w:p>
    <w:p>
      <w:pPr>
        <w:tabs>
          <w:tab w:val="left" w:pos="420"/>
        </w:tabs>
        <w:spacing w:line="360" w:lineRule="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（项号82）</w:t>
      </w:r>
      <w:r>
        <w:rPr>
          <w:rFonts w:hint="eastAsia" w:asciiTheme="minorEastAsia" w:hAnsiTheme="minorEastAsia" w:eastAsiaTheme="minorEastAsia" w:cstheme="minorEastAsia"/>
          <w:bCs/>
          <w:color w:val="auto"/>
          <w:sz w:val="24"/>
          <w:szCs w:val="24"/>
          <w:highlight w:val="none"/>
          <w:lang w:val="en-US" w:eastAsia="zh-CN"/>
        </w:rPr>
        <w:t>11.2、</w:t>
      </w:r>
      <w:r>
        <w:rPr>
          <w:rFonts w:hint="eastAsia" w:asciiTheme="minorEastAsia" w:hAnsiTheme="minorEastAsia" w:eastAsiaTheme="minorEastAsia" w:cstheme="minorEastAsia"/>
          <w:bCs/>
          <w:color w:val="auto"/>
          <w:sz w:val="24"/>
          <w:szCs w:val="24"/>
          <w:highlight w:val="none"/>
        </w:rPr>
        <w:t>可永久存储动、静态图像</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屏幕可显示硬盘容量数据信息</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（项号83）</w:t>
      </w: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动态图像、静态图像以PC通用格式直接存储</w:t>
      </w:r>
      <w:r>
        <w:rPr>
          <w:rFonts w:hint="eastAsia" w:asciiTheme="minorEastAsia" w:hAnsiTheme="minorEastAsia" w:eastAsiaTheme="minorEastAsia" w:cstheme="minorEastAsia"/>
          <w:bCs/>
          <w:color w:val="auto"/>
          <w:sz w:val="24"/>
          <w:szCs w:val="24"/>
          <w:highlight w:val="none"/>
          <w:lang w:val="en-US"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（项号84）</w:t>
      </w:r>
      <w:r>
        <w:rPr>
          <w:rFonts w:hint="eastAsia" w:asciiTheme="minorEastAsia" w:hAnsiTheme="minorEastAsia" w:eastAsiaTheme="minorEastAsia" w:cstheme="minorEastAsia"/>
          <w:bCs/>
          <w:color w:val="auto"/>
          <w:sz w:val="24"/>
          <w:szCs w:val="24"/>
          <w:highlight w:val="none"/>
          <w:lang w:val="en-US" w:eastAsia="zh-CN"/>
        </w:rPr>
        <w:t>11.4、</w:t>
      </w:r>
      <w:r>
        <w:rPr>
          <w:rFonts w:hint="eastAsia" w:asciiTheme="minorEastAsia" w:hAnsiTheme="minorEastAsia" w:eastAsiaTheme="minorEastAsia" w:cstheme="minorEastAsia"/>
          <w:bCs/>
          <w:color w:val="auto"/>
          <w:sz w:val="24"/>
          <w:szCs w:val="24"/>
          <w:highlight w:val="none"/>
        </w:rPr>
        <w:t>无需特殊软件即能在普通PC机上直接观看图像</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（项号85）</w:t>
      </w: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具有图像存储与（电影）回放重现单元</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right="97" w:rightChars="46"/>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（项号86）</w:t>
      </w: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6</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可批量、选择性输出图像</w:t>
      </w:r>
      <w:r>
        <w:rPr>
          <w:rFonts w:hint="eastAsia" w:asciiTheme="minorEastAsia" w:hAnsiTheme="minorEastAsia" w:eastAsiaTheme="minorEastAsia" w:cstheme="minorEastAsia"/>
          <w:bCs/>
          <w:color w:val="auto"/>
          <w:sz w:val="24"/>
          <w:szCs w:val="24"/>
          <w:highlight w:val="none"/>
          <w:lang w:eastAsia="zh-CN"/>
        </w:rPr>
        <w:t>。</w:t>
      </w:r>
    </w:p>
    <w:p>
      <w:pPr>
        <w:spacing w:line="360" w:lineRule="auto"/>
        <w:jc w:val="both"/>
        <w:rPr>
          <w:rFonts w:hint="eastAsia" w:ascii="宋体" w:hAnsi="宋体" w:cs="宋体"/>
          <w:b/>
          <w:bCs/>
          <w:color w:val="auto"/>
          <w:kern w:val="0"/>
          <w:sz w:val="24"/>
          <w:szCs w:val="24"/>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采购包</w:t>
      </w:r>
      <w:r>
        <w:rPr>
          <w:rFonts w:hint="eastAsia" w:asciiTheme="minorEastAsia" w:hAnsiTheme="minorEastAsia" w:cstheme="minorEastAsia"/>
          <w:b/>
          <w:color w:val="auto"/>
          <w:sz w:val="32"/>
          <w:szCs w:val="32"/>
          <w:highlight w:val="none"/>
          <w:lang w:val="en-US" w:eastAsia="zh-CN"/>
        </w:rPr>
        <w:t>3</w:t>
      </w:r>
      <w:r>
        <w:rPr>
          <w:rFonts w:hint="eastAsia" w:ascii="宋体" w:hAnsi="宋体" w:eastAsia="宋体" w:cs="宋体"/>
          <w:b/>
          <w:color w:val="auto"/>
          <w:sz w:val="32"/>
          <w:szCs w:val="32"/>
          <w:highlight w:val="none"/>
          <w:lang w:val="en-US" w:eastAsia="zh-CN"/>
        </w:rPr>
        <w:t>◆彩色多普勒超声诊断仪</w:t>
      </w:r>
      <w:r>
        <w:rPr>
          <w:rFonts w:hint="eastAsia" w:asciiTheme="minorEastAsia" w:hAnsiTheme="minorEastAsia" w:eastAsiaTheme="minorEastAsia" w:cstheme="minorEastAsia"/>
          <w:b/>
          <w:color w:val="auto"/>
          <w:sz w:val="32"/>
          <w:szCs w:val="32"/>
          <w:highlight w:val="none"/>
          <w:lang w:val="en-US" w:eastAsia="zh-CN"/>
        </w:rPr>
        <w:t>--技术参数</w:t>
      </w:r>
    </w:p>
    <w:p>
      <w:pPr>
        <w:widowControl/>
        <w:overflowPunct w:val="0"/>
        <w:autoSpaceDE w:val="0"/>
        <w:autoSpaceDN w:val="0"/>
        <w:adjustRightIn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highlight w:val="none"/>
          <w:lang w:val="en-US" w:eastAsia="zh-CN"/>
        </w:rPr>
        <w:t>（项号1）</w:t>
      </w: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、用途：</w:t>
      </w:r>
      <w:r>
        <w:rPr>
          <w:rFonts w:hint="eastAsia" w:ascii="宋体" w:hAnsi="宋体" w:eastAsia="宋体" w:cs="宋体"/>
          <w:color w:val="auto"/>
          <w:sz w:val="24"/>
          <w:szCs w:val="24"/>
          <w:highlight w:val="none"/>
        </w:rPr>
        <w:t>主要用于腹部、妇产、胎儿心脏、成人心脏、经食道心脏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泌尿、新生儿、小儿、血管（外周、颅脑、腹部）、小器官、骨骼肌肉、神经、术中，造影、介入</w:t>
      </w:r>
      <w:r>
        <w:rPr>
          <w:rFonts w:hint="eastAsia" w:ascii="宋体" w:hAnsi="宋体" w:eastAsia="宋体" w:cs="宋体"/>
          <w:color w:val="auto"/>
          <w:sz w:val="24"/>
          <w:szCs w:val="24"/>
          <w:highlight w:val="none"/>
        </w:rPr>
        <w:t>等方面的临床诊断和科研教学工作，具有世界先进水平，具备持续升级能力，能满足开展新的临床应用需求。</w:t>
      </w:r>
      <w:r>
        <w:rPr>
          <w:rFonts w:hint="eastAsia" w:ascii="宋体" w:hAnsi="宋体" w:eastAsia="宋体" w:cs="宋体"/>
          <w:color w:val="auto"/>
          <w:kern w:val="0"/>
          <w:sz w:val="24"/>
          <w:szCs w:val="24"/>
          <w:highlight w:val="none"/>
        </w:rPr>
        <w:t xml:space="preserve">    </w:t>
      </w:r>
    </w:p>
    <w:p>
      <w:pPr>
        <w:widowControl/>
        <w:overflowPunct w:val="0"/>
        <w:autoSpaceDE w:val="0"/>
        <w:autoSpaceDN w:val="0"/>
        <w:adjustRightInd w:val="0"/>
        <w:spacing w:line="360" w:lineRule="auto"/>
        <w:jc w:val="left"/>
        <w:textAlignment w:val="baseline"/>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、主要技术规格及系统概述：</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.1</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主机成像系统：</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w:t>
      </w:r>
      <w:r>
        <w:rPr>
          <w:rFonts w:hint="eastAsia" w:ascii="宋体" w:hAnsi="宋体" w:cs="宋体"/>
          <w:color w:val="auto"/>
          <w:sz w:val="24"/>
          <w:szCs w:val="24"/>
          <w:highlight w:val="none"/>
          <w:lang w:eastAsia="zh-CN"/>
        </w:rPr>
        <w:t>▲</w:t>
      </w:r>
      <w:r>
        <w:rPr>
          <w:rFonts w:hint="eastAsia" w:ascii="宋体" w:hAnsi="宋体" w:cs="宋体"/>
          <w:b/>
          <w:bCs/>
          <w:color w:val="auto"/>
          <w:kern w:val="0"/>
          <w:sz w:val="24"/>
          <w:szCs w:val="24"/>
          <w:highlight w:val="none"/>
          <w:lang w:val="en-US" w:eastAsia="zh-CN"/>
        </w:rPr>
        <w:t>项号2）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高分辨率液晶显示器≥23.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英寸分辨率≥1920×1080,无闪烁，不间断逐行扫描，可上下左右任意旋转，可前后折叠。</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w:t>
      </w:r>
      <w:r>
        <w:rPr>
          <w:rFonts w:hint="eastAsia" w:ascii="宋体" w:hAnsi="宋体" w:cs="宋体"/>
          <w:color w:val="auto"/>
          <w:sz w:val="24"/>
          <w:szCs w:val="24"/>
          <w:highlight w:val="none"/>
          <w:lang w:eastAsia="zh-CN"/>
        </w:rPr>
        <w:t>▲</w:t>
      </w:r>
      <w:r>
        <w:rPr>
          <w:rFonts w:hint="eastAsia" w:ascii="宋体" w:hAnsi="宋体" w:cs="宋体"/>
          <w:b/>
          <w:bCs/>
          <w:color w:val="auto"/>
          <w:kern w:val="0"/>
          <w:sz w:val="24"/>
          <w:szCs w:val="24"/>
          <w:highlight w:val="none"/>
          <w:lang w:val="en-US" w:eastAsia="zh-CN"/>
        </w:rPr>
        <w:t>项号3）</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操作面板具备液晶触摸屏≥12英寸,可通过手指滑动触摸屏进行翻页，直接点击触摸屏即可选择需要调节的参数，操作面板可上下左右进行高度调整及旋转，最大旋转角度达720度。</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（项号4）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.1.3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全新集束精准发射技术</w:t>
      </w:r>
      <w:r>
        <w:rPr>
          <w:rFonts w:hint="eastAsia" w:ascii="宋体" w:hAnsi="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（项号5）</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脉冲优化处理技术</w:t>
      </w:r>
      <w:r>
        <w:rPr>
          <w:rFonts w:hint="eastAsia" w:ascii="宋体" w:hAnsi="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（项号6）</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海量并行处理技术</w:t>
      </w:r>
      <w:r>
        <w:rPr>
          <w:rFonts w:hint="eastAsia" w:ascii="宋体" w:hAnsi="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（项号7）</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自适应增益补偿技术</w:t>
      </w:r>
      <w:r>
        <w:rPr>
          <w:rFonts w:hint="eastAsia" w:ascii="宋体" w:hAnsi="宋体" w:cs="宋体"/>
          <w:color w:val="auto"/>
          <w:sz w:val="24"/>
          <w:szCs w:val="24"/>
          <w:highlight w:val="none"/>
          <w:lang w:eastAsia="zh-CN"/>
        </w:rPr>
        <w:t>。</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（项号8）</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.1.7</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数字化二维灰阶成像及M型显像单元</w:t>
      </w:r>
      <w:r>
        <w:rPr>
          <w:rFonts w:hint="eastAsia" w:ascii="宋体" w:hAnsi="宋体" w:cs="宋体"/>
          <w:color w:val="auto"/>
          <w:sz w:val="24"/>
          <w:szCs w:val="24"/>
          <w:highlight w:val="none"/>
          <w:lang w:eastAsia="zh-CN"/>
        </w:rPr>
        <w:t>。</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（项号9）</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.1.8</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解剖M型技术,可360度任意旋转M型取样线角度方便准确的进行测量,</w:t>
      </w:r>
      <w:bookmarkStart w:id="2" w:name="_Hlk72913048"/>
      <w:r>
        <w:rPr>
          <w:rFonts w:hint="eastAsia" w:ascii="宋体" w:hAnsi="宋体" w:eastAsia="宋体" w:cs="宋体"/>
          <w:color w:val="auto"/>
          <w:sz w:val="24"/>
          <w:szCs w:val="24"/>
          <w:highlight w:val="none"/>
        </w:rPr>
        <w:t>支持所有探头</w:t>
      </w:r>
      <w:r>
        <w:rPr>
          <w:rFonts w:hint="eastAsia" w:ascii="宋体" w:hAnsi="宋体" w:cs="宋体"/>
          <w:color w:val="auto"/>
          <w:sz w:val="24"/>
          <w:szCs w:val="24"/>
          <w:highlight w:val="none"/>
          <w:lang w:eastAsia="zh-CN"/>
        </w:rPr>
        <w:t>。</w:t>
      </w:r>
    </w:p>
    <w:bookmarkEnd w:id="2"/>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（项号10）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.1.9</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脉冲反向谐波成像单元；</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（项号11）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.1.10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彩色多普勒成像技术；</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（项号12）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.1.11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彩色多普勒能量图技术；</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（项号13）</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.1.12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方向性能量图技术</w:t>
      </w:r>
      <w:r>
        <w:rPr>
          <w:rFonts w:hint="eastAsia" w:ascii="宋体" w:hAnsi="宋体" w:cs="宋体"/>
          <w:color w:val="auto"/>
          <w:sz w:val="24"/>
          <w:szCs w:val="24"/>
          <w:highlight w:val="none"/>
          <w:lang w:eastAsia="zh-CN"/>
        </w:rPr>
        <w:t>。</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（项号14）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.1.13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数字化频谱多普勒显示和分析单元 (包括 PW 、CW和 HPRF)；</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（项号15）</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.1.14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动态范围≥320dB</w:t>
      </w:r>
      <w:r>
        <w:rPr>
          <w:rFonts w:hint="eastAsia" w:ascii="宋体" w:hAnsi="宋体" w:cs="宋体"/>
          <w:color w:val="auto"/>
          <w:sz w:val="24"/>
          <w:szCs w:val="24"/>
          <w:highlight w:val="none"/>
          <w:lang w:eastAsia="zh-CN"/>
        </w:rPr>
        <w:t>。</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lang w:val="en-US" w:eastAsia="zh-CN"/>
        </w:rPr>
      </w:pPr>
      <w:r>
        <w:rPr>
          <w:rFonts w:hint="eastAsia" w:ascii="宋体" w:hAnsi="宋体" w:cs="宋体"/>
          <w:b/>
          <w:bCs/>
          <w:color w:val="auto"/>
          <w:kern w:val="0"/>
          <w:sz w:val="24"/>
          <w:szCs w:val="24"/>
          <w:highlight w:val="none"/>
          <w:lang w:val="en-US" w:eastAsia="zh-CN"/>
        </w:rPr>
        <w:t>（项号16）</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.1.15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数字化通道≥7,0</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000</w:t>
      </w:r>
      <w:r>
        <w:rPr>
          <w:rFonts w:hint="eastAsia" w:ascii="宋体" w:hAnsi="宋体" w:cs="宋体"/>
          <w:color w:val="auto"/>
          <w:sz w:val="24"/>
          <w:szCs w:val="24"/>
          <w:highlight w:val="none"/>
          <w:lang w:val="en-US" w:eastAsia="zh-CN"/>
        </w:rPr>
        <w:t>。</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（项号17）</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.1.16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智能全程聚焦技术；</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（项号18）</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.1.17</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智能化一键图像优化技术；可自适应调整图像的增益等参数获取最佳图像</w:t>
      </w:r>
      <w:r>
        <w:rPr>
          <w:rFonts w:hint="eastAsia" w:ascii="宋体" w:hAnsi="宋体" w:cs="宋体"/>
          <w:color w:val="auto"/>
          <w:sz w:val="24"/>
          <w:szCs w:val="24"/>
          <w:highlight w:val="none"/>
          <w:lang w:eastAsia="zh-CN"/>
        </w:rPr>
        <w:t>。</w:t>
      </w:r>
    </w:p>
    <w:p>
      <w:pPr>
        <w:widowControl/>
        <w:spacing w:line="360" w:lineRule="auto"/>
        <w:rPr>
          <w:rFonts w:hint="eastAsia" w:ascii="宋体" w:hAnsi="宋体" w:eastAsia="宋体" w:cs="宋体"/>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（项号19）</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.1.18</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rPr>
        <w:t>空间复合成像技术，同时作用于发射和接收（作曲别针试验），支持所有凸阵、微凸阵和线阵成像探头</w:t>
      </w:r>
      <w:r>
        <w:rPr>
          <w:rFonts w:hint="eastAsia" w:ascii="宋体" w:hAnsi="宋体" w:cs="宋体"/>
          <w:color w:val="auto"/>
          <w:kern w:val="0"/>
          <w:sz w:val="24"/>
          <w:szCs w:val="24"/>
          <w:highlight w:val="none"/>
          <w:lang w:eastAsia="zh-CN"/>
        </w:rPr>
        <w:t>。</w:t>
      </w:r>
    </w:p>
    <w:p>
      <w:pPr>
        <w:widowControl/>
        <w:spacing w:line="360" w:lineRule="auto"/>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highlight w:val="none"/>
          <w:lang w:val="en-US" w:eastAsia="zh-CN"/>
        </w:rPr>
        <w:t>（项号20）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.1.19</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rPr>
        <w:t>自适应核磁像素优化技术，改善边界显示，提高分辨率，减少伪像，支持所有成像探头，可分级调节≥5级。</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（项号21）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.1.20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内置 DICOM 3.0 标准输出接口；</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（项号22）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.1.21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内有一体化超声工作站；</w:t>
      </w:r>
    </w:p>
    <w:p>
      <w:pPr>
        <w:widowControl/>
        <w:overflowPunct w:val="0"/>
        <w:autoSpaceDE w:val="0"/>
        <w:autoSpaceDN w:val="0"/>
        <w:adjustRightInd w:val="0"/>
        <w:spacing w:line="360" w:lineRule="auto"/>
        <w:ind w:right="-180"/>
        <w:textAlignment w:val="baseline"/>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.2</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先进成像技术：</w:t>
      </w:r>
    </w:p>
    <w:p>
      <w:pPr>
        <w:widowControl/>
        <w:spacing w:line="360" w:lineRule="auto"/>
        <w:rPr>
          <w:rFonts w:hint="eastAsia" w:ascii="宋体" w:hAnsi="宋体" w:eastAsia="宋体" w:cs="宋体"/>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w:t>
      </w:r>
      <w:r>
        <w:rPr>
          <w:rFonts w:hint="eastAsia" w:ascii="宋体" w:hAnsi="宋体" w:cs="宋体"/>
          <w:color w:val="auto"/>
          <w:sz w:val="24"/>
          <w:szCs w:val="24"/>
          <w:highlight w:val="none"/>
          <w:lang w:eastAsia="zh-CN"/>
        </w:rPr>
        <w:t>▲</w:t>
      </w:r>
      <w:r>
        <w:rPr>
          <w:rFonts w:hint="eastAsia" w:ascii="宋体" w:hAnsi="宋体" w:cs="宋体"/>
          <w:b/>
          <w:bCs/>
          <w:color w:val="auto"/>
          <w:kern w:val="0"/>
          <w:sz w:val="24"/>
          <w:szCs w:val="24"/>
          <w:highlight w:val="none"/>
          <w:lang w:val="en-US" w:eastAsia="zh-CN"/>
        </w:rPr>
        <w:t>项号23）</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具备全屏高清放大功能，放大后图像显示区域尺寸≥23.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”，显示比例≥16：9，分辨率≥1080p（1920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1080）</w:t>
      </w:r>
      <w:r>
        <w:rPr>
          <w:rFonts w:hint="eastAsia" w:ascii="宋体" w:hAnsi="宋体" w:cs="宋体"/>
          <w:color w:val="auto"/>
          <w:sz w:val="24"/>
          <w:szCs w:val="24"/>
          <w:highlight w:val="none"/>
          <w:lang w:eastAsia="zh-CN"/>
        </w:rPr>
        <w:t>。</w:t>
      </w:r>
    </w:p>
    <w:p>
      <w:pPr>
        <w:pStyle w:val="10"/>
        <w:spacing w:line="360" w:lineRule="auto"/>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（项号24）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超声声速自动校正技术</w:t>
      </w:r>
    </w:p>
    <w:p>
      <w:pPr>
        <w:numPr>
          <w:ilvl w:val="0"/>
          <w:numId w:val="0"/>
        </w:numPr>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val="en-US" w:eastAsia="zh-CN"/>
        </w:rPr>
        <w:t>2.2.2.1</w:t>
      </w:r>
      <w:r>
        <w:rPr>
          <w:rFonts w:hint="eastAsia" w:ascii="宋体" w:hAnsi="宋体" w:eastAsia="宋体" w:cs="宋体"/>
          <w:color w:val="auto"/>
          <w:kern w:val="0"/>
          <w:sz w:val="24"/>
          <w:szCs w:val="24"/>
          <w:highlight w:val="none"/>
        </w:rPr>
        <w:t>针对肥胖及困难病人</w:t>
      </w:r>
      <w:r>
        <w:rPr>
          <w:rFonts w:hint="eastAsia" w:ascii="宋体" w:hAnsi="宋体" w:cs="宋体"/>
          <w:color w:val="auto"/>
          <w:kern w:val="0"/>
          <w:sz w:val="24"/>
          <w:szCs w:val="24"/>
          <w:highlight w:val="none"/>
          <w:lang w:eastAsia="zh-CN"/>
        </w:rPr>
        <w:t>；</w:t>
      </w:r>
    </w:p>
    <w:p>
      <w:pPr>
        <w:numPr>
          <w:ilvl w:val="0"/>
          <w:numId w:val="0"/>
        </w:numPr>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val="en-US" w:eastAsia="zh-CN"/>
        </w:rPr>
        <w:t>2.2.2.2</w:t>
      </w:r>
      <w:r>
        <w:rPr>
          <w:rFonts w:hint="eastAsia" w:ascii="宋体" w:hAnsi="宋体" w:eastAsia="宋体" w:cs="宋体"/>
          <w:color w:val="auto"/>
          <w:kern w:val="0"/>
          <w:sz w:val="24"/>
          <w:szCs w:val="24"/>
          <w:highlight w:val="none"/>
        </w:rPr>
        <w:t>可用于乳腺检查，并可调整级别</w:t>
      </w:r>
      <w:r>
        <w:rPr>
          <w:rFonts w:hint="eastAsia" w:ascii="宋体" w:hAnsi="宋体" w:cs="宋体"/>
          <w:color w:val="auto"/>
          <w:kern w:val="0"/>
          <w:sz w:val="24"/>
          <w:szCs w:val="24"/>
          <w:highlight w:val="none"/>
          <w:lang w:eastAsia="zh-CN"/>
        </w:rPr>
        <w:t>；</w:t>
      </w:r>
    </w:p>
    <w:p>
      <w:pPr>
        <w:numPr>
          <w:ilvl w:val="0"/>
          <w:numId w:val="0"/>
        </w:num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2.2.2.3</w:t>
      </w:r>
      <w:r>
        <w:rPr>
          <w:rFonts w:hint="eastAsia" w:ascii="宋体" w:hAnsi="宋体" w:eastAsia="宋体" w:cs="宋体"/>
          <w:color w:val="auto"/>
          <w:kern w:val="0"/>
          <w:sz w:val="24"/>
          <w:szCs w:val="24"/>
          <w:highlight w:val="none"/>
        </w:rPr>
        <w:t>专门的预置条件</w:t>
      </w:r>
      <w:r>
        <w:rPr>
          <w:rFonts w:hint="eastAsia" w:ascii="宋体" w:hAnsi="宋体" w:cs="宋体"/>
          <w:color w:val="auto"/>
          <w:kern w:val="0"/>
          <w:sz w:val="24"/>
          <w:szCs w:val="24"/>
          <w:highlight w:val="none"/>
          <w:lang w:val="en-US" w:eastAsia="zh-CN"/>
        </w:rPr>
        <w:t>。</w:t>
      </w:r>
    </w:p>
    <w:p>
      <w:pPr>
        <w:spacing w:line="360" w:lineRule="auto"/>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（项号25）</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组织多普勒技术(TDI/或DTI)，具有彩色，谐波，PW， M型多种模式，并有在机应变及应变率定量分析工具。</w:t>
      </w:r>
    </w:p>
    <w:p>
      <w:pPr>
        <w:spacing w:line="360" w:lineRule="auto"/>
        <w:rPr>
          <w:rFonts w:hint="eastAsia" w:ascii="宋体" w:hAnsi="宋体" w:eastAsia="宋体" w:cs="宋体"/>
          <w:bCs/>
          <w:color w:val="auto"/>
          <w:sz w:val="24"/>
          <w:szCs w:val="24"/>
          <w:highlight w:val="none"/>
        </w:rPr>
      </w:pPr>
      <w:r>
        <w:rPr>
          <w:rFonts w:hint="eastAsia" w:ascii="宋体" w:hAnsi="宋体" w:cs="宋体"/>
          <w:b/>
          <w:bCs/>
          <w:color w:val="auto"/>
          <w:kern w:val="0"/>
          <w:sz w:val="24"/>
          <w:szCs w:val="24"/>
          <w:highlight w:val="none"/>
          <w:lang w:val="en-US" w:eastAsia="zh-CN"/>
        </w:rPr>
        <w:t>（项号26）</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4</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多影像实时对比联合诊断技术：主机可直接获取和浏览CT/NM/MR，乳房X线/超声的DICOM图像，同屏对比既往和目前的超声图像，回顾实时的、存储的、输出的图像进行对比诊断。</w:t>
      </w:r>
    </w:p>
    <w:p>
      <w:pPr>
        <w:widowControl/>
        <w:overflowPunct w:val="0"/>
        <w:autoSpaceDE w:val="0"/>
        <w:autoSpaceDN w:val="0"/>
        <w:adjustRightInd w:val="0"/>
        <w:spacing w:line="360" w:lineRule="auto"/>
        <w:jc w:val="left"/>
        <w:textAlignment w:val="baseline"/>
        <w:rPr>
          <w:rFonts w:hint="eastAsia" w:ascii="宋体" w:hAnsi="宋体" w:eastAsia="宋体" w:cs="宋体"/>
          <w:bCs/>
          <w:color w:val="auto"/>
          <w:sz w:val="24"/>
          <w:szCs w:val="24"/>
          <w:highlight w:val="none"/>
        </w:rPr>
      </w:pPr>
      <w:r>
        <w:rPr>
          <w:rFonts w:hint="eastAsia" w:ascii="宋体" w:hAnsi="宋体" w:cs="宋体"/>
          <w:b/>
          <w:bCs/>
          <w:color w:val="auto"/>
          <w:kern w:val="0"/>
          <w:sz w:val="24"/>
          <w:szCs w:val="24"/>
          <w:highlight w:val="none"/>
          <w:lang w:val="en-US" w:eastAsia="zh-CN"/>
        </w:rPr>
        <w:t>（</w:t>
      </w:r>
      <w:r>
        <w:rPr>
          <w:rFonts w:hint="eastAsia" w:ascii="宋体" w:hAnsi="宋体" w:cs="宋体"/>
          <w:color w:val="auto"/>
          <w:sz w:val="24"/>
          <w:szCs w:val="24"/>
          <w:highlight w:val="none"/>
          <w:lang w:eastAsia="zh-CN"/>
        </w:rPr>
        <w:t>▲</w:t>
      </w:r>
      <w:r>
        <w:rPr>
          <w:rFonts w:hint="eastAsia" w:ascii="宋体" w:hAnsi="宋体" w:cs="宋体"/>
          <w:b/>
          <w:bCs/>
          <w:color w:val="auto"/>
          <w:kern w:val="0"/>
          <w:sz w:val="24"/>
          <w:szCs w:val="24"/>
          <w:highlight w:val="none"/>
          <w:lang w:val="en-US" w:eastAsia="zh-CN"/>
        </w:rPr>
        <w:t>项号27）</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术者模式，可实时双屏显示，主屏幕与触摸屏实时同步显示扫描图像。</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造影成像技术</w:t>
      </w:r>
      <w:r>
        <w:rPr>
          <w:rFonts w:hint="eastAsia" w:ascii="宋体" w:hAnsi="宋体" w:cs="宋体"/>
          <w:color w:val="auto"/>
          <w:sz w:val="24"/>
          <w:szCs w:val="24"/>
          <w:highlight w:val="none"/>
          <w:lang w:eastAsia="zh-CN"/>
        </w:rPr>
        <w:t>：</w:t>
      </w:r>
    </w:p>
    <w:p>
      <w:pPr>
        <w:widowControl/>
        <w:numPr>
          <w:ilvl w:val="0"/>
          <w:numId w:val="0"/>
        </w:numPr>
        <w:overflowPunct w:val="0"/>
        <w:autoSpaceDE w:val="0"/>
        <w:autoSpaceDN w:val="0"/>
        <w:adjustRightInd w:val="0"/>
        <w:spacing w:line="360" w:lineRule="auto"/>
        <w:ind w:right="-180" w:rightChars="0"/>
        <w:textAlignment w:val="baseline"/>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（项号28）</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6.1 </w:t>
      </w:r>
      <w:r>
        <w:rPr>
          <w:rFonts w:hint="eastAsia" w:ascii="宋体" w:hAnsi="宋体" w:eastAsia="宋体" w:cs="宋体"/>
          <w:color w:val="auto"/>
          <w:sz w:val="24"/>
          <w:szCs w:val="24"/>
          <w:highlight w:val="none"/>
        </w:rPr>
        <w:t>高帧频造影模式：凸阵造影帧频≥50帧/秒；线阵造影帧频≥90帧/秒。</w:t>
      </w:r>
    </w:p>
    <w:p>
      <w:pPr>
        <w:widowControl/>
        <w:numPr>
          <w:ilvl w:val="0"/>
          <w:numId w:val="0"/>
        </w:numPr>
        <w:overflowPunct w:val="0"/>
        <w:autoSpaceDE w:val="0"/>
        <w:autoSpaceDN w:val="0"/>
        <w:adjustRightInd w:val="0"/>
        <w:spacing w:line="360" w:lineRule="auto"/>
        <w:ind w:right="-180" w:rightChars="0"/>
        <w:textAlignment w:val="baseline"/>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（项号29）</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6.2 </w:t>
      </w:r>
      <w:r>
        <w:rPr>
          <w:rFonts w:hint="eastAsia" w:ascii="宋体" w:hAnsi="宋体" w:eastAsia="宋体" w:cs="宋体"/>
          <w:color w:val="auto"/>
          <w:sz w:val="24"/>
          <w:szCs w:val="24"/>
          <w:highlight w:val="none"/>
        </w:rPr>
        <w:t>造影剂二次谐波成像单元,包含低MI实时灌注成像、中MI造影成像和高MI造影成像，采用脉冲反相谐波技术、能量调制技术以及多脉冲序列谐波造影技术。</w:t>
      </w:r>
    </w:p>
    <w:p>
      <w:pPr>
        <w:widowControl/>
        <w:numPr>
          <w:ilvl w:val="0"/>
          <w:numId w:val="0"/>
        </w:numPr>
        <w:overflowPunct w:val="0"/>
        <w:autoSpaceDE w:val="0"/>
        <w:autoSpaceDN w:val="0"/>
        <w:adjustRightInd w:val="0"/>
        <w:spacing w:line="360" w:lineRule="auto"/>
        <w:ind w:right="-180" w:rightChars="0"/>
        <w:textAlignment w:val="baseline"/>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（项号30）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6.3 </w:t>
      </w:r>
      <w:r>
        <w:rPr>
          <w:rFonts w:hint="eastAsia" w:ascii="宋体" w:hAnsi="宋体" w:eastAsia="宋体" w:cs="宋体"/>
          <w:color w:val="auto"/>
          <w:sz w:val="24"/>
          <w:szCs w:val="24"/>
          <w:highlight w:val="none"/>
        </w:rPr>
        <w:t>可与复合成像技术、核磁像素优化技术结合使用</w:t>
      </w:r>
      <w:r>
        <w:rPr>
          <w:rFonts w:hint="eastAsia" w:ascii="宋体" w:hAnsi="宋体" w:cs="宋体"/>
          <w:color w:val="auto"/>
          <w:sz w:val="24"/>
          <w:szCs w:val="24"/>
          <w:highlight w:val="none"/>
          <w:lang w:eastAsia="zh-CN"/>
        </w:rPr>
        <w:t>。</w:t>
      </w:r>
    </w:p>
    <w:p>
      <w:pPr>
        <w:widowControl/>
        <w:numPr>
          <w:ilvl w:val="0"/>
          <w:numId w:val="0"/>
        </w:numPr>
        <w:overflowPunct w:val="0"/>
        <w:autoSpaceDE w:val="0"/>
        <w:autoSpaceDN w:val="0"/>
        <w:adjustRightInd w:val="0"/>
        <w:spacing w:line="360" w:lineRule="auto"/>
        <w:ind w:right="-180" w:rightChars="0"/>
        <w:textAlignment w:val="baseline"/>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w:t>
      </w:r>
      <w:r>
        <w:rPr>
          <w:rFonts w:hint="eastAsia" w:ascii="宋体" w:hAnsi="宋体" w:cs="宋体"/>
          <w:color w:val="auto"/>
          <w:sz w:val="24"/>
          <w:szCs w:val="24"/>
          <w:highlight w:val="none"/>
          <w:lang w:val="en-US" w:eastAsia="zh-CN"/>
        </w:rPr>
        <w:t>★</w:t>
      </w:r>
      <w:r>
        <w:rPr>
          <w:rFonts w:hint="eastAsia" w:ascii="宋体" w:hAnsi="宋体" w:cs="宋体"/>
          <w:b/>
          <w:bCs/>
          <w:color w:val="auto"/>
          <w:kern w:val="0"/>
          <w:sz w:val="24"/>
          <w:szCs w:val="24"/>
          <w:highlight w:val="none"/>
          <w:lang w:val="en-US" w:eastAsia="zh-CN"/>
        </w:rPr>
        <w:t>项号31）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6.4 </w:t>
      </w:r>
      <w:r>
        <w:rPr>
          <w:rFonts w:hint="eastAsia" w:ascii="宋体" w:hAnsi="宋体" w:eastAsia="宋体" w:cs="宋体"/>
          <w:color w:val="auto"/>
          <w:sz w:val="24"/>
          <w:szCs w:val="24"/>
          <w:highlight w:val="none"/>
        </w:rPr>
        <w:t>具有实时双幅造影对比成像模式，并可进行双幅实时同步测量</w:t>
      </w:r>
      <w:r>
        <w:rPr>
          <w:rFonts w:hint="eastAsia" w:ascii="宋体" w:hAnsi="宋体" w:cs="宋体"/>
          <w:color w:val="auto"/>
          <w:sz w:val="24"/>
          <w:szCs w:val="24"/>
          <w:highlight w:val="none"/>
          <w:lang w:eastAsia="zh-CN"/>
        </w:rPr>
        <w:t>。</w:t>
      </w:r>
    </w:p>
    <w:p>
      <w:pPr>
        <w:widowControl/>
        <w:numPr>
          <w:ilvl w:val="0"/>
          <w:numId w:val="0"/>
        </w:numPr>
        <w:overflowPunct w:val="0"/>
        <w:autoSpaceDE w:val="0"/>
        <w:autoSpaceDN w:val="0"/>
        <w:adjustRightInd w:val="0"/>
        <w:spacing w:line="360" w:lineRule="auto"/>
        <w:ind w:right="-180" w:rightChars="0"/>
        <w:textAlignment w:val="baseline"/>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（项号32）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6.5 </w:t>
      </w:r>
      <w:r>
        <w:rPr>
          <w:rFonts w:hint="eastAsia" w:ascii="宋体" w:hAnsi="宋体" w:eastAsia="宋体" w:cs="宋体"/>
          <w:color w:val="auto"/>
          <w:sz w:val="24"/>
          <w:szCs w:val="24"/>
          <w:highlight w:val="none"/>
        </w:rPr>
        <w:t>具有相交互两个平面同屏同时相实时显示造影成像技术</w:t>
      </w:r>
      <w:r>
        <w:rPr>
          <w:rFonts w:hint="eastAsia" w:ascii="宋体" w:hAnsi="宋体" w:cs="宋体"/>
          <w:color w:val="auto"/>
          <w:sz w:val="24"/>
          <w:szCs w:val="24"/>
          <w:highlight w:val="none"/>
          <w:lang w:eastAsia="zh-CN"/>
        </w:rPr>
        <w:t>。</w:t>
      </w:r>
    </w:p>
    <w:p>
      <w:pPr>
        <w:widowControl/>
        <w:numPr>
          <w:ilvl w:val="0"/>
          <w:numId w:val="0"/>
        </w:numPr>
        <w:overflowPunct w:val="0"/>
        <w:autoSpaceDE w:val="0"/>
        <w:autoSpaceDN w:val="0"/>
        <w:adjustRightInd w:val="0"/>
        <w:spacing w:line="360" w:lineRule="auto"/>
        <w:ind w:right="-180" w:rightChars="0"/>
        <w:textAlignment w:val="baseline"/>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（项号33）</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6.6</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具有二维及三维造影技术</w:t>
      </w:r>
      <w:r>
        <w:rPr>
          <w:rFonts w:hint="eastAsia" w:ascii="宋体" w:hAnsi="宋体" w:cs="宋体"/>
          <w:color w:val="auto"/>
          <w:sz w:val="24"/>
          <w:szCs w:val="24"/>
          <w:highlight w:val="none"/>
          <w:lang w:eastAsia="zh-CN"/>
        </w:rPr>
        <w:t>。</w:t>
      </w:r>
    </w:p>
    <w:p>
      <w:pPr>
        <w:widowControl/>
        <w:numPr>
          <w:ilvl w:val="0"/>
          <w:numId w:val="0"/>
        </w:numPr>
        <w:overflowPunct w:val="0"/>
        <w:autoSpaceDE w:val="0"/>
        <w:autoSpaceDN w:val="0"/>
        <w:adjustRightInd w:val="0"/>
        <w:spacing w:line="360" w:lineRule="auto"/>
        <w:ind w:right="-180" w:rightChars="0"/>
        <w:textAlignment w:val="baseline"/>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（项号34）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6.7 </w:t>
      </w:r>
      <w:r>
        <w:rPr>
          <w:rFonts w:hint="eastAsia" w:ascii="宋体" w:hAnsi="宋体" w:eastAsia="宋体" w:cs="宋体"/>
          <w:color w:val="auto"/>
          <w:sz w:val="24"/>
          <w:szCs w:val="24"/>
          <w:highlight w:val="none"/>
        </w:rPr>
        <w:t>造影技术支持凸阵，线阵，腔内探头，微凸探头，可满足临床对腹部、妇产、浅表、乳腺、血管、腔内的前列腺、经阴道妇科以及三维成像等需求</w:t>
      </w:r>
      <w:r>
        <w:rPr>
          <w:rFonts w:hint="eastAsia" w:ascii="宋体" w:hAnsi="宋体" w:cs="宋体"/>
          <w:color w:val="auto"/>
          <w:sz w:val="24"/>
          <w:szCs w:val="24"/>
          <w:highlight w:val="none"/>
          <w:lang w:eastAsia="zh-CN"/>
        </w:rPr>
        <w:t>。</w:t>
      </w:r>
    </w:p>
    <w:p>
      <w:pPr>
        <w:widowControl/>
        <w:numPr>
          <w:ilvl w:val="0"/>
          <w:numId w:val="0"/>
        </w:numPr>
        <w:overflowPunct w:val="0"/>
        <w:autoSpaceDE w:val="0"/>
        <w:autoSpaceDN w:val="0"/>
        <w:adjustRightInd w:val="0"/>
        <w:spacing w:line="360" w:lineRule="auto"/>
        <w:ind w:right="-180" w:rightChars="0"/>
        <w:textAlignment w:val="baseline"/>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（项号35）</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6.8 </w:t>
      </w:r>
      <w:r>
        <w:rPr>
          <w:rFonts w:hint="eastAsia" w:ascii="宋体" w:hAnsi="宋体" w:eastAsia="宋体" w:cs="宋体"/>
          <w:color w:val="auto"/>
          <w:sz w:val="24"/>
          <w:szCs w:val="24"/>
          <w:highlight w:val="none"/>
        </w:rPr>
        <w:t>具有造影计时器以及闪烁造影成像技术</w:t>
      </w:r>
      <w:r>
        <w:rPr>
          <w:rFonts w:hint="eastAsia" w:ascii="宋体" w:hAnsi="宋体" w:cs="宋体"/>
          <w:color w:val="auto"/>
          <w:sz w:val="24"/>
          <w:szCs w:val="24"/>
          <w:highlight w:val="none"/>
          <w:lang w:eastAsia="zh-CN"/>
        </w:rPr>
        <w:t>。</w:t>
      </w:r>
    </w:p>
    <w:p>
      <w:pPr>
        <w:widowControl/>
        <w:numPr>
          <w:ilvl w:val="0"/>
          <w:numId w:val="0"/>
        </w:numPr>
        <w:overflowPunct w:val="0"/>
        <w:autoSpaceDE w:val="0"/>
        <w:autoSpaceDN w:val="0"/>
        <w:adjustRightInd w:val="0"/>
        <w:spacing w:line="360" w:lineRule="auto"/>
        <w:ind w:right="-180" w:rightChars="0"/>
        <w:textAlignment w:val="baseline"/>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（项号36）</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6.9 </w:t>
      </w:r>
      <w:r>
        <w:rPr>
          <w:rFonts w:hint="eastAsia" w:ascii="宋体" w:hAnsi="宋体" w:eastAsia="宋体" w:cs="宋体"/>
          <w:color w:val="auto"/>
          <w:sz w:val="24"/>
          <w:szCs w:val="24"/>
          <w:highlight w:val="none"/>
        </w:rPr>
        <w:t>实时微血管造影成像技术（以双幅形式同时显示实时造影和造影复合处理模式）可清晰显示组织内微小血管的灌注及走行，可早期评价病变的恶变倾向及放化疗效果</w:t>
      </w:r>
      <w:r>
        <w:rPr>
          <w:rFonts w:hint="eastAsia" w:ascii="宋体" w:hAnsi="宋体" w:cs="宋体"/>
          <w:color w:val="auto"/>
          <w:sz w:val="24"/>
          <w:szCs w:val="24"/>
          <w:highlight w:val="none"/>
          <w:lang w:eastAsia="zh-CN"/>
        </w:rPr>
        <w:t>。</w:t>
      </w:r>
    </w:p>
    <w:p>
      <w:pPr>
        <w:widowControl/>
        <w:numPr>
          <w:ilvl w:val="0"/>
          <w:numId w:val="0"/>
        </w:numPr>
        <w:overflowPunct w:val="0"/>
        <w:autoSpaceDE w:val="0"/>
        <w:autoSpaceDN w:val="0"/>
        <w:adjustRightInd w:val="0"/>
        <w:spacing w:line="360" w:lineRule="auto"/>
        <w:ind w:right="-180" w:rightChars="0"/>
        <w:textAlignment w:val="baseline"/>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（项号37）</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6.10 </w:t>
      </w:r>
      <w:r>
        <w:rPr>
          <w:rFonts w:hint="eastAsia" w:ascii="宋体" w:hAnsi="宋体" w:eastAsia="宋体" w:cs="宋体"/>
          <w:color w:val="auto"/>
          <w:sz w:val="24"/>
          <w:szCs w:val="24"/>
          <w:highlight w:val="none"/>
        </w:rPr>
        <w:t>组织抑制技术功能，可以抑制非灌注区域的显像，增强微泡的对比显示，可开关，可分级，可视可调</w:t>
      </w:r>
      <w:r>
        <w:rPr>
          <w:rFonts w:hint="eastAsia" w:ascii="宋体" w:hAnsi="宋体" w:cs="宋体"/>
          <w:color w:val="auto"/>
          <w:sz w:val="24"/>
          <w:szCs w:val="24"/>
          <w:highlight w:val="none"/>
          <w:lang w:eastAsia="zh-CN"/>
        </w:rPr>
        <w:t>。</w:t>
      </w:r>
    </w:p>
    <w:p>
      <w:pPr>
        <w:widowControl/>
        <w:numPr>
          <w:ilvl w:val="0"/>
          <w:numId w:val="0"/>
        </w:numPr>
        <w:overflowPunct w:val="0"/>
        <w:autoSpaceDE w:val="0"/>
        <w:autoSpaceDN w:val="0"/>
        <w:adjustRightInd w:val="0"/>
        <w:spacing w:line="360" w:lineRule="auto"/>
        <w:ind w:right="-180" w:rightChars="0"/>
        <w:textAlignment w:val="baseline"/>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（项号38）</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6.11 </w:t>
      </w:r>
      <w:r>
        <w:rPr>
          <w:rFonts w:hint="eastAsia" w:ascii="宋体" w:hAnsi="宋体" w:eastAsia="宋体" w:cs="宋体"/>
          <w:color w:val="auto"/>
          <w:sz w:val="24"/>
          <w:szCs w:val="24"/>
          <w:highlight w:val="none"/>
        </w:rPr>
        <w:t>在机及离机造影时间强度曲线定量分析</w:t>
      </w:r>
      <w:r>
        <w:rPr>
          <w:rFonts w:hint="eastAsia" w:ascii="宋体" w:hAnsi="宋体" w:cs="宋体"/>
          <w:color w:val="auto"/>
          <w:sz w:val="24"/>
          <w:szCs w:val="24"/>
          <w:highlight w:val="none"/>
          <w:lang w:eastAsia="zh-CN"/>
        </w:rPr>
        <w:t>。</w:t>
      </w:r>
    </w:p>
    <w:p>
      <w:pPr>
        <w:pStyle w:val="10"/>
        <w:numPr>
          <w:ilvl w:val="0"/>
          <w:numId w:val="0"/>
        </w:numPr>
        <w:spacing w:line="360" w:lineRule="auto"/>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（项号39）</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6.12 </w:t>
      </w:r>
      <w:r>
        <w:rPr>
          <w:rFonts w:hint="eastAsia" w:ascii="宋体" w:hAnsi="宋体" w:eastAsia="宋体" w:cs="宋体"/>
          <w:bCs/>
          <w:color w:val="auto"/>
          <w:sz w:val="24"/>
          <w:szCs w:val="24"/>
          <w:highlight w:val="none"/>
        </w:rPr>
        <w:t>具备造影定量分析组织运动追踪技术，实时追踪被定量组织，消除因患者呼吸、运动等产生的组织位移，使超声造影定量分析更加准确。</w:t>
      </w:r>
    </w:p>
    <w:p>
      <w:pPr>
        <w:pStyle w:val="10"/>
        <w:numPr>
          <w:ilvl w:val="0"/>
          <w:numId w:val="0"/>
        </w:numPr>
        <w:spacing w:line="360" w:lineRule="auto"/>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w:t>
      </w:r>
      <w:r>
        <w:rPr>
          <w:rFonts w:hint="eastAsia" w:ascii="宋体" w:hAnsi="宋体" w:cs="宋体"/>
          <w:color w:val="auto"/>
          <w:sz w:val="24"/>
          <w:szCs w:val="24"/>
          <w:highlight w:val="none"/>
          <w:lang w:eastAsia="zh-CN"/>
        </w:rPr>
        <w:t>▲</w:t>
      </w:r>
      <w:r>
        <w:rPr>
          <w:rFonts w:hint="eastAsia" w:ascii="宋体" w:hAnsi="宋体" w:cs="宋体"/>
          <w:b/>
          <w:bCs/>
          <w:color w:val="auto"/>
          <w:kern w:val="0"/>
          <w:sz w:val="24"/>
          <w:szCs w:val="24"/>
          <w:highlight w:val="none"/>
          <w:lang w:val="en-US" w:eastAsia="zh-CN"/>
        </w:rPr>
        <w:t>项号40）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6.13 </w:t>
      </w:r>
      <w:r>
        <w:rPr>
          <w:rFonts w:hint="eastAsia" w:ascii="宋体" w:hAnsi="宋体" w:eastAsia="宋体" w:cs="宋体"/>
          <w:bCs/>
          <w:color w:val="auto"/>
          <w:sz w:val="24"/>
          <w:szCs w:val="24"/>
          <w:highlight w:val="none"/>
        </w:rPr>
        <w:t>双微造影：造影及微视血流成像两项技术实时对比显示，在造影延迟相显示组织及肿瘤的血供，帮助准确、高效的分辨肿瘤的良恶性。</w:t>
      </w:r>
    </w:p>
    <w:p>
      <w:pPr>
        <w:widowControl/>
        <w:spacing w:line="360" w:lineRule="auto"/>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（项号41）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弹性成像技术</w:t>
      </w:r>
      <w:r>
        <w:rPr>
          <w:rFonts w:hint="eastAsia" w:ascii="宋体" w:hAnsi="宋体" w:cs="宋体"/>
          <w:color w:val="auto"/>
          <w:sz w:val="24"/>
          <w:szCs w:val="24"/>
          <w:highlight w:val="none"/>
          <w:lang w:eastAsia="zh-CN"/>
        </w:rPr>
        <w:t>：</w:t>
      </w:r>
    </w:p>
    <w:p>
      <w:pPr>
        <w:widowControl/>
        <w:numPr>
          <w:ilvl w:val="0"/>
          <w:numId w:val="0"/>
        </w:numPr>
        <w:spacing w:line="360" w:lineRule="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7.1 </w:t>
      </w:r>
      <w:r>
        <w:rPr>
          <w:rFonts w:hint="eastAsia" w:ascii="宋体" w:hAnsi="宋体" w:eastAsia="宋体" w:cs="宋体"/>
          <w:color w:val="auto"/>
          <w:kern w:val="0"/>
          <w:sz w:val="24"/>
          <w:szCs w:val="24"/>
          <w:highlight w:val="none"/>
        </w:rPr>
        <w:t>实时软组织弹性成像技术，无需人工加压，具有灰阶，反转及彩色多普勒多种显像方式</w:t>
      </w:r>
      <w:r>
        <w:rPr>
          <w:rFonts w:hint="eastAsia" w:ascii="宋体" w:hAnsi="宋体" w:cs="宋体"/>
          <w:color w:val="auto"/>
          <w:kern w:val="0"/>
          <w:sz w:val="24"/>
          <w:szCs w:val="24"/>
          <w:highlight w:val="none"/>
          <w:lang w:eastAsia="zh-CN"/>
        </w:rPr>
        <w:t>。</w:t>
      </w:r>
    </w:p>
    <w:p>
      <w:pPr>
        <w:widowControl/>
        <w:numPr>
          <w:ilvl w:val="0"/>
          <w:numId w:val="0"/>
        </w:numPr>
        <w:spacing w:line="360" w:lineRule="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7.2 </w:t>
      </w:r>
      <w:r>
        <w:rPr>
          <w:rFonts w:hint="eastAsia" w:ascii="宋体" w:hAnsi="宋体" w:eastAsia="宋体" w:cs="宋体"/>
          <w:color w:val="auto"/>
          <w:kern w:val="0"/>
          <w:sz w:val="24"/>
          <w:szCs w:val="24"/>
          <w:highlight w:val="none"/>
        </w:rPr>
        <w:t>具备囊实性结构鉴别弹性成像技术</w:t>
      </w:r>
      <w:r>
        <w:rPr>
          <w:rFonts w:hint="eastAsia" w:ascii="宋体" w:hAnsi="宋体" w:cs="宋体"/>
          <w:color w:val="auto"/>
          <w:kern w:val="0"/>
          <w:sz w:val="24"/>
          <w:szCs w:val="24"/>
          <w:highlight w:val="none"/>
          <w:lang w:eastAsia="zh-CN"/>
        </w:rPr>
        <w:t>。</w:t>
      </w:r>
    </w:p>
    <w:p>
      <w:pPr>
        <w:widowControl/>
        <w:numPr>
          <w:ilvl w:val="0"/>
          <w:numId w:val="0"/>
        </w:numPr>
        <w:spacing w:line="360" w:lineRule="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7.3 </w:t>
      </w:r>
      <w:r>
        <w:rPr>
          <w:rFonts w:hint="eastAsia" w:ascii="宋体" w:hAnsi="宋体" w:eastAsia="宋体" w:cs="宋体"/>
          <w:color w:val="auto"/>
          <w:sz w:val="24"/>
          <w:szCs w:val="24"/>
          <w:highlight w:val="none"/>
        </w:rPr>
        <w:t>具备浅表及腔内弹性成像</w:t>
      </w:r>
      <w:r>
        <w:rPr>
          <w:rFonts w:hint="eastAsia" w:ascii="宋体" w:hAnsi="宋体" w:cs="宋体"/>
          <w:color w:val="auto"/>
          <w:sz w:val="24"/>
          <w:szCs w:val="24"/>
          <w:highlight w:val="none"/>
          <w:lang w:eastAsia="zh-CN"/>
        </w:rPr>
        <w:t>。</w:t>
      </w:r>
    </w:p>
    <w:p>
      <w:pPr>
        <w:widowControl/>
        <w:numPr>
          <w:ilvl w:val="0"/>
          <w:numId w:val="0"/>
        </w:numPr>
        <w:spacing w:line="360" w:lineRule="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7.4 </w:t>
      </w:r>
      <w:r>
        <w:rPr>
          <w:rFonts w:hint="eastAsia" w:ascii="宋体" w:hAnsi="宋体" w:eastAsia="宋体" w:cs="宋体"/>
          <w:color w:val="auto"/>
          <w:kern w:val="0"/>
          <w:sz w:val="24"/>
          <w:szCs w:val="24"/>
          <w:highlight w:val="none"/>
        </w:rPr>
        <w:t>主机内置一体化实时弹性定量分析技术，可对弹性图像进行直径面积对比分析、动态弹性应变分析、动态弹性参数成像。</w:t>
      </w:r>
    </w:p>
    <w:p>
      <w:pPr>
        <w:spacing w:line="360" w:lineRule="auto"/>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（项号42）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实时剪切波弹性定量技术，可实时对感兴趣区域内组织进行硬度定量评价。</w:t>
      </w:r>
    </w:p>
    <w:p>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8.1 </w:t>
      </w:r>
      <w:r>
        <w:rPr>
          <w:rFonts w:hint="eastAsia" w:ascii="宋体" w:hAnsi="宋体" w:eastAsia="宋体" w:cs="宋体"/>
          <w:color w:val="auto"/>
          <w:sz w:val="24"/>
          <w:szCs w:val="24"/>
          <w:highlight w:val="none"/>
        </w:rPr>
        <w:t>支持腹部及浅表探头。</w:t>
      </w:r>
    </w:p>
    <w:p>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8.2 </w:t>
      </w:r>
      <w:r>
        <w:rPr>
          <w:rFonts w:hint="eastAsia" w:ascii="宋体" w:hAnsi="宋体" w:eastAsia="宋体" w:cs="宋体"/>
          <w:color w:val="auto"/>
          <w:sz w:val="24"/>
          <w:szCs w:val="24"/>
          <w:highlight w:val="none"/>
        </w:rPr>
        <w:t>具有彩色编码功能，可双幅显示灰阶图与彩色编码图，并具有置信图模式。</w:t>
      </w:r>
    </w:p>
    <w:p>
      <w:pPr>
        <w:numPr>
          <w:ilvl w:val="0"/>
          <w:numId w:val="0"/>
        </w:num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8.3 </w:t>
      </w:r>
      <w:r>
        <w:rPr>
          <w:rFonts w:hint="eastAsia" w:ascii="宋体" w:hAnsi="宋体" w:eastAsia="宋体" w:cs="宋体"/>
          <w:color w:val="auto"/>
          <w:sz w:val="24"/>
          <w:szCs w:val="24"/>
          <w:highlight w:val="none"/>
        </w:rPr>
        <w:t>取样框ROI可调节大小，腹部最大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6cm；浅表最大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3.6cm</w:t>
      </w:r>
      <w:r>
        <w:rPr>
          <w:rFonts w:hint="eastAsia" w:ascii="宋体" w:hAnsi="宋体" w:cs="宋体"/>
          <w:color w:val="auto"/>
          <w:sz w:val="24"/>
          <w:szCs w:val="24"/>
          <w:highlight w:val="none"/>
          <w:lang w:eastAsia="zh-CN"/>
        </w:rPr>
        <w:t>。</w:t>
      </w:r>
    </w:p>
    <w:p>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8.4 </w:t>
      </w:r>
      <w:r>
        <w:rPr>
          <w:rFonts w:hint="eastAsia" w:ascii="宋体" w:hAnsi="宋体" w:eastAsia="宋体" w:cs="宋体"/>
          <w:color w:val="auto"/>
          <w:sz w:val="24"/>
          <w:szCs w:val="24"/>
          <w:highlight w:val="none"/>
        </w:rPr>
        <w:t>具有多种测量模式，可根据临床需求使用取样框、圆圈、描记、点式等方式进行测量；</w:t>
      </w:r>
    </w:p>
    <w:p>
      <w:pPr>
        <w:numPr>
          <w:ilvl w:val="0"/>
          <w:numId w:val="0"/>
        </w:num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8.5 </w:t>
      </w:r>
      <w:r>
        <w:rPr>
          <w:rFonts w:hint="eastAsia" w:ascii="宋体" w:hAnsi="宋体" w:eastAsia="宋体" w:cs="宋体"/>
          <w:color w:val="auto"/>
          <w:sz w:val="24"/>
          <w:szCs w:val="24"/>
          <w:highlight w:val="none"/>
        </w:rPr>
        <w:t>具有原始数据搜集及处理能力，可任意回放并进行回顾性测量计算</w:t>
      </w:r>
      <w:r>
        <w:rPr>
          <w:rFonts w:hint="eastAsia" w:ascii="宋体" w:hAnsi="宋体" w:cs="宋体"/>
          <w:color w:val="auto"/>
          <w:sz w:val="24"/>
          <w:szCs w:val="24"/>
          <w:highlight w:val="none"/>
          <w:lang w:eastAsia="zh-CN"/>
        </w:rPr>
        <w:t>。</w:t>
      </w:r>
    </w:p>
    <w:p>
      <w:pPr>
        <w:numPr>
          <w:ilvl w:val="0"/>
          <w:numId w:val="0"/>
        </w:num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8.6 </w:t>
      </w:r>
      <w:r>
        <w:rPr>
          <w:rFonts w:hint="eastAsia" w:ascii="宋体" w:hAnsi="宋体" w:eastAsia="宋体" w:cs="宋体"/>
          <w:color w:val="auto"/>
          <w:sz w:val="24"/>
          <w:szCs w:val="24"/>
          <w:highlight w:val="none"/>
        </w:rPr>
        <w:t xml:space="preserve">测量值可以两种单位显示，KPa及m/s </w:t>
      </w:r>
      <w:r>
        <w:rPr>
          <w:rFonts w:hint="eastAsia" w:ascii="宋体" w:hAnsi="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（项号43）</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具有微视血流成像技术，可捕捉超微细血流及超低速血流信号，支持凸阵、线阵探头，可用于腹部、浅表、肌骨、儿科、血管等多种应用，具有单独模式、增强模式及2D对比模式，具有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8种map图可选，并可进行血流速度测量，已存储的图像亦可使用增强模式进行观察。</w:t>
      </w:r>
    </w:p>
    <w:p>
      <w:pPr>
        <w:spacing w:line="360" w:lineRule="auto"/>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（项号44）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具有高清微视血流成像技术，可高清显示超微细血流及超低速血流信号，支持凸阵、线阵探头、微凸阵探头，可用于腹部、浅表、肌骨、儿科、血管等多种应用，具有单独模式、增强模式及2D对比模式，具有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8种map图可选，并可进行血流速度测量，已存储的图像亦可使用增强模式进行观察。</w:t>
      </w:r>
    </w:p>
    <w:p>
      <w:pPr>
        <w:widowControl/>
        <w:spacing w:line="360" w:lineRule="auto"/>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（项号45）</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实时3D/4D成像技术</w:t>
      </w:r>
      <w:r>
        <w:rPr>
          <w:rFonts w:hint="eastAsia" w:ascii="宋体" w:hAnsi="宋体" w:cs="宋体"/>
          <w:color w:val="auto"/>
          <w:sz w:val="24"/>
          <w:szCs w:val="24"/>
          <w:highlight w:val="none"/>
          <w:lang w:eastAsia="zh-CN"/>
        </w:rPr>
        <w:t>：</w:t>
      </w:r>
    </w:p>
    <w:p>
      <w:pPr>
        <w:numPr>
          <w:ilvl w:val="0"/>
          <w:numId w:val="0"/>
        </w:num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11.1 </w:t>
      </w:r>
      <w:r>
        <w:rPr>
          <w:rFonts w:hint="eastAsia" w:ascii="宋体" w:hAnsi="宋体" w:eastAsia="宋体" w:cs="宋体"/>
          <w:color w:val="auto"/>
          <w:sz w:val="24"/>
          <w:szCs w:val="24"/>
          <w:highlight w:val="none"/>
        </w:rPr>
        <w:t>具备三维、四维实时成像功能三维容积定量，支持腹部、妇产科、小器官、腔内检查成像，支持腹部、高频、腔内及腹部、浅表矩阵探头检查成像</w:t>
      </w:r>
      <w:r>
        <w:rPr>
          <w:rFonts w:hint="eastAsia" w:ascii="宋体" w:hAnsi="宋体" w:cs="宋体"/>
          <w:color w:val="auto"/>
          <w:sz w:val="24"/>
          <w:szCs w:val="24"/>
          <w:highlight w:val="none"/>
          <w:lang w:eastAsia="zh-CN"/>
        </w:rPr>
        <w:t>。</w:t>
      </w:r>
    </w:p>
    <w:p>
      <w:pPr>
        <w:numPr>
          <w:ilvl w:val="0"/>
          <w:numId w:val="0"/>
        </w:num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11.2 </w:t>
      </w:r>
      <w:r>
        <w:rPr>
          <w:rFonts w:hint="eastAsia" w:ascii="宋体" w:hAnsi="宋体" w:eastAsia="宋体" w:cs="宋体"/>
          <w:color w:val="auto"/>
          <w:sz w:val="24"/>
          <w:szCs w:val="24"/>
          <w:highlight w:val="none"/>
        </w:rPr>
        <w:t>具备自由臂三维成像，支持常规凸阵、微凸阵、线阵探头</w:t>
      </w:r>
      <w:r>
        <w:rPr>
          <w:rFonts w:hint="eastAsia" w:ascii="宋体" w:hAnsi="宋体" w:cs="宋体"/>
          <w:color w:val="auto"/>
          <w:sz w:val="24"/>
          <w:szCs w:val="24"/>
          <w:highlight w:val="none"/>
          <w:lang w:eastAsia="zh-CN"/>
        </w:rPr>
        <w:t>。</w:t>
      </w:r>
    </w:p>
    <w:p>
      <w:pPr>
        <w:numPr>
          <w:ilvl w:val="0"/>
          <w:numId w:val="0"/>
        </w:num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11.3 </w:t>
      </w:r>
      <w:r>
        <w:rPr>
          <w:rFonts w:hint="eastAsia" w:ascii="宋体" w:hAnsi="宋体" w:eastAsia="宋体" w:cs="宋体"/>
          <w:color w:val="auto"/>
          <w:sz w:val="24"/>
          <w:szCs w:val="24"/>
          <w:highlight w:val="none"/>
        </w:rPr>
        <w:t>具有多平面MPR模式、具有表面模式、骨骼模式、反转成像模式等</w:t>
      </w:r>
      <w:r>
        <w:rPr>
          <w:rFonts w:hint="eastAsia" w:ascii="宋体" w:hAnsi="宋体" w:cs="宋体"/>
          <w:color w:val="auto"/>
          <w:sz w:val="24"/>
          <w:szCs w:val="24"/>
          <w:highlight w:val="none"/>
          <w:lang w:eastAsia="zh-CN"/>
        </w:rPr>
        <w:t>。</w:t>
      </w:r>
    </w:p>
    <w:p>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11.4 </w:t>
      </w:r>
      <w:r>
        <w:rPr>
          <w:rFonts w:hint="eastAsia" w:ascii="宋体" w:hAnsi="宋体" w:eastAsia="宋体" w:cs="宋体"/>
          <w:color w:val="auto"/>
          <w:sz w:val="24"/>
          <w:szCs w:val="24"/>
          <w:highlight w:val="none"/>
        </w:rPr>
        <w:t>智能容积断层成像，可在X,Y,Z轴具有多层断层显示方式并可同屏显示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25幅图像，断层间隔及深度可调节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具有可调节不同层厚显示方式，最小层厚≤0.1mm。 </w:t>
      </w:r>
    </w:p>
    <w:p>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11.5 </w:t>
      </w:r>
      <w:r>
        <w:rPr>
          <w:rFonts w:hint="eastAsia" w:ascii="宋体" w:hAnsi="宋体" w:eastAsia="宋体" w:cs="宋体"/>
          <w:color w:val="auto"/>
          <w:sz w:val="24"/>
          <w:szCs w:val="24"/>
          <w:highlight w:val="none"/>
        </w:rPr>
        <w:t>厚层容积切片技术，可在X,Y,Z轴进行任意位置的三维立体结构显示，对组织内的微小病变及内部细节三维结构选择性的进行三维立体显示，显示厚度及位置可调。</w:t>
      </w:r>
    </w:p>
    <w:p>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11.6 </w:t>
      </w:r>
      <w:r>
        <w:rPr>
          <w:rFonts w:hint="eastAsia" w:ascii="宋体" w:hAnsi="宋体" w:eastAsia="宋体" w:cs="宋体"/>
          <w:color w:val="auto"/>
          <w:sz w:val="24"/>
          <w:szCs w:val="24"/>
          <w:highlight w:val="none"/>
        </w:rPr>
        <w:t>自动体积定量技术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对获取的容积数据进行体积的计算。包括三种计算方式：</w:t>
      </w:r>
    </w:p>
    <w:p>
      <w:pPr>
        <w:pStyle w:val="11"/>
        <w:numPr>
          <w:ilvl w:val="2"/>
          <w:numId w:val="0"/>
        </w:numPr>
        <w:spacing w:line="360" w:lineRule="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手动方式：通过测量三个径线得到体积。</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半自动：将容积数据分解成若干平面，通过对每个平面进行边界的勾画后得到总的体积。</w:t>
      </w:r>
    </w:p>
    <w:p>
      <w:pPr>
        <w:pStyle w:val="11"/>
        <w:numPr>
          <w:ilvl w:val="2"/>
          <w:numId w:val="0"/>
        </w:numPr>
        <w:spacing w:line="360" w:lineRule="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全自动：对于囊性结构，系统自动确定其边界，并计算出其体积。</w:t>
      </w:r>
    </w:p>
    <w:p>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11.7 </w:t>
      </w:r>
      <w:r>
        <w:rPr>
          <w:rFonts w:hint="eastAsia" w:ascii="宋体" w:hAnsi="宋体" w:eastAsia="宋体" w:cs="宋体"/>
          <w:color w:val="auto"/>
          <w:sz w:val="24"/>
          <w:szCs w:val="24"/>
          <w:highlight w:val="none"/>
        </w:rPr>
        <w:t>具有曲线ROI三维切割获取技术，可以根据组织结构轮廓调整从而方便的进行三维成像</w:t>
      </w:r>
      <w:r>
        <w:rPr>
          <w:rFonts w:hint="eastAsia" w:ascii="宋体" w:hAnsi="宋体" w:cs="宋体"/>
          <w:color w:val="auto"/>
          <w:sz w:val="24"/>
          <w:szCs w:val="24"/>
          <w:highlight w:val="none"/>
          <w:lang w:eastAsia="zh-CN"/>
        </w:rPr>
        <w:t>。</w:t>
      </w:r>
    </w:p>
    <w:p>
      <w:pPr>
        <w:numPr>
          <w:ilvl w:val="0"/>
          <w:numId w:val="0"/>
        </w:num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11.8 </w:t>
      </w:r>
      <w:r>
        <w:rPr>
          <w:rFonts w:hint="eastAsia" w:ascii="宋体" w:hAnsi="宋体" w:eastAsia="宋体" w:cs="宋体"/>
          <w:color w:val="auto"/>
          <w:sz w:val="24"/>
          <w:szCs w:val="24"/>
          <w:highlight w:val="none"/>
        </w:rPr>
        <w:t>三维反转成像技术</w:t>
      </w:r>
      <w:r>
        <w:rPr>
          <w:rFonts w:hint="eastAsia" w:ascii="宋体" w:hAnsi="宋体" w:cs="宋体"/>
          <w:color w:val="auto"/>
          <w:sz w:val="24"/>
          <w:szCs w:val="24"/>
          <w:highlight w:val="none"/>
          <w:lang w:eastAsia="zh-CN"/>
        </w:rPr>
        <w:t>。</w:t>
      </w:r>
    </w:p>
    <w:p>
      <w:pPr>
        <w:numPr>
          <w:ilvl w:val="0"/>
          <w:numId w:val="0"/>
        </w:num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11.9 </w:t>
      </w:r>
      <w:r>
        <w:rPr>
          <w:rFonts w:hint="eastAsia" w:ascii="宋体" w:hAnsi="宋体" w:eastAsia="宋体" w:cs="宋体"/>
          <w:color w:val="auto"/>
          <w:sz w:val="24"/>
          <w:szCs w:val="24"/>
          <w:highlight w:val="none"/>
        </w:rPr>
        <w:t>可直接获取3D数据</w:t>
      </w:r>
      <w:r>
        <w:rPr>
          <w:rFonts w:hint="eastAsia" w:ascii="宋体" w:hAnsi="宋体" w:cs="宋体"/>
          <w:color w:val="auto"/>
          <w:sz w:val="24"/>
          <w:szCs w:val="24"/>
          <w:highlight w:val="none"/>
          <w:lang w:eastAsia="zh-CN"/>
        </w:rPr>
        <w:t>。</w:t>
      </w:r>
    </w:p>
    <w:p>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11.10 </w:t>
      </w:r>
      <w:r>
        <w:rPr>
          <w:rFonts w:hint="eastAsia" w:ascii="宋体" w:hAnsi="宋体" w:eastAsia="宋体" w:cs="宋体"/>
          <w:color w:val="auto"/>
          <w:sz w:val="24"/>
          <w:szCs w:val="24"/>
          <w:highlight w:val="none"/>
        </w:rPr>
        <w:t>触摸屏三维成像全触控技术：触摸屏可手势操作三维立体图像，替代按钮功能，包含图像的旋转，光源位置移动，容积数据A\B\C平面选择及取样框位置、大小调整，取样曲线位置调节，“十”字定位点位置移动。</w:t>
      </w:r>
    </w:p>
    <w:p>
      <w:pPr>
        <w:spacing w:line="360" w:lineRule="auto"/>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w:t>
      </w:r>
      <w:r>
        <w:rPr>
          <w:rFonts w:hint="eastAsia" w:ascii="宋体" w:hAnsi="宋体" w:cs="宋体"/>
          <w:color w:val="auto"/>
          <w:sz w:val="24"/>
          <w:szCs w:val="24"/>
          <w:highlight w:val="none"/>
          <w:lang w:eastAsia="zh-CN"/>
        </w:rPr>
        <w:t>▲</w:t>
      </w:r>
      <w:r>
        <w:rPr>
          <w:rFonts w:hint="eastAsia" w:ascii="宋体" w:hAnsi="宋体" w:cs="宋体"/>
          <w:b/>
          <w:bCs/>
          <w:color w:val="auto"/>
          <w:kern w:val="0"/>
          <w:sz w:val="24"/>
          <w:szCs w:val="24"/>
          <w:highlight w:val="none"/>
          <w:lang w:val="en-US" w:eastAsia="zh-CN"/>
        </w:rPr>
        <w:t>项号46）</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真实渲染成像功能：通过全新的容积处理方式，增强容积图像的细节显示，提高图像真实感，加强临床诊断信心。智能可变光源系统通过虚拟光源位置的改变可得到常规容积成像难以获得的多方位容积增强显示。</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12.1 </w:t>
      </w:r>
      <w:r>
        <w:rPr>
          <w:rFonts w:hint="eastAsia" w:ascii="宋体" w:hAnsi="宋体" w:eastAsia="宋体" w:cs="宋体"/>
          <w:color w:val="auto"/>
          <w:sz w:val="24"/>
          <w:szCs w:val="24"/>
          <w:highlight w:val="none"/>
        </w:rPr>
        <w:t>光源可在容积图像上跟随手动调节的位置可视可调。</w:t>
      </w:r>
    </w:p>
    <w:p>
      <w:pPr>
        <w:pStyle w:val="11"/>
        <w:numPr>
          <w:ilvl w:val="0"/>
          <w:numId w:val="0"/>
        </w:numPr>
        <w:spacing w:line="360" w:lineRule="auto"/>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12.2 </w:t>
      </w:r>
      <w:r>
        <w:rPr>
          <w:rFonts w:hint="eastAsia" w:ascii="宋体" w:hAnsi="宋体" w:eastAsia="宋体" w:cs="宋体"/>
          <w:color w:val="auto"/>
          <w:sz w:val="24"/>
          <w:szCs w:val="24"/>
          <w:highlight w:val="none"/>
        </w:rPr>
        <w:t>光源移动方向，光源可沿X/Y/Z轴三个方位进行调节。</w:t>
      </w:r>
    </w:p>
    <w:p>
      <w:pPr>
        <w:pStyle w:val="11"/>
        <w:numPr>
          <w:ilvl w:val="0"/>
          <w:numId w:val="0"/>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12.3 </w:t>
      </w:r>
      <w:r>
        <w:rPr>
          <w:rFonts w:hint="eastAsia" w:ascii="宋体" w:hAnsi="宋体" w:eastAsia="宋体" w:cs="宋体"/>
          <w:color w:val="auto"/>
          <w:sz w:val="24"/>
          <w:szCs w:val="24"/>
          <w:highlight w:val="none"/>
        </w:rPr>
        <w:t>全触屏手势操控三维成像后处理：通过在全触摸屏上进行手势操作，可对容积图像进行X/Y/Z轴向旋转及放大/缩小调整，并通过手势操作，使得光源可沿X/Y/Z轴三个方向进行调节，有助于组织内部的结构观察。</w:t>
      </w:r>
    </w:p>
    <w:p>
      <w:pPr>
        <w:spacing w:line="360" w:lineRule="auto"/>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12.4 </w:t>
      </w:r>
      <w:r>
        <w:rPr>
          <w:rFonts w:hint="eastAsia" w:ascii="宋体" w:hAnsi="宋体" w:eastAsia="宋体" w:cs="宋体"/>
          <w:color w:val="auto"/>
          <w:sz w:val="24"/>
          <w:szCs w:val="24"/>
          <w:highlight w:val="none"/>
        </w:rPr>
        <w:t>光源快速起始位置≥6个。</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（项号47）</w:t>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容积深度渲染：基于深度信息的创新性显示方法，用不同颜色渲染深部组织信息提高3D图像Z轴（深度）方向渲染效果，呈现更多的立体结构信息，凸显需要观察的解剖部位，帮助临床医生获得更多的诊断信息。≥25种色调可调节，满足不同用户需求。</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（项号48）</w:t>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容积轮廓剪影显示模式： 突出显示容积图像内结构的轮廓。通过调节阈值，可以选择只显示容积图像表面成像或既显示表面又显示容积数据内部组织，如液性区形态、骨骼分布和形态。对于诊断多胎妊娠、骨骼畸形、内脏反位等畸形，可以帮助直观快捷的诊断。并可配合使用光源移动，光源可沿X/Y/Z轴三个方位进行调节，帮助医生对所感兴趣区域进行着重的观察。</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（项号48）</w:t>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胎儿自动识别容积成像：通过大数据建立胎儿组织结构的骨性结构标志库，基于机器深度学习功能，自动识别感兴趣区域内骨性标志，通过人工智能（AI），一键快速获取胎儿容积数据，例如一键化去除胎儿颜面部遮挡，自动识别胎儿颜面部骨骼标志从而获得清晰胎儿颜面部容积图像。帮助使用者能够快速获得胎儿容积图像，提高工作效率。  </w:t>
      </w:r>
    </w:p>
    <w:p>
      <w:pPr>
        <w:spacing w:line="360" w:lineRule="auto"/>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（项号50）</w:t>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容积增强成像技术：对容积数据进行多切面采集和处理，有效地的抑制噪音，增强多切面图像分辨率，所有容积探头均支持此技术，该技术包含：</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16.1 </w:t>
      </w:r>
      <w:r>
        <w:rPr>
          <w:rFonts w:hint="eastAsia" w:ascii="宋体" w:hAnsi="宋体" w:eastAsia="宋体" w:cs="宋体"/>
          <w:color w:val="auto"/>
          <w:sz w:val="24"/>
          <w:szCs w:val="24"/>
          <w:highlight w:val="none"/>
        </w:rPr>
        <w:t>通过增强多平面图像的对比度，极大提高A/B/C平面的对比分辨率，有利于胎儿脊柱等高回声、强回声组织的显示。</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16.2 </w:t>
      </w:r>
      <w:r>
        <w:rPr>
          <w:rFonts w:hint="eastAsia" w:ascii="宋体" w:hAnsi="宋体" w:eastAsia="宋体" w:cs="宋体"/>
          <w:color w:val="auto"/>
          <w:sz w:val="24"/>
          <w:szCs w:val="24"/>
          <w:highlight w:val="none"/>
        </w:rPr>
        <w:t>通过调节多平面图像的厚度，以增加A/B/C平面图像的细节分辨率。</w:t>
      </w:r>
    </w:p>
    <w:p>
      <w:pPr>
        <w:widowControl/>
        <w:autoSpaceDE w:val="0"/>
        <w:autoSpaceDN w:val="0"/>
        <w:adjustRightInd w:val="0"/>
        <w:spacing w:line="360" w:lineRule="auto"/>
        <w:rPr>
          <w:rFonts w:hint="eastAsia" w:ascii="宋体" w:hAnsi="宋体" w:eastAsia="宋体" w:cs="宋体"/>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（项号51）</w:t>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17</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rPr>
        <w:t>血管中内膜自动测量与分析</w:t>
      </w:r>
    </w:p>
    <w:p>
      <w:pPr>
        <w:widowControl/>
        <w:numPr>
          <w:ilvl w:val="0"/>
          <w:numId w:val="0"/>
        </w:numPr>
        <w:spacing w:line="360" w:lineRule="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17.1 </w:t>
      </w:r>
      <w:r>
        <w:rPr>
          <w:rFonts w:hint="eastAsia" w:ascii="宋体" w:hAnsi="宋体" w:eastAsia="宋体" w:cs="宋体"/>
          <w:color w:val="auto"/>
          <w:kern w:val="0"/>
          <w:sz w:val="24"/>
          <w:szCs w:val="24"/>
          <w:highlight w:val="none"/>
        </w:rPr>
        <w:t>要求对感兴趣区域内自动测量，无需手动描计</w:t>
      </w:r>
      <w:r>
        <w:rPr>
          <w:rFonts w:hint="eastAsia" w:ascii="宋体" w:hAnsi="宋体" w:cs="宋体"/>
          <w:color w:val="auto"/>
          <w:kern w:val="0"/>
          <w:sz w:val="24"/>
          <w:szCs w:val="24"/>
          <w:highlight w:val="none"/>
          <w:lang w:eastAsia="zh-CN"/>
        </w:rPr>
        <w:t>。</w:t>
      </w:r>
    </w:p>
    <w:p>
      <w:pPr>
        <w:widowControl/>
        <w:numPr>
          <w:ilvl w:val="0"/>
          <w:numId w:val="0"/>
        </w:numPr>
        <w:spacing w:line="360" w:lineRule="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17.2 </w:t>
      </w:r>
      <w:r>
        <w:rPr>
          <w:rFonts w:hint="eastAsia" w:ascii="宋体" w:hAnsi="宋体" w:eastAsia="宋体" w:cs="宋体"/>
          <w:color w:val="auto"/>
          <w:kern w:val="0"/>
          <w:sz w:val="24"/>
          <w:szCs w:val="24"/>
          <w:highlight w:val="none"/>
        </w:rPr>
        <w:t>计算结果为一段距离内的平均值，提高测量的可靠性和可重复性，并可根据血管内中膜厚度不同进行优化设置</w:t>
      </w:r>
      <w:r>
        <w:rPr>
          <w:rFonts w:hint="eastAsia" w:ascii="宋体" w:hAnsi="宋体" w:cs="宋体"/>
          <w:color w:val="auto"/>
          <w:kern w:val="0"/>
          <w:sz w:val="24"/>
          <w:szCs w:val="24"/>
          <w:highlight w:val="none"/>
          <w:lang w:eastAsia="zh-CN"/>
        </w:rPr>
        <w:t>。</w:t>
      </w:r>
    </w:p>
    <w:p>
      <w:pPr>
        <w:widowControl/>
        <w:numPr>
          <w:ilvl w:val="0"/>
          <w:numId w:val="0"/>
        </w:numPr>
        <w:spacing w:line="360" w:lineRule="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17.3 </w:t>
      </w:r>
      <w:r>
        <w:rPr>
          <w:rFonts w:hint="eastAsia" w:ascii="宋体" w:hAnsi="宋体" w:eastAsia="宋体" w:cs="宋体"/>
          <w:color w:val="auto"/>
          <w:kern w:val="0"/>
          <w:sz w:val="24"/>
          <w:szCs w:val="24"/>
          <w:highlight w:val="none"/>
        </w:rPr>
        <w:t>脱机数据可输出</w:t>
      </w:r>
      <w:r>
        <w:rPr>
          <w:rFonts w:hint="eastAsia" w:ascii="宋体" w:hAnsi="宋体" w:cs="宋体"/>
          <w:color w:val="auto"/>
          <w:kern w:val="0"/>
          <w:sz w:val="24"/>
          <w:szCs w:val="24"/>
          <w:highlight w:val="none"/>
          <w:lang w:eastAsia="zh-CN"/>
        </w:rPr>
        <w:t>。</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（项号52）</w:t>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18</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具备智能多普勒血管检查技术</w:t>
      </w:r>
    </w:p>
    <w:p>
      <w:pPr>
        <w:numPr>
          <w:ilvl w:val="0"/>
          <w:numId w:val="0"/>
        </w:numPr>
        <w:autoSpaceDE w:val="0"/>
        <w:autoSpaceDN w:val="0"/>
        <w:adjustRightInd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18.1 </w:t>
      </w:r>
      <w:r>
        <w:rPr>
          <w:rFonts w:hint="eastAsia" w:ascii="宋体" w:hAnsi="宋体" w:eastAsia="宋体" w:cs="宋体"/>
          <w:color w:val="auto"/>
          <w:sz w:val="24"/>
          <w:szCs w:val="24"/>
          <w:highlight w:val="none"/>
        </w:rPr>
        <w:t>单键优化二维、多普勒图像质量</w:t>
      </w:r>
      <w:r>
        <w:rPr>
          <w:rFonts w:hint="eastAsia" w:ascii="宋体" w:hAnsi="宋体" w:cs="宋体"/>
          <w:color w:val="auto"/>
          <w:sz w:val="24"/>
          <w:szCs w:val="24"/>
          <w:highlight w:val="none"/>
          <w:lang w:eastAsia="zh-CN"/>
        </w:rPr>
        <w:t>。</w:t>
      </w:r>
    </w:p>
    <w:p>
      <w:pPr>
        <w:numPr>
          <w:ilvl w:val="0"/>
          <w:numId w:val="0"/>
        </w:numPr>
        <w:autoSpaceDE w:val="0"/>
        <w:autoSpaceDN w:val="0"/>
        <w:adjustRightInd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18.2 </w:t>
      </w:r>
      <w:r>
        <w:rPr>
          <w:rFonts w:hint="eastAsia" w:ascii="宋体" w:hAnsi="宋体" w:eastAsia="宋体" w:cs="宋体"/>
          <w:color w:val="auto"/>
          <w:sz w:val="24"/>
          <w:szCs w:val="24"/>
          <w:highlight w:val="none"/>
        </w:rPr>
        <w:t>单键自动调整取样框角度、位置、取样门位置、角度等</w:t>
      </w:r>
      <w:r>
        <w:rPr>
          <w:rFonts w:hint="eastAsia" w:ascii="宋体" w:hAnsi="宋体" w:cs="宋体"/>
          <w:color w:val="auto"/>
          <w:sz w:val="24"/>
          <w:szCs w:val="24"/>
          <w:highlight w:val="none"/>
          <w:lang w:eastAsia="zh-CN"/>
        </w:rPr>
        <w:t>。</w:t>
      </w:r>
    </w:p>
    <w:p>
      <w:pPr>
        <w:numPr>
          <w:ilvl w:val="0"/>
          <w:numId w:val="0"/>
        </w:numPr>
        <w:autoSpaceDE w:val="0"/>
        <w:autoSpaceDN w:val="0"/>
        <w:adjustRightInd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18.3 </w:t>
      </w:r>
      <w:r>
        <w:rPr>
          <w:rFonts w:hint="eastAsia" w:ascii="宋体" w:hAnsi="宋体" w:eastAsia="宋体" w:cs="宋体"/>
          <w:color w:val="auto"/>
          <w:sz w:val="24"/>
          <w:szCs w:val="24"/>
          <w:highlight w:val="none"/>
        </w:rPr>
        <w:t>具备血流自动追踪技术，可跟随探头的移动实时追踪血管位置，自动调整彩色图像（包括取样框角度、位置等），自动优化频谱测量以保证测量值的准确性</w:t>
      </w:r>
      <w:r>
        <w:rPr>
          <w:rFonts w:hint="eastAsia" w:ascii="宋体" w:hAnsi="宋体" w:cs="宋体"/>
          <w:color w:val="auto"/>
          <w:sz w:val="24"/>
          <w:szCs w:val="24"/>
          <w:highlight w:val="none"/>
          <w:lang w:eastAsia="zh-CN"/>
        </w:rPr>
        <w:t>。</w:t>
      </w:r>
    </w:p>
    <w:p>
      <w:pPr>
        <w:pStyle w:val="10"/>
        <w:spacing w:line="360" w:lineRule="auto"/>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（项号53）</w:t>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19</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可选配负荷超声成像(内置一体化)：具备二维负荷超声</w:t>
      </w:r>
      <w:r>
        <w:rPr>
          <w:rFonts w:hint="eastAsia" w:ascii="宋体" w:hAnsi="宋体" w:cs="宋体"/>
          <w:color w:val="auto"/>
          <w:sz w:val="24"/>
          <w:szCs w:val="24"/>
          <w:highlight w:val="none"/>
          <w:lang w:eastAsia="zh-CN"/>
        </w:rPr>
        <w:t>。</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2.</w:t>
      </w:r>
      <w:r>
        <w:rPr>
          <w:rFonts w:hint="eastAsia" w:ascii="宋体" w:hAnsi="宋体" w:eastAsia="宋体" w:cs="宋体"/>
          <w:b/>
          <w:bCs/>
          <w:color w:val="auto"/>
          <w:sz w:val="24"/>
          <w:szCs w:val="24"/>
          <w:highlight w:val="none"/>
        </w:rPr>
        <w:t>3</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测量和分析： (B型、M型、D型、彩色模式)</w:t>
      </w:r>
    </w:p>
    <w:p>
      <w:pPr>
        <w:widowControl/>
        <w:overflowPunct w:val="0"/>
        <w:autoSpaceDE w:val="0"/>
        <w:autoSpaceDN w:val="0"/>
        <w:adjustRightInd w:val="0"/>
        <w:spacing w:line="360" w:lineRule="auto"/>
        <w:ind w:right="-180"/>
        <w:textAlignment w:val="baseline"/>
        <w:rPr>
          <w:rFonts w:hint="eastAsia" w:ascii="宋体" w:hAnsi="宋体" w:eastAsia="宋体" w:cs="宋体"/>
          <w:b/>
          <w:bCs/>
          <w:color w:val="auto"/>
          <w:sz w:val="24"/>
          <w:szCs w:val="24"/>
          <w:highlight w:val="none"/>
        </w:rPr>
      </w:pPr>
      <w:r>
        <w:rPr>
          <w:rFonts w:hint="eastAsia" w:ascii="宋体" w:hAnsi="宋体" w:cs="宋体"/>
          <w:b/>
          <w:bCs/>
          <w:color w:val="auto"/>
          <w:kern w:val="0"/>
          <w:sz w:val="24"/>
          <w:szCs w:val="24"/>
          <w:highlight w:val="none"/>
          <w:lang w:val="en-US" w:eastAsia="zh-CN"/>
        </w:rPr>
        <w:t>（项号54）</w:t>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3.1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一般测量：距离、面积、周长等；</w:t>
      </w:r>
    </w:p>
    <w:p>
      <w:pPr>
        <w:widowControl/>
        <w:overflowPunct w:val="0"/>
        <w:autoSpaceDE w:val="0"/>
        <w:autoSpaceDN w:val="0"/>
        <w:adjustRightInd w:val="0"/>
        <w:spacing w:line="360" w:lineRule="auto"/>
        <w:ind w:right="-180"/>
        <w:textAlignment w:val="baseline"/>
        <w:rPr>
          <w:rFonts w:hint="eastAsia" w:ascii="宋体" w:hAnsi="宋体" w:eastAsia="宋体" w:cs="宋体"/>
          <w:b/>
          <w:bCs/>
          <w:color w:val="auto"/>
          <w:sz w:val="24"/>
          <w:szCs w:val="24"/>
          <w:highlight w:val="none"/>
        </w:rPr>
      </w:pPr>
      <w:r>
        <w:rPr>
          <w:rFonts w:hint="eastAsia" w:ascii="宋体" w:hAnsi="宋体" w:cs="宋体"/>
          <w:b/>
          <w:bCs/>
          <w:color w:val="auto"/>
          <w:kern w:val="0"/>
          <w:sz w:val="24"/>
          <w:szCs w:val="24"/>
          <w:highlight w:val="none"/>
          <w:lang w:val="en-US" w:eastAsia="zh-CN"/>
        </w:rPr>
        <w:t>（项号55）</w:t>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3.2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产科测量：包括全面的产科径线测量、NT测量、单/双胎儿孕龄及生长曲线、羊水指数、新生儿髋关节角度等；</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（项号56）</w:t>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3.3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外周血管测量和计算功能；</w:t>
      </w:r>
    </w:p>
    <w:p>
      <w:pPr>
        <w:widowControl/>
        <w:tabs>
          <w:tab w:val="left" w:pos="1617"/>
        </w:tabs>
        <w:overflowPunct w:val="0"/>
        <w:autoSpaceDE w:val="0"/>
        <w:autoSpaceDN w:val="0"/>
        <w:adjustRightInd w:val="0"/>
        <w:spacing w:line="360" w:lineRule="auto"/>
        <w:ind w:right="-180"/>
        <w:textAlignment w:val="baseline"/>
        <w:rPr>
          <w:rFonts w:hint="eastAsia" w:ascii="宋体" w:hAnsi="宋体" w:eastAsia="宋体" w:cs="宋体"/>
          <w:b/>
          <w:bCs/>
          <w:color w:val="auto"/>
          <w:sz w:val="24"/>
          <w:szCs w:val="24"/>
          <w:highlight w:val="none"/>
          <w:lang w:eastAsia="zh-CN"/>
        </w:rPr>
      </w:pPr>
      <w:r>
        <w:rPr>
          <w:rFonts w:hint="eastAsia" w:ascii="宋体" w:hAnsi="宋体" w:cs="宋体"/>
          <w:b/>
          <w:bCs/>
          <w:color w:val="auto"/>
          <w:kern w:val="0"/>
          <w:sz w:val="24"/>
          <w:szCs w:val="24"/>
          <w:highlight w:val="none"/>
          <w:lang w:val="en-US" w:eastAsia="zh-CN"/>
        </w:rPr>
        <w:t>（项号57）</w:t>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3.4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多普勒血流测量与分析 (含自动多普勒频谱包络计算)</w:t>
      </w:r>
      <w:r>
        <w:rPr>
          <w:rFonts w:hint="eastAsia" w:ascii="宋体" w:hAnsi="宋体" w:cs="宋体"/>
          <w:color w:val="auto"/>
          <w:sz w:val="24"/>
          <w:szCs w:val="24"/>
          <w:highlight w:val="none"/>
          <w:lang w:eastAsia="zh-CN"/>
        </w:rPr>
        <w:t>；</w:t>
      </w:r>
    </w:p>
    <w:p>
      <w:pPr>
        <w:widowControl/>
        <w:tabs>
          <w:tab w:val="left" w:pos="1617"/>
        </w:tabs>
        <w:overflowPunct w:val="0"/>
        <w:autoSpaceDE w:val="0"/>
        <w:autoSpaceDN w:val="0"/>
        <w:adjustRightInd w:val="0"/>
        <w:spacing w:line="360" w:lineRule="auto"/>
        <w:ind w:right="-180"/>
        <w:textAlignment w:val="baseline"/>
        <w:rPr>
          <w:rFonts w:hint="eastAsia" w:ascii="宋体" w:hAnsi="宋体" w:eastAsia="宋体" w:cs="宋体"/>
          <w:b/>
          <w:bCs/>
          <w:color w:val="auto"/>
          <w:sz w:val="24"/>
          <w:szCs w:val="24"/>
          <w:highlight w:val="none"/>
        </w:rPr>
      </w:pPr>
      <w:r>
        <w:rPr>
          <w:rFonts w:hint="eastAsia" w:ascii="宋体" w:hAnsi="宋体" w:cs="宋体"/>
          <w:b/>
          <w:bCs/>
          <w:color w:val="auto"/>
          <w:kern w:val="0"/>
          <w:sz w:val="24"/>
          <w:szCs w:val="24"/>
          <w:highlight w:val="none"/>
          <w:lang w:val="en-US" w:eastAsia="zh-CN"/>
        </w:rPr>
        <w:t>（项号58）</w:t>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3.5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心脏功能测量；</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2.</w:t>
      </w:r>
      <w:r>
        <w:rPr>
          <w:rFonts w:hint="eastAsia" w:ascii="宋体" w:hAnsi="宋体" w:eastAsia="宋体" w:cs="宋体"/>
          <w:b/>
          <w:bCs/>
          <w:color w:val="auto"/>
          <w:sz w:val="24"/>
          <w:szCs w:val="24"/>
          <w:highlight w:val="none"/>
        </w:rPr>
        <w:t>4</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图像存储 (电影) 回放重显及病案管理单元</w:t>
      </w:r>
    </w:p>
    <w:p>
      <w:pPr>
        <w:widowControl/>
        <w:overflowPunct w:val="0"/>
        <w:autoSpaceDE w:val="0"/>
        <w:autoSpaceDN w:val="0"/>
        <w:adjustRightInd w:val="0"/>
        <w:spacing w:line="360" w:lineRule="auto"/>
        <w:ind w:right="-180"/>
        <w:textAlignment w:val="baseline"/>
        <w:rPr>
          <w:rFonts w:hint="eastAsia" w:ascii="宋体" w:hAnsi="宋体" w:eastAsia="宋体" w:cs="宋体"/>
          <w:bCs/>
          <w:color w:val="auto"/>
          <w:sz w:val="24"/>
          <w:szCs w:val="24"/>
          <w:highlight w:val="none"/>
        </w:rPr>
      </w:pPr>
      <w:r>
        <w:rPr>
          <w:rFonts w:hint="eastAsia" w:ascii="宋体" w:hAnsi="宋体" w:cs="宋体"/>
          <w:b/>
          <w:bCs/>
          <w:color w:val="auto"/>
          <w:kern w:val="0"/>
          <w:sz w:val="24"/>
          <w:szCs w:val="24"/>
          <w:highlight w:val="none"/>
          <w:lang w:val="en-US" w:eastAsia="zh-CN"/>
        </w:rPr>
        <w:t>（项号59）</w:t>
      </w:r>
      <w:r>
        <w:rPr>
          <w:rFonts w:hint="eastAsia" w:ascii="宋体" w:hAnsi="宋体" w:cs="宋体"/>
          <w:bCs/>
          <w:color w:val="auto"/>
          <w:sz w:val="24"/>
          <w:szCs w:val="24"/>
          <w:highlight w:val="none"/>
          <w:lang w:eastAsia="zh-CN"/>
        </w:rPr>
        <w:t>2.</w:t>
      </w:r>
      <w:r>
        <w:rPr>
          <w:rFonts w:hint="eastAsia" w:ascii="宋体" w:hAnsi="宋体" w:eastAsia="宋体" w:cs="宋体"/>
          <w:bCs/>
          <w:color w:val="auto"/>
          <w:sz w:val="24"/>
          <w:szCs w:val="24"/>
          <w:highlight w:val="none"/>
        </w:rPr>
        <w:t>4.1</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数字化捕捉、回放、存储静、动态图像，实时图像传输，实时 JPEG 解压缩，可进行参数编程调节；</w:t>
      </w:r>
    </w:p>
    <w:p>
      <w:pPr>
        <w:widowControl/>
        <w:overflowPunct w:val="0"/>
        <w:autoSpaceDE w:val="0"/>
        <w:autoSpaceDN w:val="0"/>
        <w:adjustRightInd w:val="0"/>
        <w:spacing w:line="360" w:lineRule="auto"/>
        <w:ind w:right="-180"/>
        <w:textAlignment w:val="baseline"/>
        <w:rPr>
          <w:rFonts w:hint="eastAsia" w:ascii="宋体" w:hAnsi="宋体" w:eastAsia="宋体" w:cs="宋体"/>
          <w:bCs/>
          <w:color w:val="auto"/>
          <w:sz w:val="24"/>
          <w:szCs w:val="24"/>
          <w:highlight w:val="none"/>
        </w:rPr>
      </w:pPr>
      <w:r>
        <w:rPr>
          <w:rFonts w:hint="eastAsia" w:ascii="宋体" w:hAnsi="宋体" w:cs="宋体"/>
          <w:b/>
          <w:bCs/>
          <w:color w:val="auto"/>
          <w:kern w:val="0"/>
          <w:sz w:val="24"/>
          <w:szCs w:val="24"/>
          <w:highlight w:val="none"/>
          <w:lang w:val="en-US" w:eastAsia="zh-CN"/>
        </w:rPr>
        <w:t>（项号60）</w:t>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4.2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硬盘≥1T（1024G），DVD／USB图像存储,电影回放重现单元2200帧；</w:t>
      </w:r>
    </w:p>
    <w:p>
      <w:pPr>
        <w:widowControl/>
        <w:overflowPunct w:val="0"/>
        <w:autoSpaceDE w:val="0"/>
        <w:autoSpaceDN w:val="0"/>
        <w:adjustRightInd w:val="0"/>
        <w:spacing w:line="360" w:lineRule="auto"/>
        <w:ind w:right="-180"/>
        <w:textAlignment w:val="baseline"/>
        <w:rPr>
          <w:rFonts w:hint="eastAsia" w:ascii="宋体" w:hAnsi="宋体" w:eastAsia="宋体" w:cs="宋体"/>
          <w:bCs/>
          <w:color w:val="auto"/>
          <w:sz w:val="24"/>
          <w:szCs w:val="24"/>
          <w:highlight w:val="none"/>
        </w:rPr>
      </w:pPr>
      <w:r>
        <w:rPr>
          <w:rFonts w:hint="eastAsia" w:ascii="宋体" w:hAnsi="宋体" w:cs="宋体"/>
          <w:b/>
          <w:bCs/>
          <w:color w:val="auto"/>
          <w:kern w:val="0"/>
          <w:sz w:val="24"/>
          <w:szCs w:val="24"/>
          <w:highlight w:val="none"/>
          <w:lang w:val="en-US" w:eastAsia="zh-CN"/>
        </w:rPr>
        <w:t>（项号61）</w:t>
      </w:r>
      <w:r>
        <w:rPr>
          <w:rFonts w:hint="eastAsia" w:ascii="宋体" w:hAnsi="宋体" w:cs="宋体"/>
          <w:bCs/>
          <w:color w:val="auto"/>
          <w:sz w:val="24"/>
          <w:szCs w:val="24"/>
          <w:highlight w:val="none"/>
          <w:lang w:eastAsia="zh-CN"/>
        </w:rPr>
        <w:t>2.</w:t>
      </w:r>
      <w:r>
        <w:rPr>
          <w:rFonts w:hint="eastAsia" w:ascii="宋体" w:hAnsi="宋体" w:eastAsia="宋体" w:cs="宋体"/>
          <w:bCs/>
          <w:color w:val="auto"/>
          <w:sz w:val="24"/>
          <w:szCs w:val="24"/>
          <w:highlight w:val="none"/>
        </w:rPr>
        <w:t>4.3</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具备主机硬盘图像数据存储；</w:t>
      </w:r>
    </w:p>
    <w:p>
      <w:pPr>
        <w:widowControl/>
        <w:overflowPunct w:val="0"/>
        <w:autoSpaceDE w:val="0"/>
        <w:autoSpaceDN w:val="0"/>
        <w:adjustRightInd w:val="0"/>
        <w:spacing w:line="360" w:lineRule="auto"/>
        <w:ind w:right="-180"/>
        <w:textAlignment w:val="baseline"/>
        <w:rPr>
          <w:rFonts w:hint="eastAsia" w:ascii="宋体" w:hAnsi="宋体" w:eastAsia="宋体" w:cs="宋体"/>
          <w:bCs/>
          <w:color w:val="auto"/>
          <w:sz w:val="24"/>
          <w:szCs w:val="24"/>
          <w:highlight w:val="none"/>
        </w:rPr>
      </w:pPr>
      <w:r>
        <w:rPr>
          <w:rFonts w:hint="eastAsia" w:ascii="宋体" w:hAnsi="宋体" w:cs="宋体"/>
          <w:b/>
          <w:bCs/>
          <w:color w:val="auto"/>
          <w:kern w:val="0"/>
          <w:sz w:val="24"/>
          <w:szCs w:val="24"/>
          <w:highlight w:val="none"/>
          <w:lang w:val="en-US" w:eastAsia="zh-CN"/>
        </w:rPr>
        <w:t>（项号62）</w:t>
      </w:r>
      <w:r>
        <w:rPr>
          <w:rFonts w:hint="eastAsia" w:ascii="宋体" w:hAnsi="宋体" w:cs="宋体"/>
          <w:bCs/>
          <w:color w:val="auto"/>
          <w:sz w:val="24"/>
          <w:szCs w:val="24"/>
          <w:highlight w:val="none"/>
          <w:lang w:eastAsia="zh-CN"/>
        </w:rPr>
        <w:t>2.</w:t>
      </w:r>
      <w:r>
        <w:rPr>
          <w:rFonts w:hint="eastAsia" w:ascii="宋体" w:hAnsi="宋体" w:eastAsia="宋体" w:cs="宋体"/>
          <w:bCs/>
          <w:color w:val="auto"/>
          <w:sz w:val="24"/>
          <w:szCs w:val="24"/>
          <w:highlight w:val="none"/>
        </w:rPr>
        <w:t>4.4</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病案管理单元包括病人资料、报告、图像等的存储、修改、检索和打印等；</w:t>
      </w:r>
    </w:p>
    <w:p>
      <w:pPr>
        <w:widowControl/>
        <w:overflowPunct w:val="0"/>
        <w:autoSpaceDE w:val="0"/>
        <w:autoSpaceDN w:val="0"/>
        <w:adjustRightInd w:val="0"/>
        <w:spacing w:line="360" w:lineRule="auto"/>
        <w:ind w:right="-180"/>
        <w:textAlignment w:val="baseline"/>
        <w:rPr>
          <w:rFonts w:hint="eastAsia" w:ascii="宋体" w:hAnsi="宋体" w:eastAsia="宋体" w:cs="宋体"/>
          <w:bCs/>
          <w:color w:val="auto"/>
          <w:sz w:val="24"/>
          <w:szCs w:val="24"/>
          <w:highlight w:val="none"/>
        </w:rPr>
      </w:pPr>
      <w:r>
        <w:rPr>
          <w:rFonts w:hint="eastAsia" w:ascii="宋体" w:hAnsi="宋体" w:cs="宋体"/>
          <w:b/>
          <w:bCs/>
          <w:color w:val="auto"/>
          <w:kern w:val="0"/>
          <w:sz w:val="24"/>
          <w:szCs w:val="24"/>
          <w:highlight w:val="none"/>
          <w:lang w:val="en-US" w:eastAsia="zh-CN"/>
        </w:rPr>
        <w:t>（项号63）</w:t>
      </w:r>
      <w:r>
        <w:rPr>
          <w:rFonts w:hint="eastAsia" w:ascii="宋体" w:hAnsi="宋体" w:cs="宋体"/>
          <w:bCs/>
          <w:color w:val="auto"/>
          <w:sz w:val="24"/>
          <w:szCs w:val="24"/>
          <w:highlight w:val="none"/>
          <w:lang w:eastAsia="zh-CN"/>
        </w:rPr>
        <w:t>2.</w:t>
      </w:r>
      <w:r>
        <w:rPr>
          <w:rFonts w:hint="eastAsia" w:ascii="宋体" w:hAnsi="宋体" w:eastAsia="宋体" w:cs="宋体"/>
          <w:bCs/>
          <w:color w:val="auto"/>
          <w:sz w:val="24"/>
          <w:szCs w:val="24"/>
          <w:highlight w:val="none"/>
        </w:rPr>
        <w:t>4.5</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可根据检查要求对工作站参数（存储、压缩、回放）进行编程调节；</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2.</w:t>
      </w:r>
      <w:r>
        <w:rPr>
          <w:rFonts w:hint="eastAsia" w:ascii="宋体" w:hAnsi="宋体" w:eastAsia="宋体" w:cs="宋体"/>
          <w:b/>
          <w:bCs/>
          <w:color w:val="auto"/>
          <w:sz w:val="24"/>
          <w:szCs w:val="24"/>
          <w:highlight w:val="none"/>
        </w:rPr>
        <w:t>5</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输入/输出信号：</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（项号64）</w:t>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5.1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输入：DICOM DATA</w:t>
      </w:r>
      <w:r>
        <w:rPr>
          <w:rFonts w:hint="eastAsia" w:ascii="宋体" w:hAnsi="宋体" w:cs="宋体"/>
          <w:color w:val="auto"/>
          <w:sz w:val="24"/>
          <w:szCs w:val="24"/>
          <w:highlight w:val="none"/>
          <w:lang w:eastAsia="zh-CN"/>
        </w:rPr>
        <w:t>；</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（项号65）</w:t>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5.2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输出：S-视频、DP高清数字化输出</w:t>
      </w:r>
      <w:r>
        <w:rPr>
          <w:rFonts w:hint="eastAsia" w:ascii="宋体" w:hAnsi="宋体" w:cs="宋体"/>
          <w:color w:val="auto"/>
          <w:sz w:val="24"/>
          <w:szCs w:val="24"/>
          <w:highlight w:val="none"/>
          <w:lang w:eastAsia="zh-CN"/>
        </w:rPr>
        <w:t>；</w:t>
      </w:r>
    </w:p>
    <w:p>
      <w:pPr>
        <w:widowControl/>
        <w:overflowPunct w:val="0"/>
        <w:autoSpaceDE w:val="0"/>
        <w:autoSpaceDN w:val="0"/>
        <w:adjustRightInd w:val="0"/>
        <w:spacing w:line="360" w:lineRule="auto"/>
        <w:ind w:right="-180"/>
        <w:textAlignment w:val="baseline"/>
        <w:rPr>
          <w:rFonts w:hint="eastAsia" w:ascii="宋体" w:hAnsi="宋体" w:eastAsia="宋体" w:cs="宋体"/>
          <w:bCs/>
          <w:color w:val="auto"/>
          <w:sz w:val="24"/>
          <w:szCs w:val="24"/>
          <w:highlight w:val="none"/>
          <w:lang w:eastAsia="zh-CN"/>
        </w:rPr>
      </w:pPr>
      <w:r>
        <w:rPr>
          <w:rFonts w:hint="eastAsia" w:ascii="宋体" w:hAnsi="宋体" w:cs="宋体"/>
          <w:b/>
          <w:bCs/>
          <w:color w:val="auto"/>
          <w:kern w:val="0"/>
          <w:sz w:val="24"/>
          <w:szCs w:val="24"/>
          <w:highlight w:val="none"/>
          <w:lang w:val="en-US" w:eastAsia="zh-CN"/>
        </w:rPr>
        <w:t>（项号66）</w:t>
      </w:r>
      <w:r>
        <w:rPr>
          <w:rFonts w:hint="eastAsia" w:ascii="宋体" w:hAnsi="宋体" w:cs="宋体"/>
          <w:b/>
          <w:bCs/>
          <w:color w:val="auto"/>
          <w:sz w:val="24"/>
          <w:szCs w:val="24"/>
          <w:highlight w:val="none"/>
          <w:lang w:eastAsia="zh-CN"/>
        </w:rPr>
        <w:t>2.</w:t>
      </w:r>
      <w:r>
        <w:rPr>
          <w:rFonts w:hint="eastAsia" w:ascii="宋体" w:hAnsi="宋体" w:eastAsia="宋体" w:cs="宋体"/>
          <w:b/>
          <w:bCs/>
          <w:color w:val="auto"/>
          <w:sz w:val="24"/>
          <w:szCs w:val="24"/>
          <w:highlight w:val="none"/>
        </w:rPr>
        <w:t>6</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连通性：</w:t>
      </w:r>
      <w:r>
        <w:rPr>
          <w:rFonts w:hint="eastAsia" w:ascii="宋体" w:hAnsi="宋体" w:eastAsia="宋体" w:cs="宋体"/>
          <w:bCs/>
          <w:color w:val="auto"/>
          <w:sz w:val="24"/>
          <w:szCs w:val="24"/>
          <w:highlight w:val="none"/>
        </w:rPr>
        <w:t>医学数字图像和通信 DICOM 3.0 版接口部件</w:t>
      </w:r>
      <w:r>
        <w:rPr>
          <w:rFonts w:hint="eastAsia" w:ascii="宋体" w:hAnsi="宋体" w:cs="宋体"/>
          <w:bCs/>
          <w:color w:val="auto"/>
          <w:sz w:val="24"/>
          <w:szCs w:val="24"/>
          <w:highlight w:val="none"/>
          <w:lang w:eastAsia="zh-CN"/>
        </w:rPr>
        <w:t>；</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3</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系统技术参数及要求：</w:t>
      </w:r>
    </w:p>
    <w:p>
      <w:pPr>
        <w:spacing w:line="360" w:lineRule="auto"/>
        <w:ind w:right="-180"/>
        <w:rPr>
          <w:rFonts w:hint="eastAsia" w:ascii="宋体" w:hAnsi="宋体" w:eastAsia="宋体" w:cs="宋体"/>
          <w:b/>
          <w:color w:val="auto"/>
          <w:kern w:val="0"/>
          <w:sz w:val="24"/>
          <w:szCs w:val="24"/>
          <w:highlight w:val="none"/>
        </w:rPr>
      </w:pPr>
      <w:r>
        <w:rPr>
          <w:rFonts w:hint="eastAsia" w:ascii="宋体" w:hAnsi="宋体" w:cs="宋体"/>
          <w:b/>
          <w:color w:val="auto"/>
          <w:kern w:val="0"/>
          <w:sz w:val="24"/>
          <w:szCs w:val="24"/>
          <w:highlight w:val="none"/>
          <w:lang w:eastAsia="zh-CN"/>
        </w:rPr>
        <w:t>3.</w:t>
      </w:r>
      <w:r>
        <w:rPr>
          <w:rFonts w:hint="eastAsia" w:ascii="宋体" w:hAnsi="宋体" w:eastAsia="宋体" w:cs="宋体"/>
          <w:b/>
          <w:color w:val="auto"/>
          <w:kern w:val="0"/>
          <w:sz w:val="24"/>
          <w:szCs w:val="24"/>
          <w:highlight w:val="none"/>
        </w:rPr>
        <w:t>1</w:t>
      </w:r>
      <w:r>
        <w:rPr>
          <w:rFonts w:hint="eastAsia" w:ascii="宋体" w:hAnsi="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系统通用功能：</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（项号67）</w:t>
      </w: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1.1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HD MAX WLED分辨率液晶显示器≥23.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寸, 分辨率1920×1080，无闪烁，不间断逐行扫描，可上下左右任意旋转，可前后折叠。</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highlight w:val="none"/>
          <w:lang w:val="en-US" w:eastAsia="zh-CN"/>
        </w:rPr>
        <w:t>（项号68）</w:t>
      </w: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1.2</w:t>
      </w:r>
      <w:r>
        <w:rPr>
          <w:rFonts w:hint="eastAsia" w:ascii="宋体" w:hAnsi="宋体" w:cs="宋体"/>
          <w:color w:val="auto"/>
          <w:kern w:val="0"/>
          <w:sz w:val="24"/>
          <w:szCs w:val="24"/>
          <w:highlight w:val="none"/>
          <w:lang w:eastAsia="zh-CN"/>
        </w:rPr>
        <w:t>、</w:t>
      </w:r>
      <w:r>
        <w:rPr>
          <w:rFonts w:hint="eastAsia" w:ascii="宋体" w:hAnsi="宋体" w:eastAsia="宋体" w:cs="宋体"/>
          <w:color w:val="auto"/>
          <w:sz w:val="24"/>
          <w:szCs w:val="24"/>
          <w:highlight w:val="none"/>
        </w:rPr>
        <w:t>操作面板具备液晶触摸屏≥12英寸,可通过手指滑动触摸屏进行翻页，直接点击触摸屏即可选择需要调节的参数，操作面板可上下左右进行高度调整及旋转，最大旋转角度达720度。</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（项号69）</w:t>
      </w: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1.3</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探头接口选择：</w:t>
      </w:r>
      <w:r>
        <w:rPr>
          <w:rFonts w:hint="eastAsia" w:ascii="宋体" w:hAnsi="宋体" w:eastAsia="宋体" w:cs="宋体"/>
          <w:color w:val="auto"/>
          <w:sz w:val="24"/>
          <w:szCs w:val="24"/>
          <w:highlight w:val="none"/>
        </w:rPr>
        <w:t>≥</w:t>
      </w:r>
      <w:bookmarkStart w:id="5" w:name="_GoBack"/>
      <w:bookmarkEnd w:id="5"/>
      <w:r>
        <w:rPr>
          <w:rFonts w:hint="eastAsia" w:ascii="宋体" w:hAnsi="宋体" w:eastAsia="宋体" w:cs="宋体"/>
          <w:color w:val="auto"/>
          <w:kern w:val="0"/>
          <w:sz w:val="24"/>
          <w:szCs w:val="24"/>
          <w:highlight w:val="none"/>
        </w:rPr>
        <w:t>4个，微型非针式，并激活可互换通用，接口需具备照明系统方便在暗室环境更换探头</w:t>
      </w:r>
      <w:r>
        <w:rPr>
          <w:rFonts w:hint="eastAsia" w:ascii="宋体" w:hAnsi="宋体" w:cs="宋体"/>
          <w:color w:val="auto"/>
          <w:kern w:val="0"/>
          <w:sz w:val="24"/>
          <w:szCs w:val="24"/>
          <w:highlight w:val="none"/>
          <w:lang w:eastAsia="zh-CN"/>
        </w:rPr>
        <w:t>。</w:t>
      </w:r>
    </w:p>
    <w:p>
      <w:pPr>
        <w:widowControl/>
        <w:overflowPunct w:val="0"/>
        <w:autoSpaceDE w:val="0"/>
        <w:autoSpaceDN w:val="0"/>
        <w:adjustRightInd w:val="0"/>
        <w:spacing w:line="360" w:lineRule="auto"/>
        <w:ind w:right="-181"/>
        <w:textAlignment w:val="baseline"/>
        <w:rPr>
          <w:rFonts w:hint="eastAsia" w:ascii="宋体" w:hAnsi="宋体" w:eastAsia="宋体" w:cs="宋体"/>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（项号70）</w:t>
      </w: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1.4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预设条件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针对不同的检查脏器,预置最佳化图像的检查条件,减少操作时的调节,及常用所需的外部调节及组合调节</w:t>
      </w:r>
      <w:r>
        <w:rPr>
          <w:rFonts w:hint="eastAsia" w:ascii="宋体" w:hAnsi="宋体" w:cs="宋体"/>
          <w:color w:val="auto"/>
          <w:sz w:val="24"/>
          <w:szCs w:val="24"/>
          <w:highlight w:val="none"/>
          <w:lang w:eastAsia="zh-CN"/>
        </w:rPr>
        <w:t>。</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b/>
          <w:color w:val="auto"/>
          <w:kern w:val="0"/>
          <w:sz w:val="24"/>
          <w:szCs w:val="24"/>
          <w:highlight w:val="none"/>
        </w:rPr>
      </w:pPr>
      <w:r>
        <w:rPr>
          <w:rFonts w:hint="eastAsia" w:ascii="宋体" w:hAnsi="宋体" w:cs="宋体"/>
          <w:b/>
          <w:color w:val="auto"/>
          <w:kern w:val="0"/>
          <w:sz w:val="24"/>
          <w:szCs w:val="24"/>
          <w:highlight w:val="none"/>
          <w:lang w:eastAsia="zh-CN"/>
        </w:rPr>
        <w:t>3.</w:t>
      </w:r>
      <w:r>
        <w:rPr>
          <w:rFonts w:hint="eastAsia" w:ascii="宋体" w:hAnsi="宋体" w:eastAsia="宋体" w:cs="宋体"/>
          <w:b/>
          <w:color w:val="auto"/>
          <w:kern w:val="0"/>
          <w:sz w:val="24"/>
          <w:szCs w:val="24"/>
          <w:highlight w:val="none"/>
        </w:rPr>
        <w:t>2</w:t>
      </w:r>
      <w:r>
        <w:rPr>
          <w:rFonts w:hint="eastAsia" w:ascii="宋体" w:hAnsi="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探头规格</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kern w:val="0"/>
          <w:sz w:val="24"/>
          <w:szCs w:val="24"/>
          <w:highlight w:val="none"/>
          <w:lang w:eastAsia="zh-CN"/>
        </w:rPr>
      </w:pPr>
      <w:bookmarkStart w:id="3" w:name="_Hlk42635595"/>
      <w:r>
        <w:rPr>
          <w:rFonts w:hint="eastAsia" w:ascii="宋体" w:hAnsi="宋体" w:cs="宋体"/>
          <w:b/>
          <w:bCs/>
          <w:color w:val="auto"/>
          <w:kern w:val="0"/>
          <w:sz w:val="24"/>
          <w:szCs w:val="24"/>
          <w:highlight w:val="none"/>
          <w:lang w:val="en-US" w:eastAsia="zh-CN"/>
        </w:rPr>
        <w:t>（项号71）</w:t>
      </w: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2.1</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频率：</w:t>
      </w:r>
      <w:r>
        <w:rPr>
          <w:rFonts w:hint="eastAsia" w:ascii="宋体" w:hAnsi="宋体" w:eastAsia="宋体" w:cs="宋体"/>
          <w:color w:val="auto"/>
          <w:sz w:val="24"/>
          <w:szCs w:val="24"/>
          <w:highlight w:val="none"/>
        </w:rPr>
        <w:t>超宽频带探头，最高频率≥</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MHz, 从1MHz</w:t>
      </w:r>
      <w:r>
        <w:rPr>
          <w:rFonts w:hint="default" w:ascii="宋体" w:hAnsi="宋体" w:eastAsia="宋体" w:cs="宋体"/>
          <w:color w:val="auto"/>
          <w:sz w:val="24"/>
          <w:szCs w:val="24"/>
          <w:highlight w:val="none"/>
          <w:lang w:val="en-US"/>
        </w:rPr>
        <w:t>到</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MHz</w:t>
      </w:r>
      <w:r>
        <w:rPr>
          <w:rFonts w:hint="eastAsia" w:ascii="宋体" w:hAnsi="宋体" w:cs="宋体"/>
          <w:color w:val="auto"/>
          <w:sz w:val="24"/>
          <w:szCs w:val="24"/>
          <w:highlight w:val="none"/>
          <w:lang w:eastAsia="zh-CN"/>
        </w:rPr>
        <w:t>。</w:t>
      </w:r>
    </w:p>
    <w:bookmarkEnd w:id="3"/>
    <w:p>
      <w:pPr>
        <w:widowControl/>
        <w:overflowPunct w:val="0"/>
        <w:autoSpaceDE w:val="0"/>
        <w:autoSpaceDN w:val="0"/>
        <w:adjustRightInd w:val="0"/>
        <w:spacing w:line="360" w:lineRule="auto"/>
        <w:ind w:right="-180"/>
        <w:textAlignment w:val="baseline"/>
        <w:rPr>
          <w:rFonts w:hint="eastAsia" w:ascii="宋体" w:hAnsi="宋体" w:eastAsia="宋体" w:cs="宋体"/>
          <w:color w:val="auto"/>
          <w:kern w:val="0"/>
          <w:sz w:val="24"/>
          <w:szCs w:val="24"/>
          <w:highlight w:val="none"/>
        </w:rPr>
      </w:pPr>
      <w:bookmarkStart w:id="4" w:name="_Hlk42635661"/>
      <w:r>
        <w:rPr>
          <w:rFonts w:hint="eastAsia" w:ascii="宋体" w:hAnsi="宋体" w:cs="宋体"/>
          <w:b/>
          <w:bCs/>
          <w:color w:val="auto"/>
          <w:kern w:val="0"/>
          <w:sz w:val="24"/>
          <w:szCs w:val="24"/>
          <w:highlight w:val="none"/>
          <w:lang w:val="en-US" w:eastAsia="zh-CN"/>
        </w:rPr>
        <w:t>（项号72）</w:t>
      </w: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2.2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二维、彩色多普勒均可独立变频</w:t>
      </w:r>
      <w:r>
        <w:rPr>
          <w:rFonts w:hint="eastAsia" w:ascii="宋体" w:hAnsi="宋体" w:eastAsia="宋体" w:cs="宋体"/>
          <w:color w:val="auto"/>
          <w:kern w:val="0"/>
          <w:sz w:val="24"/>
          <w:szCs w:val="24"/>
          <w:highlight w:val="none"/>
        </w:rPr>
        <w:t>；</w:t>
      </w:r>
    </w:p>
    <w:bookmarkEnd w:id="4"/>
    <w:p>
      <w:pPr>
        <w:widowControl/>
        <w:overflowPunct w:val="0"/>
        <w:autoSpaceDE w:val="0"/>
        <w:autoSpaceDN w:val="0"/>
        <w:adjustRightInd w:val="0"/>
        <w:spacing w:line="360" w:lineRule="auto"/>
        <w:ind w:right="-180"/>
        <w:textAlignment w:val="baseline"/>
        <w:rPr>
          <w:rFonts w:hint="eastAsia" w:ascii="宋体" w:hAnsi="宋体" w:eastAsia="宋体" w:cs="宋体"/>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（项号73）</w:t>
      </w: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2.3</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类型：电子相控阵、线阵、凸阵</w:t>
      </w:r>
      <w:r>
        <w:rPr>
          <w:rFonts w:hint="eastAsia" w:ascii="宋体" w:hAnsi="宋体" w:cs="宋体"/>
          <w:color w:val="auto"/>
          <w:kern w:val="0"/>
          <w:sz w:val="24"/>
          <w:szCs w:val="24"/>
          <w:highlight w:val="none"/>
          <w:lang w:eastAsia="zh-CN"/>
        </w:rPr>
        <w:t>；</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w:t>
      </w:r>
      <w:r>
        <w:rPr>
          <w:rFonts w:hint="eastAsia" w:ascii="宋体" w:hAnsi="宋体" w:cs="宋体"/>
          <w:b/>
          <w:color w:val="auto"/>
          <w:sz w:val="24"/>
          <w:szCs w:val="24"/>
          <w:highlight w:val="none"/>
          <w:lang w:eastAsia="zh-CN"/>
        </w:rPr>
        <w:t>▲</w:t>
      </w:r>
      <w:r>
        <w:rPr>
          <w:rFonts w:hint="eastAsia" w:ascii="宋体" w:hAnsi="宋体" w:cs="宋体"/>
          <w:b/>
          <w:bCs/>
          <w:color w:val="auto"/>
          <w:kern w:val="0"/>
          <w:sz w:val="24"/>
          <w:szCs w:val="24"/>
          <w:highlight w:val="none"/>
          <w:lang w:val="en-US" w:eastAsia="zh-CN"/>
        </w:rPr>
        <w:t>项号74）</w:t>
      </w: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2.4</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可选纯净波探头≥13把，具有腹部、浅表、心脏、腔内、经食道、腹部容积全面纯净波单晶体探头支持</w:t>
      </w:r>
      <w:r>
        <w:rPr>
          <w:rFonts w:hint="eastAsia" w:ascii="宋体" w:hAnsi="宋体" w:cs="宋体"/>
          <w:color w:val="auto"/>
          <w:kern w:val="0"/>
          <w:sz w:val="24"/>
          <w:szCs w:val="24"/>
          <w:highlight w:val="none"/>
          <w:lang w:eastAsia="zh-CN"/>
        </w:rPr>
        <w:t>；</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w:t>
      </w:r>
      <w:r>
        <w:rPr>
          <w:rFonts w:hint="eastAsia" w:ascii="宋体" w:hAnsi="宋体" w:cs="宋体"/>
          <w:color w:val="auto"/>
          <w:sz w:val="24"/>
          <w:szCs w:val="24"/>
          <w:highlight w:val="none"/>
          <w:lang w:eastAsia="zh-CN"/>
        </w:rPr>
        <w:t>★</w:t>
      </w:r>
      <w:r>
        <w:rPr>
          <w:rFonts w:hint="eastAsia" w:ascii="宋体" w:hAnsi="宋体" w:cs="宋体"/>
          <w:b/>
          <w:bCs/>
          <w:color w:val="auto"/>
          <w:kern w:val="0"/>
          <w:sz w:val="24"/>
          <w:szCs w:val="24"/>
          <w:highlight w:val="none"/>
          <w:lang w:val="en-US" w:eastAsia="zh-CN"/>
        </w:rPr>
        <w:t>项号75）</w:t>
      </w: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腹部凸阵探头（1.0-5.0MHz）</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心脏相控阵</w:t>
      </w:r>
      <w:r>
        <w:rPr>
          <w:rFonts w:hint="eastAsia" w:ascii="宋体" w:hAnsi="宋体" w:eastAsia="宋体" w:cs="宋体"/>
          <w:color w:val="auto"/>
          <w:sz w:val="24"/>
          <w:szCs w:val="24"/>
          <w:highlight w:val="none"/>
        </w:rPr>
        <w:t>探头（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.0MHz）</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血管/小器官线阵探头（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.0-12.0MHz）</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高频线阵</w:t>
      </w:r>
      <w:r>
        <w:rPr>
          <w:rFonts w:hint="eastAsia" w:ascii="宋体" w:hAnsi="宋体" w:eastAsia="宋体" w:cs="宋体"/>
          <w:color w:val="auto"/>
          <w:sz w:val="24"/>
          <w:szCs w:val="24"/>
          <w:highlight w:val="none"/>
        </w:rPr>
        <w:t>探头（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.0MHz）</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腔内微</w:t>
      </w:r>
      <w:r>
        <w:rPr>
          <w:rFonts w:hint="eastAsia" w:ascii="宋体" w:hAnsi="宋体" w:eastAsia="宋体" w:cs="宋体"/>
          <w:color w:val="auto"/>
          <w:sz w:val="24"/>
          <w:szCs w:val="24"/>
          <w:highlight w:val="none"/>
        </w:rPr>
        <w:t>凸探头（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.0MHz）</w:t>
      </w:r>
      <w:r>
        <w:rPr>
          <w:rFonts w:hint="eastAsia" w:ascii="宋体" w:hAnsi="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（项号76）</w:t>
      </w: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6</w:t>
      </w:r>
      <w:r>
        <w:rPr>
          <w:rFonts w:hint="eastAsia" w:ascii="宋体" w:hAnsi="宋体" w:cs="宋体"/>
          <w:color w:val="auto"/>
          <w:kern w:val="0"/>
          <w:sz w:val="24"/>
          <w:szCs w:val="24"/>
          <w:highlight w:val="none"/>
          <w:lang w:eastAsia="zh-CN"/>
        </w:rPr>
        <w:t>、</w:t>
      </w:r>
      <w:r>
        <w:rPr>
          <w:rFonts w:hint="eastAsia" w:ascii="宋体" w:hAnsi="宋体" w:eastAsia="宋体" w:cs="宋体"/>
          <w:color w:val="auto"/>
          <w:sz w:val="24"/>
          <w:szCs w:val="24"/>
          <w:highlight w:val="none"/>
        </w:rPr>
        <w:t>扫描深度≥40cm</w:t>
      </w:r>
      <w:r>
        <w:rPr>
          <w:rFonts w:hint="eastAsia" w:ascii="宋体" w:hAnsi="宋体" w:cs="宋体"/>
          <w:color w:val="auto"/>
          <w:sz w:val="24"/>
          <w:szCs w:val="24"/>
          <w:highlight w:val="none"/>
          <w:lang w:eastAsia="zh-CN"/>
        </w:rPr>
        <w:t>；</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（项号77）</w:t>
      </w: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7</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B/D 兼用：电子线阵：B/PWD、电子凸阵：B/PWD</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电子微凸阵：B/PWD</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电子相控阵：B/PWD、B/CWD</w:t>
      </w:r>
      <w:r>
        <w:rPr>
          <w:rFonts w:hint="eastAsia" w:ascii="宋体" w:hAnsi="宋体" w:cs="宋体"/>
          <w:color w:val="auto"/>
          <w:kern w:val="0"/>
          <w:sz w:val="24"/>
          <w:szCs w:val="24"/>
          <w:highlight w:val="none"/>
          <w:lang w:eastAsia="zh-CN"/>
        </w:rPr>
        <w:t>。</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highlight w:val="none"/>
          <w:lang w:val="en-US" w:eastAsia="zh-CN"/>
        </w:rPr>
        <w:t>（项号78）</w:t>
      </w: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8</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穿刺导向：探头可配穿刺导向装置；</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highlight w:val="none"/>
          <w:lang w:val="en-US" w:eastAsia="zh-CN"/>
        </w:rPr>
        <w:t>（项号79）</w:t>
      </w:r>
      <w:r>
        <w:rPr>
          <w:rFonts w:hint="eastAsia" w:ascii="宋体" w:hAnsi="宋体" w:cs="宋体"/>
          <w:b/>
          <w:color w:val="auto"/>
          <w:kern w:val="0"/>
          <w:sz w:val="24"/>
          <w:szCs w:val="24"/>
          <w:highlight w:val="none"/>
          <w:lang w:eastAsia="zh-CN"/>
        </w:rPr>
        <w:t>3.</w:t>
      </w:r>
      <w:r>
        <w:rPr>
          <w:rFonts w:hint="eastAsia" w:ascii="宋体" w:hAnsi="宋体" w:eastAsia="宋体" w:cs="宋体"/>
          <w:b/>
          <w:color w:val="auto"/>
          <w:kern w:val="0"/>
          <w:sz w:val="24"/>
          <w:szCs w:val="24"/>
          <w:highlight w:val="none"/>
        </w:rPr>
        <w:t>3</w:t>
      </w:r>
      <w:r>
        <w:rPr>
          <w:rFonts w:hint="eastAsia" w:ascii="宋体" w:hAnsi="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二维显像主要参数：</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3.1</w:t>
      </w:r>
      <w:r>
        <w:rPr>
          <w:rFonts w:hint="eastAsia" w:ascii="宋体" w:hAnsi="宋体" w:cs="宋体"/>
          <w:color w:val="auto"/>
          <w:kern w:val="0"/>
          <w:sz w:val="24"/>
          <w:szCs w:val="24"/>
          <w:highlight w:val="none"/>
          <w:lang w:eastAsia="zh-CN"/>
        </w:rPr>
        <w:t>、</w:t>
      </w:r>
      <w:r>
        <w:rPr>
          <w:rFonts w:hint="eastAsia" w:ascii="宋体" w:hAnsi="宋体" w:eastAsia="宋体" w:cs="宋体"/>
          <w:color w:val="auto"/>
          <w:sz w:val="24"/>
          <w:szCs w:val="24"/>
          <w:highlight w:val="none"/>
        </w:rPr>
        <w:t>成像速度：相控阵探头，85°角,18CM深度时,帧速度≥58帧/秒</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凸阵探头, 85°角,18CM深度时,帧速度≥45帧/秒</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扫描线：每帧线密度≥320超声线</w:t>
      </w:r>
      <w:r>
        <w:rPr>
          <w:rFonts w:hint="eastAsia" w:ascii="宋体" w:hAnsi="宋体" w:cs="宋体"/>
          <w:color w:val="auto"/>
          <w:sz w:val="24"/>
          <w:szCs w:val="24"/>
          <w:highlight w:val="none"/>
          <w:lang w:eastAsia="zh-CN"/>
        </w:rPr>
        <w:t>。</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3.2</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增益调节：TGC增益补偿</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8 段，LGC侧向增益补偿≥8 段，B/M 可独立调节；</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3.3</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高分辨率放大：放大时增加信息量，提高分辨率及帧率；</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声束聚焦：发射及接收全程连续聚焦</w:t>
      </w:r>
      <w:r>
        <w:rPr>
          <w:rFonts w:hint="eastAsia" w:ascii="宋体" w:hAnsi="宋体" w:cs="宋体"/>
          <w:color w:val="auto"/>
          <w:kern w:val="0"/>
          <w:sz w:val="24"/>
          <w:szCs w:val="24"/>
          <w:highlight w:val="none"/>
          <w:lang w:eastAsia="zh-CN"/>
        </w:rPr>
        <w:t>；</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接收方式：独立接收和发射通道数, 多倍信号并行处理；</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接收超声信号系统动态范围</w:t>
      </w:r>
      <w:r>
        <w:rPr>
          <w:rFonts w:hint="eastAsia" w:ascii="宋体" w:hAnsi="宋体" w:eastAsia="宋体" w:cs="宋体"/>
          <w:color w:val="auto"/>
          <w:sz w:val="24"/>
          <w:szCs w:val="24"/>
          <w:highlight w:val="none"/>
        </w:rPr>
        <w:t>≥320</w:t>
      </w:r>
      <w:r>
        <w:rPr>
          <w:rFonts w:hint="eastAsia" w:ascii="宋体" w:hAnsi="宋体" w:eastAsia="宋体" w:cs="宋体"/>
          <w:color w:val="auto"/>
          <w:kern w:val="0"/>
          <w:sz w:val="24"/>
          <w:szCs w:val="24"/>
          <w:highlight w:val="none"/>
        </w:rPr>
        <w:t xml:space="preserve"> dB</w:t>
      </w:r>
      <w:r>
        <w:rPr>
          <w:rFonts w:hint="eastAsia" w:ascii="宋体" w:hAnsi="宋体" w:eastAsia="宋体" w:cs="宋体"/>
          <w:color w:val="auto"/>
          <w:kern w:val="0"/>
          <w:sz w:val="24"/>
          <w:szCs w:val="24"/>
          <w:highlight w:val="none"/>
          <w:lang w:eastAsia="zh-CN"/>
        </w:rPr>
        <w:t>。</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b/>
          <w:color w:val="auto"/>
          <w:kern w:val="0"/>
          <w:sz w:val="24"/>
          <w:szCs w:val="24"/>
          <w:highlight w:val="none"/>
        </w:rPr>
      </w:pPr>
      <w:r>
        <w:rPr>
          <w:rFonts w:hint="eastAsia" w:ascii="宋体" w:hAnsi="宋体" w:cs="宋体"/>
          <w:b/>
          <w:color w:val="auto"/>
          <w:kern w:val="0"/>
          <w:sz w:val="24"/>
          <w:szCs w:val="24"/>
          <w:highlight w:val="none"/>
          <w:lang w:eastAsia="zh-CN"/>
        </w:rPr>
        <w:t>3.</w:t>
      </w:r>
      <w:r>
        <w:rPr>
          <w:rFonts w:hint="eastAsia" w:ascii="宋体" w:hAnsi="宋体" w:eastAsia="宋体" w:cs="宋体"/>
          <w:b/>
          <w:color w:val="auto"/>
          <w:kern w:val="0"/>
          <w:sz w:val="24"/>
          <w:szCs w:val="24"/>
          <w:highlight w:val="none"/>
        </w:rPr>
        <w:t>4</w:t>
      </w:r>
      <w:r>
        <w:rPr>
          <w:rFonts w:hint="eastAsia" w:ascii="宋体" w:hAnsi="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频谱多普勒：</w:t>
      </w:r>
    </w:p>
    <w:p>
      <w:pPr>
        <w:widowControl/>
        <w:overflowPunct w:val="0"/>
        <w:autoSpaceDE w:val="0"/>
        <w:autoSpaceDN w:val="0"/>
        <w:adjustRightInd w:val="0"/>
        <w:spacing w:line="360" w:lineRule="auto"/>
        <w:ind w:right="-181"/>
        <w:jc w:val="left"/>
        <w:textAlignment w:val="baseline"/>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highlight w:val="none"/>
          <w:lang w:val="en-US" w:eastAsia="zh-CN"/>
        </w:rPr>
        <w:t>（项号80）</w:t>
      </w: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4.1</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显示模式：脉冲多普勒 (PWD)、高脉冲重复频率 (HPRF)、连续波多普勒（CW）；</w:t>
      </w:r>
    </w:p>
    <w:p>
      <w:pPr>
        <w:pStyle w:val="3"/>
        <w:spacing w:line="360" w:lineRule="auto"/>
        <w:rPr>
          <w:rFonts w:hint="eastAsia" w:ascii="宋体" w:hAnsi="宋体" w:eastAsia="宋体" w:cs="宋体"/>
          <w:color w:val="auto"/>
          <w:sz w:val="24"/>
          <w:szCs w:val="24"/>
          <w:highlight w:val="none"/>
          <w:lang w:eastAsia="zh-CN"/>
        </w:rPr>
      </w:pPr>
      <w:r>
        <w:rPr>
          <w:rFonts w:hint="eastAsia" w:ascii="宋体" w:hAnsi="宋体" w:cs="宋体"/>
          <w:b/>
          <w:bCs/>
          <w:color w:val="auto"/>
          <w:kern w:val="0"/>
          <w:sz w:val="24"/>
          <w:szCs w:val="24"/>
          <w:highlight w:val="none"/>
          <w:lang w:val="en-US" w:eastAsia="zh-CN"/>
        </w:rPr>
        <w:t>（</w:t>
      </w:r>
      <w:r>
        <w:rPr>
          <w:rFonts w:hint="eastAsia" w:hAnsi="宋体" w:cs="宋体"/>
          <w:b/>
          <w:bCs/>
          <w:color w:val="auto"/>
          <w:kern w:val="0"/>
          <w:sz w:val="24"/>
          <w:szCs w:val="24"/>
          <w:highlight w:val="none"/>
          <w:lang w:val="en-US" w:eastAsia="zh-CN"/>
        </w:rPr>
        <w:t>项号</w:t>
      </w:r>
      <w:r>
        <w:rPr>
          <w:rFonts w:hint="eastAsia" w:ascii="宋体" w:hAnsi="宋体" w:cs="宋体"/>
          <w:b/>
          <w:bCs/>
          <w:color w:val="auto"/>
          <w:kern w:val="0"/>
          <w:sz w:val="24"/>
          <w:szCs w:val="24"/>
          <w:highlight w:val="none"/>
          <w:lang w:val="en-US" w:eastAsia="zh-CN"/>
        </w:rPr>
        <w:t>8</w:t>
      </w:r>
      <w:r>
        <w:rPr>
          <w:rFonts w:hint="eastAsia" w:hAnsi="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val="en-US" w:eastAsia="zh-CN"/>
        </w:rPr>
        <w:t>）</w:t>
      </w:r>
      <w:r>
        <w:rPr>
          <w:rFonts w:hint="eastAsia" w:hAnsi="宋体" w:cs="宋体"/>
          <w:color w:val="auto"/>
          <w:sz w:val="24"/>
          <w:szCs w:val="24"/>
          <w:highlight w:val="none"/>
          <w:lang w:eastAsia="zh-CN"/>
        </w:rPr>
        <w:t>3.</w:t>
      </w:r>
      <w:r>
        <w:rPr>
          <w:rFonts w:hint="eastAsia" w:ascii="宋体" w:hAnsi="宋体" w:eastAsia="宋体" w:cs="宋体"/>
          <w:color w:val="auto"/>
          <w:sz w:val="24"/>
          <w:szCs w:val="24"/>
          <w:highlight w:val="none"/>
        </w:rPr>
        <w:t>4.2</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发射频率</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电子相控阵</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PWD,CWD1.6-1.8MHz</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电子凸阵</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PWD</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2.0-2.2MHz</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电子线阵</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PWD</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5.75-7.0MHz</w:t>
      </w:r>
      <w:r>
        <w:rPr>
          <w:rFonts w:hint="eastAsia" w:hAnsi="宋体" w:cs="宋体"/>
          <w:color w:val="auto"/>
          <w:sz w:val="24"/>
          <w:szCs w:val="24"/>
          <w:highlight w:val="none"/>
          <w:lang w:eastAsia="zh-CN"/>
        </w:rPr>
        <w:t>。</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highlight w:val="none"/>
          <w:lang w:val="en-US" w:eastAsia="zh-CN"/>
        </w:rPr>
        <w:t>（项号82）</w:t>
      </w: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4.3</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显示方式：B/D、M/D、D、B/CDV、B/CPA、B/CDV/PW；B/CPA/PW；B/CDV/CW；</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（项号83）</w:t>
      </w: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4.4</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最大测量速度：PWD</w:t>
      </w:r>
      <w:r>
        <w:rPr>
          <w:rFonts w:hint="eastAsia" w:ascii="宋体" w:hAnsi="宋体" w:eastAsia="宋体" w:cs="宋体"/>
          <w:color w:val="auto"/>
          <w:sz w:val="24"/>
          <w:szCs w:val="24"/>
          <w:highlight w:val="none"/>
        </w:rPr>
        <w:t>正或反向血流速度</w:t>
      </w:r>
      <w:r>
        <w:rPr>
          <w:rFonts w:hint="eastAsia" w:ascii="宋体" w:hAnsi="宋体" w:eastAsia="宋体" w:cs="宋体"/>
          <w:color w:val="auto"/>
          <w:kern w:val="0"/>
          <w:sz w:val="24"/>
          <w:szCs w:val="24"/>
          <w:highlight w:val="none"/>
        </w:rPr>
        <w:t>：≥10.0 m/s（0度夹角）；</w:t>
      </w:r>
      <w:r>
        <w:rPr>
          <w:rFonts w:hint="eastAsia" w:ascii="宋体" w:hAnsi="宋体" w:eastAsia="宋体" w:cs="宋体"/>
          <w:color w:val="auto"/>
          <w:sz w:val="24"/>
          <w:szCs w:val="24"/>
          <w:highlight w:val="none"/>
        </w:rPr>
        <w:t>CWD</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血流速度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28.0m/s</w:t>
      </w:r>
      <w:r>
        <w:rPr>
          <w:rFonts w:hint="eastAsia" w:ascii="宋体" w:hAnsi="宋体" w:eastAsia="宋体" w:cs="宋体"/>
          <w:color w:val="auto"/>
          <w:sz w:val="24"/>
          <w:szCs w:val="24"/>
          <w:highlight w:val="none"/>
          <w:lang w:eastAsia="zh-CN"/>
        </w:rPr>
        <w:t>；</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highlight w:val="none"/>
          <w:lang w:val="en-US" w:eastAsia="zh-CN"/>
        </w:rPr>
        <w:t>（</w:t>
      </w:r>
      <w:r>
        <w:rPr>
          <w:rFonts w:hint="eastAsia" w:ascii="宋体" w:hAnsi="宋体" w:cs="宋体"/>
          <w:color w:val="auto"/>
          <w:sz w:val="24"/>
          <w:szCs w:val="24"/>
          <w:highlight w:val="none"/>
          <w:lang w:eastAsia="zh-CN"/>
        </w:rPr>
        <w:t>▲</w:t>
      </w:r>
      <w:r>
        <w:rPr>
          <w:rFonts w:hint="eastAsia" w:ascii="宋体" w:hAnsi="宋体" w:cs="宋体"/>
          <w:b/>
          <w:bCs/>
          <w:color w:val="auto"/>
          <w:kern w:val="0"/>
          <w:sz w:val="24"/>
          <w:szCs w:val="24"/>
          <w:highlight w:val="none"/>
          <w:lang w:val="en-US" w:eastAsia="zh-CN"/>
        </w:rPr>
        <w:t>项号84）</w:t>
      </w: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4.5</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最低测量速度：≤0.25mm/s (非噪音信号)；</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highlight w:val="none"/>
          <w:lang w:val="en-US" w:eastAsia="zh-CN"/>
        </w:rPr>
        <w:t>（项号85）</w:t>
      </w: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4.6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Doppler及M型</w:t>
      </w:r>
      <w:r>
        <w:rPr>
          <w:rFonts w:hint="eastAsia" w:ascii="宋体" w:hAnsi="宋体" w:eastAsia="宋体" w:cs="宋体"/>
          <w:color w:val="auto"/>
          <w:kern w:val="0"/>
          <w:sz w:val="24"/>
          <w:szCs w:val="24"/>
          <w:highlight w:val="none"/>
        </w:rPr>
        <w:t>电影回放：</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48秒；</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highlight w:val="none"/>
          <w:lang w:val="en-US" w:eastAsia="zh-CN"/>
        </w:rPr>
        <w:t>（项号86）</w:t>
      </w: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4.7</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滤波器：高通滤波或低通滤波两种，分级选择；</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highlight w:val="none"/>
          <w:lang w:val="en-US" w:eastAsia="zh-CN"/>
        </w:rPr>
        <w:t>（</w:t>
      </w:r>
      <w:r>
        <w:rPr>
          <w:rFonts w:hint="eastAsia" w:ascii="宋体" w:hAnsi="宋体" w:cs="宋体"/>
          <w:color w:val="auto"/>
          <w:sz w:val="24"/>
          <w:szCs w:val="24"/>
          <w:highlight w:val="none"/>
          <w:lang w:eastAsia="zh-CN"/>
        </w:rPr>
        <w:t>▲</w:t>
      </w:r>
      <w:r>
        <w:rPr>
          <w:rFonts w:hint="eastAsia" w:ascii="宋体" w:hAnsi="宋体" w:cs="宋体"/>
          <w:b/>
          <w:bCs/>
          <w:color w:val="auto"/>
          <w:kern w:val="0"/>
          <w:sz w:val="24"/>
          <w:szCs w:val="24"/>
          <w:highlight w:val="none"/>
          <w:lang w:val="en-US" w:eastAsia="zh-CN"/>
        </w:rPr>
        <w:t>项号87）</w:t>
      </w: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4.8</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取样宽度及位置范围：宽度 0.5mm</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20mm多级可调；</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highlight w:val="none"/>
          <w:lang w:val="en-US" w:eastAsia="zh-CN"/>
        </w:rPr>
        <w:t>（项号88）</w:t>
      </w: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4.9</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零位移动：</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9级；</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highlight w:val="none"/>
          <w:lang w:val="en-US" w:eastAsia="zh-CN"/>
        </w:rPr>
        <w:t>（项号89）</w:t>
      </w: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4.1</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显示控制：反转显示 (上/下)、零移位、B-刷新、D 扩展、B/D 扩展，局放及移位；</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（项号90）</w:t>
      </w: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4.11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实时自动包络频谱并完成频谱测量计算</w:t>
      </w:r>
      <w:r>
        <w:rPr>
          <w:rFonts w:hint="eastAsia" w:ascii="宋体" w:hAnsi="宋体" w:cs="宋体"/>
          <w:color w:val="auto"/>
          <w:sz w:val="24"/>
          <w:szCs w:val="24"/>
          <w:highlight w:val="none"/>
          <w:lang w:eastAsia="zh-CN"/>
        </w:rPr>
        <w:t>。</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b/>
          <w:color w:val="auto"/>
          <w:kern w:val="0"/>
          <w:sz w:val="24"/>
          <w:szCs w:val="24"/>
          <w:highlight w:val="none"/>
        </w:rPr>
      </w:pPr>
      <w:r>
        <w:rPr>
          <w:rFonts w:hint="eastAsia" w:ascii="宋体" w:hAnsi="宋体" w:cs="宋体"/>
          <w:b/>
          <w:bCs/>
          <w:color w:val="auto"/>
          <w:kern w:val="0"/>
          <w:sz w:val="24"/>
          <w:szCs w:val="24"/>
          <w:highlight w:val="none"/>
          <w:lang w:val="en-US" w:eastAsia="zh-CN"/>
        </w:rPr>
        <w:t>（项号91）</w:t>
      </w:r>
      <w:r>
        <w:rPr>
          <w:rFonts w:hint="eastAsia" w:ascii="宋体" w:hAnsi="宋体" w:cs="宋体"/>
          <w:b/>
          <w:color w:val="auto"/>
          <w:kern w:val="0"/>
          <w:sz w:val="24"/>
          <w:szCs w:val="24"/>
          <w:highlight w:val="none"/>
          <w:lang w:eastAsia="zh-CN"/>
        </w:rPr>
        <w:t>3.</w:t>
      </w:r>
      <w:r>
        <w:rPr>
          <w:rFonts w:hint="eastAsia" w:ascii="宋体" w:hAnsi="宋体" w:eastAsia="宋体" w:cs="宋体"/>
          <w:b/>
          <w:color w:val="auto"/>
          <w:kern w:val="0"/>
          <w:sz w:val="24"/>
          <w:szCs w:val="24"/>
          <w:highlight w:val="none"/>
        </w:rPr>
        <w:t>5</w:t>
      </w:r>
      <w:r>
        <w:rPr>
          <w:rFonts w:hint="eastAsia" w:ascii="宋体" w:hAnsi="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彩色多普勒：</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5.1</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显示方式：速度图 (CDV)、能量图 (CPA)、方向性能量图（DCPA）</w:t>
      </w:r>
      <w:r>
        <w:rPr>
          <w:rFonts w:hint="eastAsia" w:ascii="宋体" w:hAnsi="宋体" w:cs="宋体"/>
          <w:color w:val="auto"/>
          <w:kern w:val="0"/>
          <w:sz w:val="24"/>
          <w:szCs w:val="24"/>
          <w:highlight w:val="none"/>
          <w:lang w:eastAsia="zh-CN"/>
        </w:rPr>
        <w:t>。</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5.2</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彩色增强功能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彩色多普勒能量图(CDE/CPI)</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组织多普勒(TDI)</w:t>
      </w:r>
      <w:r>
        <w:rPr>
          <w:rFonts w:hint="eastAsia" w:ascii="宋体" w:hAnsi="宋体" w:cs="宋体"/>
          <w:color w:val="auto"/>
          <w:kern w:val="0"/>
          <w:sz w:val="24"/>
          <w:szCs w:val="24"/>
          <w:highlight w:val="none"/>
          <w:lang w:eastAsia="zh-CN"/>
        </w:rPr>
        <w:t>。</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5.3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具有双同步</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三同步显示(B/D/CDV)</w:t>
      </w:r>
      <w:r>
        <w:rPr>
          <w:rFonts w:hint="eastAsia" w:ascii="宋体" w:hAnsi="宋体" w:cs="宋体"/>
          <w:color w:val="auto"/>
          <w:sz w:val="24"/>
          <w:szCs w:val="24"/>
          <w:highlight w:val="none"/>
          <w:lang w:eastAsia="zh-CN"/>
        </w:rPr>
        <w:t>。</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5.4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彩色显示速度：最低平均血流显示速度≤5mm/s（非噪声信号）</w:t>
      </w:r>
      <w:r>
        <w:rPr>
          <w:rFonts w:hint="eastAsia" w:ascii="宋体" w:hAnsi="宋体" w:cs="宋体"/>
          <w:color w:val="auto"/>
          <w:sz w:val="24"/>
          <w:szCs w:val="24"/>
          <w:highlight w:val="none"/>
          <w:lang w:eastAsia="zh-CN"/>
        </w:rPr>
        <w:t>。</w:t>
      </w:r>
    </w:p>
    <w:p>
      <w:pPr>
        <w:widowControl/>
        <w:overflowPunct w:val="0"/>
        <w:autoSpaceDE w:val="0"/>
        <w:autoSpaceDN w:val="0"/>
        <w:adjustRightInd w:val="0"/>
        <w:spacing w:line="360" w:lineRule="auto"/>
        <w:ind w:right="-180"/>
        <w:textAlignment w:val="baseline"/>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5.5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显示控制：零位移动、黑白与彩色比较、彩色对比</w:t>
      </w:r>
      <w:r>
        <w:rPr>
          <w:rFonts w:hint="eastAsia" w:ascii="宋体" w:hAnsi="宋体" w:cs="宋体"/>
          <w:color w:val="auto"/>
          <w:sz w:val="24"/>
          <w:szCs w:val="24"/>
          <w:highlight w:val="none"/>
          <w:lang w:eastAsia="zh-CN"/>
        </w:rPr>
        <w:t>。</w:t>
      </w:r>
    </w:p>
    <w:p>
      <w:pPr>
        <w:widowControl/>
        <w:overflowPunct w:val="0"/>
        <w:autoSpaceDE w:val="0"/>
        <w:autoSpaceDN w:val="0"/>
        <w:adjustRightInd w:val="0"/>
        <w:spacing w:line="360" w:lineRule="auto"/>
        <w:ind w:right="-181"/>
        <w:jc w:val="left"/>
        <w:textAlignment w:val="baseline"/>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5.6</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显示位置调整：线阵扫描感兴趣的图像范围：-20°～ +20°</w:t>
      </w:r>
      <w:r>
        <w:rPr>
          <w:rFonts w:hint="eastAsia" w:ascii="宋体" w:hAnsi="宋体" w:eastAsia="宋体" w:cs="宋体"/>
          <w:color w:val="auto"/>
          <w:kern w:val="0"/>
          <w:sz w:val="24"/>
          <w:szCs w:val="24"/>
          <w:highlight w:val="none"/>
          <w:lang w:eastAsia="zh-CN"/>
        </w:rPr>
        <w:t>。</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b/>
          <w:color w:val="auto"/>
          <w:kern w:val="0"/>
          <w:sz w:val="24"/>
          <w:szCs w:val="24"/>
          <w:highlight w:val="none"/>
        </w:rPr>
      </w:pPr>
      <w:r>
        <w:rPr>
          <w:rFonts w:hint="eastAsia" w:ascii="宋体" w:hAnsi="宋体" w:cs="宋体"/>
          <w:b/>
          <w:bCs/>
          <w:color w:val="auto"/>
          <w:kern w:val="0"/>
          <w:sz w:val="24"/>
          <w:szCs w:val="24"/>
          <w:highlight w:val="none"/>
          <w:lang w:val="en-US" w:eastAsia="zh-CN"/>
        </w:rPr>
        <w:t>（项号92）</w:t>
      </w:r>
      <w:r>
        <w:rPr>
          <w:rFonts w:hint="eastAsia" w:ascii="宋体" w:hAnsi="宋体" w:cs="宋体"/>
          <w:b/>
          <w:color w:val="auto"/>
          <w:kern w:val="0"/>
          <w:sz w:val="24"/>
          <w:szCs w:val="24"/>
          <w:highlight w:val="none"/>
          <w:lang w:eastAsia="zh-CN"/>
        </w:rPr>
        <w:t>3.</w:t>
      </w:r>
      <w:r>
        <w:rPr>
          <w:rFonts w:hint="eastAsia" w:ascii="宋体" w:hAnsi="宋体" w:eastAsia="宋体" w:cs="宋体"/>
          <w:b/>
          <w:color w:val="auto"/>
          <w:kern w:val="0"/>
          <w:sz w:val="24"/>
          <w:szCs w:val="24"/>
          <w:highlight w:val="none"/>
        </w:rPr>
        <w:t>6 超声功率输出调节：</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6.1</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B/M、PWD、COLOR DOPPLER</w:t>
      </w:r>
      <w:r>
        <w:rPr>
          <w:rFonts w:hint="eastAsia" w:ascii="宋体" w:hAnsi="宋体" w:cs="宋体"/>
          <w:color w:val="auto"/>
          <w:kern w:val="0"/>
          <w:sz w:val="24"/>
          <w:szCs w:val="24"/>
          <w:highlight w:val="none"/>
          <w:lang w:eastAsia="zh-CN"/>
        </w:rPr>
        <w:t>。</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6.2</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输出功率选择分级可调</w:t>
      </w:r>
      <w:r>
        <w:rPr>
          <w:rFonts w:hint="eastAsia" w:ascii="宋体" w:hAnsi="宋体" w:cs="宋体"/>
          <w:color w:val="auto"/>
          <w:kern w:val="0"/>
          <w:sz w:val="24"/>
          <w:szCs w:val="24"/>
          <w:highlight w:val="none"/>
          <w:lang w:eastAsia="zh-CN"/>
        </w:rPr>
        <w:t>。</w:t>
      </w:r>
    </w:p>
    <w:p>
      <w:pPr>
        <w:widowControl/>
        <w:overflowPunct w:val="0"/>
        <w:autoSpaceDE w:val="0"/>
        <w:autoSpaceDN w:val="0"/>
        <w:adjustRightInd w:val="0"/>
        <w:spacing w:line="360" w:lineRule="auto"/>
        <w:ind w:right="-180"/>
        <w:jc w:val="left"/>
        <w:textAlignment w:val="baseline"/>
        <w:rPr>
          <w:rFonts w:hint="eastAsia" w:ascii="宋体" w:hAnsi="宋体" w:eastAsia="宋体" w:cs="宋体"/>
          <w:b/>
          <w:color w:val="auto"/>
          <w:kern w:val="0"/>
          <w:sz w:val="24"/>
          <w:szCs w:val="24"/>
          <w:highlight w:val="none"/>
        </w:rPr>
      </w:pPr>
      <w:r>
        <w:rPr>
          <w:rFonts w:hint="eastAsia" w:ascii="宋体" w:hAnsi="宋体" w:cs="宋体"/>
          <w:b/>
          <w:color w:val="auto"/>
          <w:kern w:val="0"/>
          <w:sz w:val="24"/>
          <w:szCs w:val="24"/>
          <w:highlight w:val="none"/>
          <w:lang w:val="en-US" w:eastAsia="zh-CN"/>
        </w:rPr>
        <w:t>3</w:t>
      </w:r>
      <w:r>
        <w:rPr>
          <w:rFonts w:hint="eastAsia" w:ascii="宋体" w:hAnsi="宋体" w:eastAsia="宋体" w:cs="宋体"/>
          <w:b/>
          <w:color w:val="auto"/>
          <w:kern w:val="0"/>
          <w:sz w:val="24"/>
          <w:szCs w:val="24"/>
          <w:highlight w:val="none"/>
        </w:rPr>
        <w:t>.7</w:t>
      </w:r>
      <w:r>
        <w:rPr>
          <w:rFonts w:hint="eastAsia" w:ascii="宋体" w:hAnsi="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记录装置：</w:t>
      </w:r>
    </w:p>
    <w:p>
      <w:pPr>
        <w:widowControl/>
        <w:overflowPunct w:val="0"/>
        <w:autoSpaceDE w:val="0"/>
        <w:autoSpaceDN w:val="0"/>
        <w:adjustRightInd w:val="0"/>
        <w:spacing w:line="360" w:lineRule="auto"/>
        <w:ind w:right="-181"/>
        <w:jc w:val="left"/>
        <w:textAlignment w:val="baseline"/>
        <w:rPr>
          <w:rFonts w:hint="eastAsia" w:ascii="宋体" w:hAnsi="宋体" w:eastAsia="宋体" w:cs="宋体"/>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（项号93）</w:t>
      </w: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7.1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内置一体化超声工作站：数字化储存静态及动态图像，动态图像及静态图像以AVI、BMP或JPEG等PC通用格式直接储存</w:t>
      </w:r>
      <w:r>
        <w:rPr>
          <w:rFonts w:hint="eastAsia" w:ascii="宋体" w:hAnsi="宋体" w:cs="宋体"/>
          <w:color w:val="auto"/>
          <w:sz w:val="24"/>
          <w:szCs w:val="24"/>
          <w:highlight w:val="none"/>
          <w:lang w:eastAsia="zh-CN"/>
        </w:rPr>
        <w:t>。</w:t>
      </w:r>
    </w:p>
    <w:p>
      <w:pPr>
        <w:widowControl/>
        <w:overflowPunct w:val="0"/>
        <w:autoSpaceDE w:val="0"/>
        <w:autoSpaceDN w:val="0"/>
        <w:adjustRightInd w:val="0"/>
        <w:spacing w:line="360" w:lineRule="auto"/>
        <w:ind w:right="-181"/>
        <w:jc w:val="left"/>
        <w:textAlignment w:val="baseline"/>
        <w:rPr>
          <w:rFonts w:hint="eastAsia" w:ascii="宋体" w:hAnsi="宋体" w:eastAsia="宋体" w:cs="宋体"/>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（项号94）</w:t>
      </w: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7.2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主机硬盘容量≥1T（1024GB）</w:t>
      </w:r>
      <w:r>
        <w:rPr>
          <w:rFonts w:hint="eastAsia" w:ascii="宋体" w:hAnsi="宋体" w:cs="宋体"/>
          <w:color w:val="auto"/>
          <w:sz w:val="24"/>
          <w:szCs w:val="24"/>
          <w:highlight w:val="none"/>
          <w:lang w:eastAsia="zh-CN"/>
        </w:rPr>
        <w:t>。</w:t>
      </w:r>
    </w:p>
    <w:p>
      <w:pPr>
        <w:widowControl/>
        <w:overflowPunct w:val="0"/>
        <w:autoSpaceDE w:val="0"/>
        <w:autoSpaceDN w:val="0"/>
        <w:adjustRightInd w:val="0"/>
        <w:spacing w:line="360" w:lineRule="auto"/>
        <w:ind w:right="-181"/>
        <w:jc w:val="left"/>
        <w:textAlignment w:val="baseline"/>
        <w:rPr>
          <w:rFonts w:hint="eastAsia" w:asciiTheme="minorEastAsia" w:hAnsiTheme="minorEastAsia" w:eastAsiaTheme="minorEastAsia" w:cstheme="minorEastAsia"/>
          <w:color w:val="auto"/>
          <w:highlight w:val="none"/>
        </w:rPr>
      </w:pPr>
      <w:r>
        <w:rPr>
          <w:rFonts w:hint="eastAsia" w:ascii="宋体" w:hAnsi="宋体" w:cs="宋体"/>
          <w:b/>
          <w:bCs/>
          <w:color w:val="auto"/>
          <w:kern w:val="0"/>
          <w:sz w:val="24"/>
          <w:szCs w:val="24"/>
          <w:highlight w:val="none"/>
          <w:lang w:val="en-US" w:eastAsia="zh-CN"/>
        </w:rPr>
        <w:t>（项号95）</w:t>
      </w: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7.3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DVD-RW 或USB图像存储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USB接口≥5个，用于图像传输</w:t>
      </w:r>
      <w:r>
        <w:rPr>
          <w:rFonts w:hint="eastAsia" w:ascii="宋体" w:hAnsi="宋体" w:cs="宋体"/>
          <w:color w:val="auto"/>
          <w:sz w:val="24"/>
          <w:szCs w:val="24"/>
          <w:highlight w:val="none"/>
          <w:lang w:eastAsia="zh-CN"/>
        </w:rPr>
        <w:t>。</w:t>
      </w:r>
    </w:p>
    <w:p>
      <w:pPr>
        <w:pStyle w:val="9"/>
        <w:jc w:val="both"/>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三、商务要求（以“★”标示的内容为不允许负偏离的实质性要求）</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参数性质</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类型</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交货时间</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自合同签订之日起</w:t>
            </w:r>
            <w:r>
              <w:rPr>
                <w:rFonts w:hint="eastAsia" w:asciiTheme="minorEastAsia" w:hAnsi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0日</w:t>
            </w:r>
            <w:r>
              <w:rPr>
                <w:rFonts w:hint="eastAsia" w:asciiTheme="minorEastAsia" w:hAnsiTheme="minorEastAsia" w:cstheme="minorEastAsia"/>
                <w:color w:val="auto"/>
                <w:highlight w:val="none"/>
                <w:lang w:val="en-US" w:eastAsia="zh-CN"/>
              </w:rPr>
              <w:t>内</w:t>
            </w:r>
            <w:r>
              <w:rPr>
                <w:rFonts w:hint="eastAsia" w:asciiTheme="minorEastAsia" w:hAnsiTheme="minorEastAsia" w:eastAsiaTheme="minorEastAsia" w:cstheme="minorEastAsia"/>
                <w:color w:val="auto"/>
                <w:highlight w:val="none"/>
              </w:rPr>
              <w:t>交货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交货地点</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交货条件</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是否邀请投标人验收</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履约验收方式</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1、期次1，说明：按招标文件、合同要求进行验收。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合同支付方式</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1、货物验收合格后，达到付款条件起30日内，支付合同总金额的90.00%</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2、验收合格一年后，达到付款条件起30日内，支付合同总金额的10.00%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履约保证金</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不缴纳</w:t>
            </w:r>
          </w:p>
        </w:tc>
      </w:tr>
    </w:tbl>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参数性质</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类型</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交货时间</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自合同签订之日起</w:t>
            </w:r>
            <w:r>
              <w:rPr>
                <w:rFonts w:hint="eastAsia" w:asciiTheme="minorEastAsia" w:hAnsi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0日</w:t>
            </w:r>
            <w:r>
              <w:rPr>
                <w:rFonts w:hint="eastAsia" w:asciiTheme="minorEastAsia" w:hAnsiTheme="minorEastAsia" w:cstheme="minorEastAsia"/>
                <w:color w:val="auto"/>
                <w:highlight w:val="none"/>
                <w:lang w:val="en-US" w:eastAsia="zh-CN"/>
              </w:rPr>
              <w:t>内</w:t>
            </w:r>
            <w:r>
              <w:rPr>
                <w:rFonts w:hint="eastAsia" w:asciiTheme="minorEastAsia" w:hAnsiTheme="minorEastAsia" w:eastAsiaTheme="minorEastAsia" w:cstheme="minorEastAsia"/>
                <w:color w:val="auto"/>
                <w:highlight w:val="none"/>
              </w:rPr>
              <w:t>交货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交货地点</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交货条件</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是否邀请投标人验收</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履约验收方式</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1、期次1，说明：按招标文件、合同要求进行验收。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合同支付方式</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1、货物验收合格后，达到付款条件起30日内，支付合同总金额的90.00%</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2、验收合格一年后，达到付款条件起30日内，支付合同总金额的10.00%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履约保证金</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不缴纳</w:t>
            </w:r>
          </w:p>
        </w:tc>
      </w:tr>
    </w:tbl>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采购包3：</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参数性质</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类型</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交货时间</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自合同签订之日起</w:t>
            </w:r>
            <w:r>
              <w:rPr>
                <w:rFonts w:hint="eastAsia" w:asciiTheme="minorEastAsia" w:hAnsi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0日</w:t>
            </w:r>
            <w:r>
              <w:rPr>
                <w:rFonts w:hint="eastAsia" w:asciiTheme="minorEastAsia" w:hAnsiTheme="minorEastAsia" w:cstheme="minorEastAsia"/>
                <w:color w:val="auto"/>
                <w:highlight w:val="none"/>
                <w:lang w:val="en-US" w:eastAsia="zh-CN"/>
              </w:rPr>
              <w:t>内</w:t>
            </w:r>
            <w:r>
              <w:rPr>
                <w:rFonts w:hint="eastAsia" w:asciiTheme="minorEastAsia" w:hAnsiTheme="minorEastAsia" w:eastAsiaTheme="minorEastAsia" w:cstheme="minorEastAsia"/>
                <w:color w:val="auto"/>
                <w:highlight w:val="none"/>
              </w:rPr>
              <w:t>交货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交货地点</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交货条件</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是否邀请投标人验收</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履约验收方式</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1、期次1，说明：按招标文件、合同要求进行验收。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合同支付方式</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1、货物验收合格后，达到付款条件起30日内，支付合同总金额的90.00%</w:t>
            </w:r>
          </w:p>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2、验收合格一年后，达到付款条件起30日内，支付合同总金额的10.00%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履约保证金</w:t>
            </w:r>
          </w:p>
        </w:tc>
        <w:tc>
          <w:tcPr>
            <w:tcW w:w="2076" w:type="dxa"/>
          </w:tcPr>
          <w:p>
            <w:pPr>
              <w:pStyle w:val="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不缴纳</w:t>
            </w:r>
          </w:p>
        </w:tc>
      </w:tr>
    </w:tbl>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其他商务要求</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shd w:val="clear" w:fill="FFFFFF"/>
        </w:rPr>
        <w:t>采购包1、包2、包3其他商务要求</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★8、安装与调试</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8.1、安装与验收</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8.1.1安装</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8.1.1.1 合同签订后，由中标人负责将设备按签订合同的具体数量、具体地点运送到最终目的地。并负责派技术人员到现场进行安装、调试，技术人员必须具有安装、调试同型号设备一年以上的实际工作经验，并负责调试至验收合格交付采购人使用。</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8.1.1.2 中标人负责组织专业技术人员进行货物安装调试，采购人应提供必须的基本条件和专人配合，保证各项安装工作顺利进行。</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8.1.1.3 中标人应在合同签订时，向采购人提供安装及试运行的进度计划表。</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8.1.1.4 设备到达最终采购人现场后，中标人的工程师到采购人的现场安装设备，同时应向采购人介绍设备功能及特殊分析并进行现场演示。</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8.1.1.5设备进场后须在接到采购人安装通知后在采购人规定的时间内安装调试完毕并交付使用。</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8.1.1.6中标人提供的配置应符合临床应用要求。</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8.1.2 验收</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8.1.2.1验收标准</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8.1.2.2验收程序和方法</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8.1.2.2.1出厂检验</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结果必须符合第8.1.2.1款验收标准的要求。</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8.1.2.2.2初验收：</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由中标人和采购人共同对设备的数量、质量、外包装等根据本章节的有关规定逐项检验。</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8.1.2.2.3试运行：</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设备安装完毕后，中标人应对设备的整体性能和功能进行测试，试运行期间，出现的任何问题，应由中标人及时处理修正。测试结果必须符合招标文件要求及合同中的相关条款，同时中标人应向采购人提供自检记录。</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8.1.2.2.4最终验收：</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试运行并测试验收结束后，由采购人或中标人委托的专业公司以及有关管理部门按招标文件以及合同相关条款要求一同对设备进行联合验收，验收结果应符合采购人使用要求。在此期间，若发现产品质量有问题中标人应无条件免费更换，并无条件重新检测且调试直至验收合格交付使用。</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8.1.2.3中标人在采购人安装现场进行最终验收所产生的一切费用由中标人承担（并入投标报价内）。</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8.1.2.4若验收不能符合要求，采购人将按合同条款的有关规定执行。</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8.1.2.5 进口商品应提供《中华人民共和国海关进口货物报关单》的原件或者完整版复印件（复印件不能遮挡任何信息）。</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8.1.2.6进口商品属于应检的(或采购人要求检的)应有中标人请商检部门出具的商检报告，费用均由中标人承担。进口商品若属于免检产品，需要出具免检的相关证明材料。</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8.2、技术资料要求：中标人需提供本项目全套设备配置清单（详列名称、品牌型号、数量、原产地等）。中标人应向采购人提供以下目录的技术资料壹套（各项指标和参数应符合验收标准，采购人有权委托中国有资格单位或机构对设备性能、精度进行校核）。</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8.2.1出厂明细表(装箱单)；</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8.2.2出厂检验报告和合格证书；</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8.2.3使用说明书；</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8.2.4安装手册、操作手册、维修手册；</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8.2.5零部件目录；</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8.2.6相关文件、支持程序软盘或光盘；</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8.2.7提供原产地制造商的产品证明；</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8.2.8合同中要求的其它文件资料。</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8.3、专用工具</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8.3.1中标人应向采购人提供一套维修所需的专用工具及清单(清单附在投标文件中)。</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8.4、特殊工具</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8.4.1中标人应向采购人提供货物安装和维修所需的特殊工具及清单和中文说明书，其费用包括在投标总价内。</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★9、售后服务要求</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9.1</w:t>
      </w:r>
      <w:r>
        <w:rPr>
          <w:rFonts w:hint="eastAsia" w:asciiTheme="minorEastAsia" w:hAnsiTheme="minorEastAsia" w:eastAsiaTheme="minorEastAsia" w:cstheme="minorEastAsia"/>
          <w:b/>
          <w:color w:val="auto"/>
          <w:sz w:val="24"/>
          <w:highlight w:val="none"/>
          <w:shd w:val="clear" w:fill="FFFFFF"/>
        </w:rPr>
        <w:t>采购包1中标人应对所提供设备提供≥5年的现场免费保修，采购包2、包3中标人应对所提供设备提供≥2年的现场免费保修</w:t>
      </w:r>
      <w:r>
        <w:rPr>
          <w:rFonts w:hint="eastAsia" w:asciiTheme="minorEastAsia" w:hAnsiTheme="minorEastAsia" w:eastAsiaTheme="minorEastAsia" w:cstheme="minorEastAsia"/>
          <w:color w:val="auto"/>
          <w:sz w:val="24"/>
          <w:highlight w:val="none"/>
          <w:shd w:val="clear" w:fill="FFFFFF"/>
        </w:rPr>
        <w:t>（不得低于生产厂家要求，含所有配件及耗材)，终身维修（含附属设备）。免费开放端口，以便追溯系统及医院HIS系统的无缝连接。软件系统提供备份盘，开放密码，终身免费维护及升级。免费保修期自设备整机安装调试正常，验收签名之日起计算。保修期内，须按合同条款提供免费服务，非因操作不当造成要更换的零配件及设备由中标人负责包修、包换。中标人在免费保修期内须提供免费上门维修服务，并进行终身维护。如保修期内同一故障发生三次，或在两个月内无法修复，中标人无条件换货，立即更换新机；如保修期内因故障停机，按停机时间的双倍顺延保修期。免费保修期满前1个月内中标人应负责对设备进行一次免费全面检查，如发现潜在问题，应负责排除，保证设备正常运行。</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9.2在质量保证期内设备运行发生故障时中标人在接到采购人故障通知后2小时内响应，并在24小时内派工程师到达现场，免费负责修理或更换有缺陷的零部件或整机，如一时无法修复的设备，中标人应提供备品供采购人临床使用。在质量保证期一年内出现属设备质量问题，采购人则有权要求免费更换整机，更换的质量保证期从更换之日起相应顺延。</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9.3中标人需提供厂家在福建省内的办事处和相对应的工程师名单。</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9.4质量保证期结束后，中标人应在设备使用地区指定有维修能力的代理机构对设备在必要时进行定期维护和修理。</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9.5质量保证期后的服务要求</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9.5.1质保期结束后，中标人仍应负责对设备提供售后服务，并保障备品配件的供应。</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9.6投标人应在投标文件中详细提供售后服务承诺、保障措施、保修期内的维保范围和内容、保修期后的维保服务内容，及服务费用的报价。投标人须在投标文件中承诺质量保证期后的服务不收取上门服务人工及差旅费。</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★10、技术培训</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10.1中标人须免费对设备进行安装和调试，并列好计划对设备的使用操作、设备维修、故障排除、日常保养等方面提供现场技术培训，直到受训的技术人员能独立操作为止；对相应的受训人员将免费提供相应讲义教材等资料。技术培训没完成，不进行设备最终验收。</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★11、备品备件</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11.1中标人应提供设备在质量保证期过后一年内所需的备品备件及清单（含价格清单，价格清单应在报价部分列明，并说明此价格清单为该备品配件的最高限价）。</w:t>
      </w:r>
    </w:p>
    <w:p>
      <w:pPr>
        <w:pStyle w:val="9"/>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fill="FFFFFF"/>
        </w:rPr>
        <w:t>11.2中标人应在中华人民共和国境内设有备品备件保税库（注明详细地址），且备品配件可保证供应10年以上。中标人应保证能迅速快捷地提供设备的备品备件。</w:t>
      </w:r>
    </w:p>
    <w:p>
      <w:pPr>
        <w:pStyle w:val="9"/>
        <w:jc w:val="both"/>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四、其他事项</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1、除招标文件另有规定外，若出现有关法律、法规和规章有强制性规定但招标文件未列明的情形，则投标人应按照有关法律、法规和规章强制性规定执行。</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2、其他：</w:t>
      </w:r>
    </w:p>
    <w:p>
      <w:pPr>
        <w:pStyle w:val="9"/>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无。</w:t>
      </w:r>
    </w:p>
    <w:p>
      <w:pPr>
        <w:pStyle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highlight w:val="none"/>
        </w:rPr>
        <w:t>第六章 政府采购合同</w:t>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参考文本</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合同编号：</w:t>
      </w:r>
    </w:p>
    <w:p>
      <w:pPr>
        <w:pStyle w:val="9"/>
        <w:jc w:val="center"/>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highlight w:val="none"/>
        </w:rPr>
        <w:t xml:space="preserve"> 福建省政府采购合同（货物类）</w:t>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编制说明</w:t>
      </w:r>
      <w:r>
        <w:rPr>
          <w:rFonts w:hint="eastAsia" w:asciiTheme="minorEastAsia" w:hAnsiTheme="minorEastAsia" w:eastAsiaTheme="minorEastAsia" w:cstheme="minorEastAsia"/>
          <w:color w:val="auto"/>
          <w:highlight w:val="none"/>
        </w:rPr>
        <w:br w:type="textWrapping"/>
      </w:r>
    </w:p>
    <w:p>
      <w:pPr>
        <w:pStyle w:val="9"/>
        <w:jc w:val="left"/>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1.签订合同应遵守《中华人民共和国政府采购法》及其实施条例、《中华人民共和国民法典》等法律法规及其他有关规定。</w:t>
      </w:r>
    </w:p>
    <w:p>
      <w:pPr>
        <w:pStyle w:val="9"/>
        <w:jc w:val="left"/>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9"/>
        <w:jc w:val="left"/>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3.政府有关主管部门对若干合同有规范文本的，可使用相应合同文本。</w:t>
      </w:r>
    </w:p>
    <w:p>
      <w:pPr>
        <w:pStyle w:val="9"/>
        <w:jc w:val="left"/>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4.本合同范本仅供参考，采购人应当根据采购项目的实际需求对合同条款进行修改、补充。</w:t>
      </w:r>
    </w:p>
    <w:p>
      <w:pPr>
        <w:pStyle w:val="9"/>
        <w:ind w:left="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 ___________</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住所地： ___________</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联系人： ___________</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联系电话：___________</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传真：___________</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电子邮箱：___________</w:t>
      </w:r>
      <w:r>
        <w:rPr>
          <w:rFonts w:hint="eastAsia" w:asciiTheme="minorEastAsia" w:hAnsiTheme="minorEastAsia" w:eastAsiaTheme="minorEastAsia" w:cstheme="minorEastAsia"/>
          <w:color w:val="auto"/>
          <w:highlight w:val="none"/>
        </w:rPr>
        <w:br w:type="textWrapping"/>
      </w:r>
    </w:p>
    <w:p>
      <w:pPr>
        <w:pStyle w:val="9"/>
        <w:ind w:left="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乙方： ___________</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住所地： ___________</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联系人：___________</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联系电话：___________</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传真：___________</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电子邮箱：___________</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根据项目编号为________ 的 ___________项目（以下简称：“本项目”）的采购结果，遵循平等、自愿、公平和诚实信用的原则，双方签署本合同，具体内容如下：</w:t>
      </w:r>
    </w:p>
    <w:p>
      <w:pPr>
        <w:pStyle w:val="9"/>
        <w:jc w:val="left"/>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一、合同组成部分</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1.1本合同条款及附件；</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1.2采购文件及其附件、补充文件；</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1.3乙方的响应文件及其附件、补充文件；</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1.4其他文件或材料：</w:t>
      </w:r>
    </w:p>
    <w:p>
      <w:pPr>
        <w:pStyle w:val="9"/>
        <w:jc w:val="left"/>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二、合同标的</w:t>
      </w:r>
      <w:r>
        <w:rPr>
          <w:rFonts w:hint="eastAsia" w:asciiTheme="minorEastAsia" w:hAnsiTheme="minorEastAsia" w:eastAsiaTheme="minorEastAsia" w:cstheme="minorEastAsia"/>
          <w:color w:val="auto"/>
          <w:highlight w:val="none"/>
        </w:rPr>
        <w:br w:type="textWrapping"/>
      </w:r>
    </w:p>
    <w:p>
      <w:pPr>
        <w:pStyle w:val="9"/>
        <w:jc w:val="left"/>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三、合同金额</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3.1合同总价：人民币（大写）_________ 元（￥_________元）；</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3.2合同总价组成：___________；</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3.3其他需说明事项：___________；</w:t>
      </w:r>
    </w:p>
    <w:p>
      <w:pPr>
        <w:pStyle w:val="9"/>
        <w:jc w:val="left"/>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四、合同标的交付</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4.1交付时间：___________</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4.2交付地点：___________</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4.3交付条件：___________</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4.4供货要求：</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(4)乙方完全遵守《中华人民共和国劳动合同法》有关规定和《中华人民共和国妇女权益保障法》中关于“劳动和社会保障权益”的有关要求。</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（5）其他供货要求：</w:t>
      </w:r>
    </w:p>
    <w:p>
      <w:pPr>
        <w:pStyle w:val="9"/>
        <w:jc w:val="left"/>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五、质量标准及要求</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5.1质量标准及要求</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（2）其他质量要求</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5.2节能环保产品要求</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5.3质量保证范围、质量保证期及售后服务</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（1）质量保证范围：___________</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（2）本合同乙方所供应的货物质量保证期自验收合格之日起{_______月。</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（3）售后服务应按法律法规和采购文件约定执行，具体如下：</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5.4商品安全责任</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商品安全责任应按照法律法规和采购文件的规定执行，具体如下：</w:t>
      </w:r>
    </w:p>
    <w:p>
      <w:pPr>
        <w:pStyle w:val="9"/>
        <w:jc w:val="left"/>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六、安装调试、验收及退、换货</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6.1安装调试、验收应按照采购文件、乙方响应文件的规定或约定进行，具体如下：</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6.2本项目是否邀请其他投标人参与验收：</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不邀请。  邀请，具体如下：</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6.3本项目是否邀请专家参与验收：</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不邀请。  邀请，具体如下：</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6.4本项目是否邀请国家认可的质量检测机构参与验收：</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不邀请。  邀请，具体如下：</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6.5履约验收：___________</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6.6退、换货：___________</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6.7其他：</w:t>
      </w:r>
    </w:p>
    <w:p>
      <w:pPr>
        <w:pStyle w:val="9"/>
        <w:jc w:val="left"/>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七、资金支付方式、条件和时间</w:t>
      </w:r>
      <w:r>
        <w:rPr>
          <w:rFonts w:hint="eastAsia" w:asciiTheme="minorEastAsia" w:hAnsiTheme="minorEastAsia" w:eastAsiaTheme="minorEastAsia" w:cstheme="minorEastAsia"/>
          <w:color w:val="auto"/>
          <w:highlight w:val="none"/>
        </w:rPr>
        <w:br w:type="textWrapping"/>
      </w:r>
    </w:p>
    <w:p>
      <w:pPr>
        <w:pStyle w:val="9"/>
        <w:jc w:val="left"/>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八、履约保证金</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□有，□无。具体如下违约：（按照采购文件规定填写）。</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8.1乙方向甲方缴纳人民币 元（大写： ）作为本合同的履约保证金。</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8.2履约保证金缴纳形式：支票/汇票/电汇/保函等非现金形式。</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8.3履约保证金退还： （根据实际情况填写） 。</w:t>
      </w:r>
    </w:p>
    <w:p>
      <w:pPr>
        <w:pStyle w:val="9"/>
        <w:jc w:val="left"/>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九、合同期限</w:t>
      </w:r>
      <w:r>
        <w:rPr>
          <w:rFonts w:hint="eastAsia" w:asciiTheme="minorEastAsia" w:hAnsiTheme="minorEastAsia" w:eastAsiaTheme="minorEastAsia" w:cstheme="minorEastAsia"/>
          <w:color w:val="auto"/>
          <w:highlight w:val="none"/>
        </w:rPr>
        <w:br w:type="textWrapping"/>
      </w:r>
    </w:p>
    <w:p>
      <w:pPr>
        <w:pStyle w:val="9"/>
        <w:jc w:val="left"/>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十、违约责任</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10.1甲方违约责任</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（1）甲方无正当理由拒收乙方交付的合格产品的，甲方向乙方偿付拒收货款总值_____的违约金</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（2）甲方无故逾期验收和办理合同款项支付手续的,甲方应按逾期付款总额每日_______向乙方支付违约金。</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（3）其他违约情形</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_______</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10.2乙方违约责任</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（1）乙方逾期履行服务的，乙方应按逾期交付总额每日_______向甲方支付违约金，由甲方从待付货款中扣除。乙方无正当理由逾期超过约定日期_______仍不能交付的，视为“乙方不按合同约定履约”；</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（2）乙方所交付的产品不符合合同规定及《采购文件》规定标准的，甲方有权拒收，乙方愿意更换产品但逾期交货的，按乙方逾期交货处理。乙方拒绝更换产品的，视为“乙方不按合同约定履约”；</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（3）乙方不按合同约定履约的，甲方可以解除采购合同，并对乙方已缴纳的履约保证金作“不予退还”处理。同时，乙方还须按向甲方支付违约金：</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（4）其他违约情形</w:t>
      </w:r>
    </w:p>
    <w:p>
      <w:pPr>
        <w:pStyle w:val="9"/>
        <w:jc w:val="left"/>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十一、不可抗力事件处理</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9"/>
        <w:jc w:val="left"/>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十二、保密条款</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12.1对于在采购和合同履行过程中所获悉的属于保密的内容，甲、乙双方均负有保密义务。</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12.2其他</w:t>
      </w:r>
    </w:p>
    <w:p>
      <w:pPr>
        <w:pStyle w:val="9"/>
        <w:jc w:val="left"/>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十三、解决争议的方法</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13.1甲、乙双方协商解决。</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13.2若协商解决不成，双方明确按以下第__方式解决：</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1、提交仲裁委员会仲裁，具体如下：</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2、向人民法院提起诉讼，具体如下：</w:t>
      </w:r>
    </w:p>
    <w:p>
      <w:pPr>
        <w:pStyle w:val="9"/>
        <w:jc w:val="left"/>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十四、合同其他条款</w:t>
      </w:r>
      <w:r>
        <w:rPr>
          <w:rFonts w:hint="eastAsia" w:asciiTheme="minorEastAsia" w:hAnsiTheme="minorEastAsia" w:eastAsiaTheme="minorEastAsia" w:cstheme="minorEastAsia"/>
          <w:color w:val="auto"/>
          <w:highlight w:val="none"/>
        </w:rPr>
        <w:br w:type="textWrapping"/>
      </w:r>
    </w:p>
    <w:p>
      <w:pPr>
        <w:pStyle w:val="9"/>
        <w:jc w:val="left"/>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十五、其他约定</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15.1合同文件与本合同具有同等法律效力。</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15.3本合同未尽事宜，遵照《中华人民共和国民法典》有关条文执行。</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15.4本合同正本一式_______份，具有同等法律效力，甲方、乙方各执_______份；副本_______份，_______</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15.5本合同已用于政府采购合同融资，为本项目提供合同融资的金融机构为：_______，甲乙双方应当按照融资合同的约定进行资金使用及款项支付。</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中标（成交）供应商应于采购合同签订之日起_______内，向发放政采贷的金融机构提交政府采购中标（成交）通知书和政府采购合同，贷款金额以政府采购合同金额为限。</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15.6其他</w:t>
      </w:r>
    </w:p>
    <w:p>
      <w:pPr>
        <w:pStyle w:val="9"/>
        <w:jc w:val="left"/>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十六、合同附件</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textWrapping"/>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甲方（采购人）：</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法定（授权）代表人：</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纳税人识别号：</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开户银行：</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账号：</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乙方（中标或成交人）：</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法定（授权）代表人：</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纳税人识别号：</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开户银行：</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账号：</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签订地点：__________</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签订日期：___年___月___日</w:t>
      </w:r>
    </w:p>
    <w:p>
      <w:pPr>
        <w:pStyle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highlight w:val="none"/>
        </w:rPr>
        <w:t>第七章 电子投标文件格式</w:t>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编制说明</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1、除招标文件另有规定外，本章中：</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1.1涉及投标人的“全称”：</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（1）不接受联合体投标的，指投标人的全称。</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（2）接受联合体投标且投标人为联合体的，指牵头方的全称并加注（联合体牵头方），即应表述为：“牵头方的全称（联合体牵头方）”。</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1.2涉及投标人“加盖单位公章”：</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（1）不接受联合体投标的，指加盖投标人的单位公章。</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（2）接受联合体投标且投标人为联合体的，指加盖联合体牵头方的单位公章。</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1.3涉及“投标人代表签字”：</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（1）不接受联合体投标的，指由投标人的单位负责人或其授权的委托代理人签字，由委托代理人签字的，应提供“单位授权书”。</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（2）接受联合体投标且投标人为联合体的，指由联合体牵头方的单位负责人或其授权的委托代理人签字，由委托代理人签字的，应提供“单位授权书”。</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1.4“其他组织”指合伙企业、非企业专业服务机构、个体工商户、农村承包经营户等。</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1.5“自然人”指具有完全民事行为能力、能够承担民事责任和义务的中国公民。</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2、除招标文件另有规定外，本章中“投标人的资格及资信证明文件”：</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2.1投标人应按照招标文件第四章第1.3条第（2）款规定及本章规定进行编制，如有必要，可增加附页，附页作为资格及资信文件的组成部分。</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2.2接受联合体投标且投标人为联合体的，联合体中的各方均应按照本章第2.1条规定提交相应的全部资料。</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3、投标人对电子投标文件的索引应编制页码。</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4、本章提供格式仅供参考，投标人应根据自身实际情况制作电子投标文件。</w:t>
      </w:r>
    </w:p>
    <w:p>
      <w:pPr>
        <w:pStyle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封面格式(资格及资信证明部分)</w:t>
      </w:r>
    </w:p>
    <w:p>
      <w:pPr>
        <w:pStyle w:val="9"/>
        <w:jc w:val="center"/>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48"/>
          <w:highlight w:val="none"/>
        </w:rPr>
        <w:t>福建省政府采购投标文件</w:t>
      </w:r>
    </w:p>
    <w:p>
      <w:pPr>
        <w:pStyle w:val="9"/>
        <w:jc w:val="center"/>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48"/>
          <w:highlight w:val="none"/>
        </w:rPr>
        <w:t>（资格及资信证明部分）</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textWrapping"/>
      </w:r>
    </w:p>
    <w:p>
      <w:pPr>
        <w:pStyle w:val="9"/>
        <w:jc w:val="center"/>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highlight w:val="none"/>
        </w:rPr>
        <w:t>（填写正本或副本）</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textWrapping"/>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（项目名称：（由投标人填写）</w:t>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（备案编号：（由投标人填写）</w:t>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（项目编号：（由投标人填写）</w:t>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（所投采购包：（由投标人填写）</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textWrapping"/>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投标人：（填写“全称”）</w:t>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（由投标人填写）年（由投标人填写）月</w:t>
      </w:r>
    </w:p>
    <w:p>
      <w:pPr>
        <w:pStyle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索引</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一、投标函</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二、投标人的资格及资信证明文件</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三、投标保证金</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※注意</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资格及资信证明部分中不得出现报价部分的全部或部分的投标报价信息（或组成资料），否则资格审查不合格。（联合体协议及分包意向协议中的比例规定，不适用本条款）</w:t>
      </w:r>
    </w:p>
    <w:p>
      <w:pPr>
        <w:pStyle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一、投标函</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w:t>
      </w:r>
      <w:r>
        <w:rPr>
          <w:rFonts w:hint="eastAsia" w:asciiTheme="minorEastAsia" w:hAnsiTheme="minorEastAsia" w:eastAsiaTheme="minorEastAsia" w:cstheme="minorEastAsia"/>
          <w:color w:val="auto"/>
          <w:highlight w:val="none"/>
          <w:u w:val="single"/>
        </w:rPr>
        <w:t>（采购人或采购代理机构）</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兹收到贵单位关于</w:t>
      </w:r>
      <w:r>
        <w:rPr>
          <w:rFonts w:hint="eastAsia" w:asciiTheme="minorEastAsia" w:hAnsiTheme="minorEastAsia" w:eastAsiaTheme="minorEastAsia" w:cstheme="minorEastAsia"/>
          <w:color w:val="auto"/>
          <w:highlight w:val="none"/>
          <w:u w:val="single"/>
        </w:rPr>
        <w:t xml:space="preserve">（填写“项目名称”） </w:t>
      </w:r>
      <w:r>
        <w:rPr>
          <w:rFonts w:hint="eastAsia" w:asciiTheme="minorEastAsia" w:hAnsiTheme="minorEastAsia" w:eastAsiaTheme="minorEastAsia" w:cstheme="minorEastAsia"/>
          <w:color w:val="auto"/>
          <w:highlight w:val="none"/>
        </w:rPr>
        <w:t>项目</w:t>
      </w:r>
      <w:r>
        <w:rPr>
          <w:rFonts w:hint="eastAsia" w:asciiTheme="minorEastAsia" w:hAnsiTheme="minorEastAsia" w:eastAsiaTheme="minorEastAsia" w:cstheme="minorEastAsia"/>
          <w:color w:val="auto"/>
          <w:highlight w:val="none"/>
          <w:u w:val="single"/>
        </w:rPr>
        <w:t xml:space="preserve">（项目编号：　　　　　） </w:t>
      </w:r>
      <w:r>
        <w:rPr>
          <w:rFonts w:hint="eastAsia" w:asciiTheme="minorEastAsia" w:hAnsiTheme="minorEastAsia" w:eastAsiaTheme="minorEastAsia" w:cstheme="minorEastAsia"/>
          <w:color w:val="auto"/>
          <w:highlight w:val="none"/>
        </w:rPr>
        <w:t>的投标邀请，本投标人代表</w:t>
      </w:r>
      <w:r>
        <w:rPr>
          <w:rFonts w:hint="eastAsia" w:asciiTheme="minorEastAsia" w:hAnsiTheme="minorEastAsia" w:eastAsiaTheme="minorEastAsia" w:cstheme="minorEastAsia"/>
          <w:color w:val="auto"/>
          <w:highlight w:val="none"/>
          <w:u w:val="single"/>
        </w:rPr>
        <w:t xml:space="preserve">（填写“全名”） </w:t>
      </w:r>
      <w:r>
        <w:rPr>
          <w:rFonts w:hint="eastAsia" w:asciiTheme="minorEastAsia" w:hAnsiTheme="minorEastAsia" w:eastAsiaTheme="minorEastAsia" w:cstheme="minorEastAsia"/>
          <w:color w:val="auto"/>
          <w:highlight w:val="none"/>
        </w:rPr>
        <w:t>已获得我方正式授权并代表投标人（填写“全称”）参加投标，并提交电子投标文件。我方提交的全部电子投标文件由下述部分组成：</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（1）资格及资信证明部分</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①投标函</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②投标人的资格及资信证明文件</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③投标保证金</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（2）报价部分</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①开标一览表</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②投标分项报价表</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③招标文件规定的价格扣除证明材料（若有）</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④招标文件规定的加分证明材料（若有）</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（3）技术商务部分</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①标的说明一览表</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②技术和服务要求响应表</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③商务条件响应表</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④投标人提交的其他资料（若有）</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根据本函，本投标人代表宣布我方保证遵守招标文件的全部规定，同时：</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1、确认：</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1.1所投采购包的投标报价详见“开标一览表”及“投标分项报价表”。</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1.2我方已详细审查全部招标文件[包括但不限于：有关附件（若有）、澄清或修改（若有）等]，并自行承担因对全部招标文件理解不正确或误解而产生的相应后果和责任。</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2、承诺及声明：</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2.1我方具备招标文件第一章载明的“投标人的资格要求”且符合招标文件第三章载明的“二、投标人”之规定，否则投标无效。</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2.2我方提交的电子投标文件各组成部分的全部内容及资料是不可割离且真实、有效、准确、完整和不具有任何误导性的，否则产生不利后果由我方承担责任。</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2.3我方提供的标的价格不高于同期市场价格，否则产生不利后果由我方承担责任。</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2.4投标保证金：若出现招标文件第三章规定的不予退还情形，同意贵单位不予退还。</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2.5投标有效期：按照招标文件第三章规定执行，并在招标文件第二章载明的期限内保持有效。</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2.6若中标，将按照招标文件、我方电子投标文件及政府采购合同履行责任和义务。</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2.7若贵单位要求，我方同意提供与本项目投标有关的一切资料、数据或文件，并完全理解贵单位不一定要接受最低的投标报价或收到的任何投标。</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2.8我方承诺遵守《中华人民共和国劳动合同法》有关规定和《中华人民共和国妇女权益保障法 》中关于“劳动和社会保障权益”的有关要求。</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2.9我方承诺电子投标文件所提供的全部资料真实可靠，并接受评标委员会、采购人、采购代理机构、监管部门进一步审查其中任何资料真实性的要求。</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2.10除招标文件另有规定外，对于贵单位按照下述联络方式发出的任何信息或通知，均视为我方已收悉前述信息或通知的全部内容：</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通信地址：                                        </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邮编：                                           </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联系方法：（包括但不限于：联系人、联系电话、手机、传真、电子邮箱等）</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投标人：（全称并加盖单位公章）</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    年   月   日</w:t>
      </w:r>
    </w:p>
    <w:p>
      <w:pPr>
        <w:pStyle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二、投标人的资格及资信证明文件</w:t>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二-1单位授权书（若有）</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w:t>
      </w:r>
      <w:r>
        <w:rPr>
          <w:rFonts w:hint="eastAsia" w:asciiTheme="minorEastAsia" w:hAnsiTheme="minorEastAsia" w:eastAsiaTheme="minorEastAsia" w:cstheme="minorEastAsia"/>
          <w:color w:val="auto"/>
          <w:highlight w:val="none"/>
          <w:u w:val="single"/>
        </w:rPr>
        <w:t>（采购人或采购代理机构）</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我方的单位负责人</w:t>
      </w:r>
      <w:r>
        <w:rPr>
          <w:rFonts w:hint="eastAsia" w:asciiTheme="minorEastAsia" w:hAnsiTheme="minorEastAsia" w:eastAsiaTheme="minorEastAsia" w:cstheme="minorEastAsia"/>
          <w:color w:val="auto"/>
          <w:highlight w:val="none"/>
          <w:u w:val="single"/>
        </w:rPr>
        <w:t>（填写“单位负责人全名”）</w:t>
      </w:r>
      <w:r>
        <w:rPr>
          <w:rFonts w:hint="eastAsia" w:asciiTheme="minorEastAsia" w:hAnsiTheme="minorEastAsia" w:eastAsiaTheme="minorEastAsia" w:cstheme="minorEastAsia"/>
          <w:color w:val="auto"/>
          <w:highlight w:val="none"/>
        </w:rPr>
        <w:t>授权</w:t>
      </w:r>
      <w:r>
        <w:rPr>
          <w:rFonts w:hint="eastAsia" w:asciiTheme="minorEastAsia" w:hAnsiTheme="minorEastAsia" w:eastAsiaTheme="minorEastAsia" w:cstheme="minorEastAsia"/>
          <w:color w:val="auto"/>
          <w:highlight w:val="none"/>
          <w:u w:val="single"/>
        </w:rPr>
        <w:t>（填写“投标人代表全名”）</w:t>
      </w:r>
      <w:r>
        <w:rPr>
          <w:rFonts w:hint="eastAsia" w:asciiTheme="minorEastAsia" w:hAnsiTheme="minorEastAsia" w:eastAsiaTheme="minorEastAsia" w:cstheme="minorEastAsia"/>
          <w:color w:val="auto"/>
          <w:highlight w:val="none"/>
        </w:rPr>
        <w:t>为投标人代表，代表我方参加</w:t>
      </w:r>
      <w:r>
        <w:rPr>
          <w:rFonts w:hint="eastAsia" w:asciiTheme="minorEastAsia" w:hAnsiTheme="minorEastAsia" w:eastAsiaTheme="minorEastAsia" w:cstheme="minorEastAsia"/>
          <w:color w:val="auto"/>
          <w:highlight w:val="none"/>
          <w:u w:val="single"/>
        </w:rPr>
        <w:t>（填写“项目名称”）</w:t>
      </w:r>
      <w:r>
        <w:rPr>
          <w:rFonts w:hint="eastAsia" w:asciiTheme="minorEastAsia" w:hAnsiTheme="minorEastAsia" w:eastAsiaTheme="minorEastAsia" w:cstheme="minorEastAsia"/>
          <w:color w:val="auto"/>
          <w:highlight w:val="none"/>
        </w:rPr>
        <w:t>项目（项目编号：</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投标人代表无转委权。特此授权。</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（以下无正文）</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单位负责人：</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身份证号：</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手机：</w:t>
      </w:r>
      <w:r>
        <w:rPr>
          <w:rFonts w:hint="eastAsia" w:asciiTheme="minorEastAsia" w:hAnsiTheme="minorEastAsia" w:eastAsiaTheme="minorEastAsia" w:cstheme="minorEastAsia"/>
          <w:color w:val="auto"/>
          <w:highlight w:val="none"/>
          <w:u w:val="single"/>
        </w:rPr>
        <w:t>　　　　　</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投标人代表：</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身份证号：</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手机：</w:t>
      </w:r>
      <w:r>
        <w:rPr>
          <w:rFonts w:hint="eastAsia" w:asciiTheme="minorEastAsia" w:hAnsiTheme="minorEastAsia" w:eastAsiaTheme="minorEastAsia" w:cstheme="minorEastAsia"/>
          <w:color w:val="auto"/>
          <w:highlight w:val="none"/>
          <w:u w:val="single"/>
        </w:rPr>
        <w:t>　　　　　</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授权方</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w:t>
      </w:r>
      <w:r>
        <w:rPr>
          <w:rFonts w:hint="eastAsia" w:asciiTheme="minorEastAsia" w:hAnsiTheme="minorEastAsia" w:eastAsiaTheme="minorEastAsia" w:cstheme="minorEastAsia"/>
          <w:color w:val="auto"/>
          <w:highlight w:val="none"/>
          <w:u w:val="single"/>
        </w:rPr>
        <w:t>（全称并加盖单位公章）</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签署日期： 年 月 日</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附：单位负责人、投标人代表的身份证正反面复印件</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要求：真实有效且内容完整、清晰、整洁。</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※注意：</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1、企业（银行、保险、石油石化、电力、电信等行业除外）、事业单位和社会团体法人的“单位负责人”指法定代表人，即与实际提交的“营业执照等证明文件”载明的一致。</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3、投标人（自然人除外）：若投标人代表为单位授权的委托代理人，应提供本授权书；若投标人代表为单位负责人，应在此项下提交其身份证正反面复印件，可不提供本授权书。</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4、投标人为自然人的，可不填写本授权书。</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二-2营业执照等证明文件</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w:t>
      </w:r>
      <w:r>
        <w:rPr>
          <w:rFonts w:hint="eastAsia" w:asciiTheme="minorEastAsia" w:hAnsiTheme="minorEastAsia" w:eastAsiaTheme="minorEastAsia" w:cstheme="minorEastAsia"/>
          <w:color w:val="auto"/>
          <w:highlight w:val="none"/>
          <w:u w:val="single"/>
        </w:rPr>
        <w:t>（采购人或采购代理机构）</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）投标人为法人（包括企业、事业单位和社会团体）的</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现附上由</w:t>
      </w:r>
      <w:r>
        <w:rPr>
          <w:rFonts w:hint="eastAsia" w:asciiTheme="minorEastAsia" w:hAnsiTheme="minorEastAsia" w:eastAsiaTheme="minorEastAsia" w:cstheme="minorEastAsia"/>
          <w:color w:val="auto"/>
          <w:highlight w:val="none"/>
          <w:u w:val="single"/>
        </w:rPr>
        <w:t>（（填写“签发机关全称”）</w:t>
      </w:r>
      <w:r>
        <w:rPr>
          <w:rFonts w:hint="eastAsia" w:asciiTheme="minorEastAsia" w:hAnsiTheme="minorEastAsia" w:eastAsiaTheme="minorEastAsia" w:cstheme="minorEastAsia"/>
          <w:color w:val="auto"/>
          <w:highlight w:val="none"/>
        </w:rPr>
        <w:t>签发的我方统一社会信用代码（请填写法人的具体证照名称）复印件，该证明材料真实有效，否则我方负全部责任。</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）投标人为非法人（包括其他组织、自然人）的</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□现附上由</w:t>
      </w:r>
      <w:r>
        <w:rPr>
          <w:rFonts w:hint="eastAsia" w:asciiTheme="minorEastAsia" w:hAnsiTheme="minorEastAsia" w:eastAsiaTheme="minorEastAsia" w:cstheme="minorEastAsia"/>
          <w:color w:val="auto"/>
          <w:highlight w:val="none"/>
          <w:u w:val="single"/>
        </w:rPr>
        <w:t>（（填写“签发机关全称”）</w:t>
      </w:r>
      <w:r>
        <w:rPr>
          <w:rFonts w:hint="eastAsia" w:asciiTheme="minorEastAsia" w:hAnsiTheme="minorEastAsia" w:eastAsiaTheme="minorEastAsia" w:cstheme="minorEastAsia"/>
          <w:color w:val="auto"/>
          <w:highlight w:val="none"/>
        </w:rPr>
        <w:t>签发的我方（请填写非自然人的非法人的具体证照名称）复印件，该证明材料真实有效，否则我方负全部责任。</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□现附上由</w:t>
      </w:r>
      <w:r>
        <w:rPr>
          <w:rFonts w:hint="eastAsia" w:asciiTheme="minorEastAsia" w:hAnsiTheme="minorEastAsia" w:eastAsiaTheme="minorEastAsia" w:cstheme="minorEastAsia"/>
          <w:color w:val="auto"/>
          <w:highlight w:val="none"/>
          <w:u w:val="single"/>
        </w:rPr>
        <w:t>（（填写“签发机关全称”）</w:t>
      </w:r>
      <w:r>
        <w:rPr>
          <w:rFonts w:hint="eastAsia" w:asciiTheme="minorEastAsia" w:hAnsiTheme="minorEastAsia" w:eastAsiaTheme="minorEastAsia" w:cstheme="minorEastAsia"/>
          <w:color w:val="auto"/>
          <w:highlight w:val="none"/>
        </w:rPr>
        <w:t>签发的我方（请填写自然人的身份证件名称）复印件，该证明材料真实有效，否则我方负全部责任。</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※注意：</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1、请投标人按照实际情况编制填写，在相应的（）中打“√”并选择相应的“□”（若有）后，再按照本格式的要求提供相应证明材料的复印件。</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w:t>
      </w:r>
      <w:r>
        <w:rPr>
          <w:rFonts w:hint="eastAsia" w:asciiTheme="minorEastAsia" w:hAnsiTheme="minorEastAsia" w:eastAsiaTheme="minorEastAsia" w:cstheme="minorEastAsia"/>
          <w:color w:val="auto"/>
          <w:highlight w:val="none"/>
          <w:u w:val="single"/>
        </w:rPr>
        <w:t>（全称并加盖单位公章）</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年　　月　　日</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二-3财务状况报告（财务报告、或资信证明）</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w:t>
      </w:r>
      <w:r>
        <w:rPr>
          <w:rFonts w:hint="eastAsia" w:asciiTheme="minorEastAsia" w:hAnsiTheme="minorEastAsia" w:eastAsiaTheme="minorEastAsia" w:cstheme="minorEastAsia"/>
          <w:color w:val="auto"/>
          <w:highlight w:val="none"/>
          <w:u w:val="single"/>
        </w:rPr>
        <w:t>（采购人或采购代理机构）</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）投标人提供财务报告的</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□企业适用：现附上我方</w:t>
      </w:r>
      <w:r>
        <w:rPr>
          <w:rFonts w:hint="eastAsia" w:asciiTheme="minorEastAsia" w:hAnsiTheme="minorEastAsia" w:eastAsiaTheme="minorEastAsia" w:cstheme="minorEastAsia"/>
          <w:color w:val="auto"/>
          <w:highlight w:val="none"/>
          <w:u w:val="single"/>
        </w:rPr>
        <w:t>（填写“具体的年度、或半年度、季度”）</w:t>
      </w:r>
      <w:r>
        <w:rPr>
          <w:rFonts w:hint="eastAsia" w:asciiTheme="minorEastAsia" w:hAnsiTheme="minorEastAsia" w:eastAsiaTheme="minorEastAsia" w:cstheme="minorEastAsia"/>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□事业单位适用：现附上我方</w:t>
      </w:r>
      <w:r>
        <w:rPr>
          <w:rFonts w:hint="eastAsia" w:asciiTheme="minorEastAsia" w:hAnsiTheme="minorEastAsia" w:eastAsiaTheme="minorEastAsia" w:cstheme="minorEastAsia"/>
          <w:color w:val="auto"/>
          <w:highlight w:val="none"/>
          <w:u w:val="single"/>
        </w:rPr>
        <w:t>（填写“具体的年度、或半年度、或季度”）</w:t>
      </w:r>
      <w:r>
        <w:rPr>
          <w:rFonts w:hint="eastAsia" w:asciiTheme="minorEastAsia" w:hAnsiTheme="minorEastAsia" w:eastAsiaTheme="minorEastAsia" w:cstheme="minorEastAsia"/>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□社会团体、民办非企适用：现附上我方</w:t>
      </w:r>
      <w:r>
        <w:rPr>
          <w:rFonts w:hint="eastAsia" w:asciiTheme="minorEastAsia" w:hAnsiTheme="minorEastAsia" w:eastAsiaTheme="minorEastAsia" w:cstheme="minorEastAsia"/>
          <w:color w:val="auto"/>
          <w:highlight w:val="none"/>
          <w:u w:val="single"/>
        </w:rPr>
        <w:t>（填写“具体的年度、或半年度、或季度”）</w:t>
      </w:r>
      <w:r>
        <w:rPr>
          <w:rFonts w:hint="eastAsia" w:asciiTheme="minorEastAsia" w:hAnsiTheme="minorEastAsia" w:eastAsiaTheme="minorEastAsia" w:cstheme="minorEastAsia"/>
          <w:color w:val="auto"/>
          <w:highlight w:val="none"/>
        </w:rPr>
        <w:t>财务报告复印件，包括资产负债表、业务活动表、现金流量表、会计师事务所营业执照和注册会计师资格证书，上述证明材料真实有效，否则我方负全部责任。</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）投标人提供资信证明的</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□非自然人适用（包括企业、事业单位、社会团体和其他组织）：现附上我方银行：</w:t>
      </w:r>
      <w:r>
        <w:rPr>
          <w:rFonts w:hint="eastAsia" w:asciiTheme="minorEastAsia" w:hAnsiTheme="minorEastAsia" w:eastAsiaTheme="minorEastAsia" w:cstheme="minorEastAsia"/>
          <w:color w:val="auto"/>
          <w:highlight w:val="none"/>
          <w:u w:val="single"/>
        </w:rPr>
        <w:t>（填写“开户银行全称”）</w:t>
      </w:r>
      <w:r>
        <w:rPr>
          <w:rFonts w:hint="eastAsia" w:asciiTheme="minorEastAsia" w:hAnsiTheme="minorEastAsia" w:eastAsiaTheme="minorEastAsia" w:cstheme="minorEastAsia"/>
          <w:color w:val="auto"/>
          <w:highlight w:val="none"/>
        </w:rPr>
        <w:t>出具的资信证明复印件，上述证明材料真实有效，否则我方负全部责任。</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□自然人适用：现附上我方银行</w:t>
      </w:r>
      <w:r>
        <w:rPr>
          <w:rFonts w:hint="eastAsia" w:asciiTheme="minorEastAsia" w:hAnsiTheme="minorEastAsia" w:eastAsiaTheme="minorEastAsia" w:cstheme="minorEastAsia"/>
          <w:color w:val="auto"/>
          <w:highlight w:val="none"/>
          <w:u w:val="single"/>
        </w:rPr>
        <w:t>：（填写自然人的“个人账户的开户银行全称”）</w:t>
      </w:r>
      <w:r>
        <w:rPr>
          <w:rFonts w:hint="eastAsia" w:asciiTheme="minorEastAsia" w:hAnsiTheme="minorEastAsia" w:eastAsiaTheme="minorEastAsia" w:cstheme="minorEastAsia"/>
          <w:color w:val="auto"/>
          <w:highlight w:val="none"/>
        </w:rPr>
        <w:t>出具的资信证明复印件，上述证明材料真实有效，否则我方负全部责任。</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※注意：</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1、请投标人按照实际情况编制填写，在相应的（）中打“√”并选择相应的“□”（若有）后，再按照本格式的要求提供相应证明材料的复印件。</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2、投标人提供的财务报告复印件（成立年限按照投标截止时间推算）应符合下列规定：</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2.1成立年限满1年及以上的投标人，提供经审计的招标文件规定的年度财务报告。</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2.2成立年限满半年但不足1年的投标人，提供该半年度中任一季度的季度财务报告或该半年度的半年度财务报告。</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w:t>
      </w:r>
      <w:r>
        <w:rPr>
          <w:rFonts w:hint="eastAsia" w:asciiTheme="minorEastAsia" w:hAnsiTheme="minorEastAsia" w:eastAsiaTheme="minorEastAsia" w:cstheme="minorEastAsia"/>
          <w:color w:val="auto"/>
          <w:highlight w:val="none"/>
          <w:u w:val="single"/>
        </w:rPr>
        <w:t>（全称并加盖单位公章）</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年　　月　　日</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二-4依法缴纳税收证明材料</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w:t>
      </w:r>
      <w:r>
        <w:rPr>
          <w:rFonts w:hint="eastAsia" w:asciiTheme="minorEastAsia" w:hAnsiTheme="minorEastAsia" w:eastAsiaTheme="minorEastAsia" w:cstheme="minorEastAsia"/>
          <w:color w:val="auto"/>
          <w:highlight w:val="none"/>
          <w:u w:val="single"/>
        </w:rPr>
        <w:t>（采购人或采购代理机构）</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1、依法缴纳税收的投标人</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）法人（包括企业、事业单位和社会团体）的</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现附上自</w:t>
      </w:r>
      <w:r>
        <w:rPr>
          <w:rFonts w:hint="eastAsia" w:asciiTheme="minorEastAsia" w:hAnsiTheme="minorEastAsia" w:eastAsiaTheme="minorEastAsia" w:cstheme="minorEastAsia"/>
          <w:color w:val="auto"/>
          <w:highlight w:val="none"/>
          <w:u w:val="single"/>
        </w:rPr>
        <w:t>　　年　　月　　日</w:t>
      </w:r>
      <w:r>
        <w:rPr>
          <w:rFonts w:hint="eastAsia" w:asciiTheme="minorEastAsia" w:hAnsiTheme="minorEastAsia" w:eastAsiaTheme="minorEastAsia" w:cstheme="minorEastAsia"/>
          <w:color w:val="auto"/>
          <w:highlight w:val="none"/>
        </w:rPr>
        <w:t>至</w:t>
      </w:r>
      <w:r>
        <w:rPr>
          <w:rFonts w:hint="eastAsia" w:asciiTheme="minorEastAsia" w:hAnsiTheme="minorEastAsia" w:eastAsiaTheme="minorEastAsia" w:cstheme="minorEastAsia"/>
          <w:color w:val="auto"/>
          <w:highlight w:val="none"/>
          <w:u w:val="single"/>
        </w:rPr>
        <w:t>　　年　　月　　日</w:t>
      </w:r>
      <w:r>
        <w:rPr>
          <w:rFonts w:hint="eastAsia" w:asciiTheme="minorEastAsia" w:hAnsiTheme="minorEastAsia" w:eastAsiaTheme="minorEastAsia" w:cstheme="minorEastAsia"/>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）非法人（包括其他组织、自然人）的</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现附上自</w:t>
      </w:r>
      <w:r>
        <w:rPr>
          <w:rFonts w:hint="eastAsia" w:asciiTheme="minorEastAsia" w:hAnsiTheme="minorEastAsia" w:eastAsiaTheme="minorEastAsia" w:cstheme="minorEastAsia"/>
          <w:color w:val="auto"/>
          <w:highlight w:val="none"/>
          <w:u w:val="single"/>
        </w:rPr>
        <w:t>　　年　　月　　日</w:t>
      </w:r>
      <w:r>
        <w:rPr>
          <w:rFonts w:hint="eastAsia" w:asciiTheme="minorEastAsia" w:hAnsiTheme="minorEastAsia" w:eastAsiaTheme="minorEastAsia" w:cstheme="minorEastAsia"/>
          <w:color w:val="auto"/>
          <w:highlight w:val="none"/>
        </w:rPr>
        <w:t>至</w:t>
      </w:r>
      <w:r>
        <w:rPr>
          <w:rFonts w:hint="eastAsia" w:asciiTheme="minorEastAsia" w:hAnsiTheme="minorEastAsia" w:eastAsiaTheme="minorEastAsia" w:cstheme="minorEastAsia"/>
          <w:color w:val="auto"/>
          <w:highlight w:val="none"/>
          <w:u w:val="single"/>
        </w:rPr>
        <w:t>　　年　　月　　日</w:t>
      </w:r>
      <w:r>
        <w:rPr>
          <w:rFonts w:hint="eastAsia" w:asciiTheme="minorEastAsia" w:hAnsiTheme="minorEastAsia" w:eastAsiaTheme="minorEastAsia" w:cstheme="minorEastAsia"/>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2、依法免税的投标人</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）现附上我方依法免税的证明材料复印件，上述证明材料真实有效，否则我方负全部责任。</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※注意：</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1、请投标人按照实际情况编制填写，在相应的（）中打“√”，并按照本格式的要求提供相应证明材料的复印件。</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2、投标人提供的税收缴纳凭据复印件应符合下列规定：</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2.1投标截止时间前（不含投标截止时间的当月）已依法缴纳税收的投标人，提供投标截止时间前六个月（不含投标截止时间的当月）中任一月份的税收缴纳凭据复印件。</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2.2投标截止时间的当月成立的投标人，视同满足本项资格条件要求。</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3、若为依法免税范围的投标人，提供依法免税证明材料的，视同满足本项资格条件要求。</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w:t>
      </w:r>
      <w:r>
        <w:rPr>
          <w:rFonts w:hint="eastAsia" w:asciiTheme="minorEastAsia" w:hAnsiTheme="minorEastAsia" w:eastAsiaTheme="minorEastAsia" w:cstheme="minorEastAsia"/>
          <w:color w:val="auto"/>
          <w:highlight w:val="none"/>
          <w:u w:val="single"/>
        </w:rPr>
        <w:t>（全称并加盖单位公章）</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年　　月　　日</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二-5依法缴纳社会保障资金证明材料</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w:t>
      </w:r>
      <w:r>
        <w:rPr>
          <w:rFonts w:hint="eastAsia" w:asciiTheme="minorEastAsia" w:hAnsiTheme="minorEastAsia" w:eastAsiaTheme="minorEastAsia" w:cstheme="minorEastAsia"/>
          <w:color w:val="auto"/>
          <w:highlight w:val="none"/>
          <w:u w:val="single"/>
        </w:rPr>
        <w:t>（采购人或采购代理机构）</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1、依法缴纳社会保障资金的投标人</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）法人（包括企业、事业单位和社会团体）的</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现附上自</w:t>
      </w:r>
      <w:r>
        <w:rPr>
          <w:rFonts w:hint="eastAsia" w:asciiTheme="minorEastAsia" w:hAnsiTheme="minorEastAsia" w:eastAsiaTheme="minorEastAsia" w:cstheme="minorEastAsia"/>
          <w:color w:val="auto"/>
          <w:highlight w:val="none"/>
          <w:u w:val="single"/>
        </w:rPr>
        <w:t>　　年　　月　　日</w:t>
      </w:r>
      <w:r>
        <w:rPr>
          <w:rFonts w:hint="eastAsia" w:asciiTheme="minorEastAsia" w:hAnsiTheme="minorEastAsia" w:eastAsiaTheme="minorEastAsia" w:cstheme="minorEastAsia"/>
          <w:color w:val="auto"/>
          <w:highlight w:val="none"/>
        </w:rPr>
        <w:t>至</w:t>
      </w:r>
      <w:r>
        <w:rPr>
          <w:rFonts w:hint="eastAsia" w:asciiTheme="minorEastAsia" w:hAnsiTheme="minorEastAsia" w:eastAsiaTheme="minorEastAsia" w:cstheme="minorEastAsia"/>
          <w:color w:val="auto"/>
          <w:highlight w:val="none"/>
          <w:u w:val="single"/>
        </w:rPr>
        <w:t>　　年　　月　　日</w:t>
      </w:r>
      <w:r>
        <w:rPr>
          <w:rFonts w:hint="eastAsia" w:asciiTheme="minorEastAsia" w:hAnsiTheme="minorEastAsia" w:eastAsiaTheme="minorEastAsia" w:cstheme="minorEastAsia"/>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）非法人（包括其他组织、自然人）的</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自</w:t>
      </w:r>
      <w:r>
        <w:rPr>
          <w:rFonts w:hint="eastAsia" w:asciiTheme="minorEastAsia" w:hAnsiTheme="minorEastAsia" w:eastAsiaTheme="minorEastAsia" w:cstheme="minorEastAsia"/>
          <w:color w:val="auto"/>
          <w:highlight w:val="none"/>
          <w:u w:val="single"/>
        </w:rPr>
        <w:t>　　年　　月　　日</w:t>
      </w:r>
      <w:r>
        <w:rPr>
          <w:rFonts w:hint="eastAsia" w:asciiTheme="minorEastAsia" w:hAnsiTheme="minorEastAsia" w:eastAsiaTheme="minorEastAsia" w:cstheme="minorEastAsia"/>
          <w:color w:val="auto"/>
          <w:highlight w:val="none"/>
        </w:rPr>
        <w:t>至</w:t>
      </w:r>
      <w:r>
        <w:rPr>
          <w:rFonts w:hint="eastAsia" w:asciiTheme="minorEastAsia" w:hAnsiTheme="minorEastAsia" w:eastAsiaTheme="minorEastAsia" w:cstheme="minorEastAsia"/>
          <w:color w:val="auto"/>
          <w:highlight w:val="none"/>
          <w:u w:val="single"/>
        </w:rPr>
        <w:t>　　年　　月　　日</w:t>
      </w:r>
      <w:r>
        <w:rPr>
          <w:rFonts w:hint="eastAsia" w:asciiTheme="minorEastAsia" w:hAnsiTheme="minorEastAsia" w:eastAsiaTheme="minorEastAsia" w:cstheme="minorEastAsia"/>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2、依法不需要缴纳或暂缓缴纳社会保障资金的投标人</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）现附上我方依法不需要缴纳或暂缓缴纳社会保障资金证明材料复印件，上述证明材料真实有效，否则我方负全部责任。</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※注意：</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1、请投标人按照实际情况编制填写，在相应的（）中打“√”，并按照本格式的要求提供相应证明材料的复印件。</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2、投标人提供的社会保障资金缴纳凭据复印件应符合下列规定：</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2.2投标截止时间的当月成立的投标人，视同满足本项资格条件要求。</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3、若为依法不需要缴纳或暂缓缴纳社会保障资金的投标人，提供依法不需要缴纳或暂缓缴纳社会保障资金证明材料的，视同满足本项资格条件要求。</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w:t>
      </w:r>
      <w:r>
        <w:rPr>
          <w:rFonts w:hint="eastAsia" w:asciiTheme="minorEastAsia" w:hAnsiTheme="minorEastAsia" w:eastAsiaTheme="minorEastAsia" w:cstheme="minorEastAsia"/>
          <w:color w:val="auto"/>
          <w:highlight w:val="none"/>
          <w:u w:val="single"/>
        </w:rPr>
        <w:t>（全称并加盖单位公章）</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年　　月　　日</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二-6具备履行合同所必需设备和专业技术能力的声明函（若有）</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w:t>
      </w:r>
      <w:r>
        <w:rPr>
          <w:rFonts w:hint="eastAsia" w:asciiTheme="minorEastAsia" w:hAnsiTheme="minorEastAsia" w:eastAsiaTheme="minorEastAsia" w:cstheme="minorEastAsia"/>
          <w:color w:val="auto"/>
          <w:highlight w:val="none"/>
          <w:u w:val="single"/>
        </w:rPr>
        <w:t>（采购人或采购代理机构）</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我方具备履行合同所必需的设备和专业技术能力，否则产生不利后果由我方承担责任。</w:t>
      </w:r>
    </w:p>
    <w:p>
      <w:pPr>
        <w:pStyle w:val="9"/>
        <w:ind w:firstLine="96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特此声明。</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※注意：</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1、招标文件未要求投标人提供“具备履行合同所必需的设备和专业技术能力专项证明材料”的，投标人应提供本声明函。</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2、招标文件要求投标人提供“具备履行合同所必需的设备和专业技术能力专项证明材料”的，投标人可不提供本声明函。</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3、请投标人根据实际情况如实声明，否则视为提供虚假材料。</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w:t>
      </w:r>
      <w:r>
        <w:rPr>
          <w:rFonts w:hint="eastAsia" w:asciiTheme="minorEastAsia" w:hAnsiTheme="minorEastAsia" w:eastAsiaTheme="minorEastAsia" w:cstheme="minorEastAsia"/>
          <w:color w:val="auto"/>
          <w:highlight w:val="none"/>
          <w:u w:val="single"/>
        </w:rPr>
        <w:t>（全称并加盖单位公章）</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年　　月　　日</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二-7参加采购活动前三年内在经营活动中没有重大违法记录书面声明</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w:t>
      </w:r>
      <w:r>
        <w:rPr>
          <w:rFonts w:hint="eastAsia" w:asciiTheme="minorEastAsia" w:hAnsiTheme="minorEastAsia" w:eastAsiaTheme="minorEastAsia" w:cstheme="minorEastAsia"/>
          <w:color w:val="auto"/>
          <w:highlight w:val="none"/>
          <w:u w:val="single"/>
        </w:rPr>
        <w:t>（采购人或采购代理机构）</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9"/>
        <w:ind w:firstLine="96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特此声明。</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※注意：</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请投标人根据实际情况如实声明，否则视为提供虚假材料。</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w:t>
      </w:r>
      <w:r>
        <w:rPr>
          <w:rFonts w:hint="eastAsia" w:asciiTheme="minorEastAsia" w:hAnsiTheme="minorEastAsia" w:eastAsiaTheme="minorEastAsia" w:cstheme="minorEastAsia"/>
          <w:color w:val="auto"/>
          <w:highlight w:val="none"/>
          <w:u w:val="single"/>
        </w:rPr>
        <w:t>（全称并加盖单位公章）</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年　　月　　日</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二-8信用记录查询提示</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1、由资格审查小组通过网站查询并打印投标人的信用记录。</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二-9中小企业声明函</w:t>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（以资格条件落实中小企业扶持政策时适用，若有）</w:t>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中小企业声明函（货物）</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highlight w:val="none"/>
          <w:u w:val="single"/>
        </w:rPr>
        <w:t>（单位名称）</w:t>
      </w:r>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color w:val="auto"/>
          <w:highlight w:val="none"/>
          <w:u w:val="single"/>
        </w:rPr>
        <w:t>（项目名称）</w:t>
      </w:r>
      <w:r>
        <w:rPr>
          <w:rFonts w:hint="eastAsia" w:asciiTheme="minorEastAsia" w:hAnsiTheme="minorEastAsia" w:eastAsiaTheme="minorEastAsia" w:cstheme="minorEastAsia"/>
          <w:color w:val="auto"/>
          <w:highlight w:val="none"/>
        </w:rPr>
        <w:t>采购活动，提供的货物全部由符合政策要求的中小企业制造。相关企业（含联合体中的中小企业、签订分包意向协议的中小企业）的具体情况如下：</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u w:val="single"/>
        </w:rPr>
        <w:t xml:space="preserve"> （标的名称） </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（采购文件中明确的所属行业）</w:t>
      </w:r>
      <w:r>
        <w:rPr>
          <w:rFonts w:hint="eastAsia" w:asciiTheme="minorEastAsia" w:hAnsiTheme="minorEastAsia" w:eastAsiaTheme="minorEastAsia" w:cstheme="minorEastAsia"/>
          <w:color w:val="auto"/>
          <w:highlight w:val="none"/>
        </w:rPr>
        <w:t>行业；制造商为</w:t>
      </w:r>
      <w:r>
        <w:rPr>
          <w:rFonts w:hint="eastAsia" w:asciiTheme="minorEastAsia" w:hAnsiTheme="minorEastAsia" w:eastAsiaTheme="minorEastAsia" w:cstheme="minorEastAsia"/>
          <w:color w:val="auto"/>
          <w:highlight w:val="none"/>
          <w:u w:val="single"/>
        </w:rPr>
        <w:t>（企业名称）</w:t>
      </w:r>
      <w:r>
        <w:rPr>
          <w:rFonts w:hint="eastAsia" w:asciiTheme="minorEastAsia" w:hAnsiTheme="minorEastAsia" w:eastAsiaTheme="minorEastAsia" w:cstheme="minorEastAsia"/>
          <w:color w:val="auto"/>
          <w:highlight w:val="none"/>
        </w:rPr>
        <w:t>，从业人员</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人，营业收入为</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万元，资产总额为</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万元</w:t>
      </w:r>
      <w:r>
        <w:rPr>
          <w:rFonts w:hint="eastAsia" w:asciiTheme="minorEastAsia" w:hAnsiTheme="minorEastAsia" w:eastAsiaTheme="minorEastAsia" w:cstheme="minorEastAsia"/>
          <w:color w:val="auto"/>
          <w:sz w:val="21"/>
          <w:highlight w:val="none"/>
        </w:rPr>
        <w:t>1</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（中型企业、小型企业、微型企业）</w:t>
      </w:r>
      <w:r>
        <w:rPr>
          <w:rFonts w:hint="eastAsia" w:asciiTheme="minorEastAsia" w:hAnsiTheme="minorEastAsia" w:eastAsiaTheme="minorEastAsia" w:cstheme="minorEastAsia"/>
          <w:color w:val="auto"/>
          <w:highlight w:val="none"/>
        </w:rPr>
        <w:t>；</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u w:val="single"/>
        </w:rPr>
        <w:t xml:space="preserve"> （标的名称） </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（采购文件中明确的所属行业）</w:t>
      </w:r>
      <w:r>
        <w:rPr>
          <w:rFonts w:hint="eastAsia" w:asciiTheme="minorEastAsia" w:hAnsiTheme="minorEastAsia" w:eastAsiaTheme="minorEastAsia" w:cstheme="minorEastAsia"/>
          <w:color w:val="auto"/>
          <w:highlight w:val="none"/>
        </w:rPr>
        <w:t>行业；制造商为</w:t>
      </w:r>
      <w:r>
        <w:rPr>
          <w:rFonts w:hint="eastAsia" w:asciiTheme="minorEastAsia" w:hAnsiTheme="minorEastAsia" w:eastAsiaTheme="minorEastAsia" w:cstheme="minorEastAsia"/>
          <w:color w:val="auto"/>
          <w:highlight w:val="none"/>
          <w:u w:val="single"/>
        </w:rPr>
        <w:t>（企业名称）</w:t>
      </w:r>
      <w:r>
        <w:rPr>
          <w:rFonts w:hint="eastAsia" w:asciiTheme="minorEastAsia" w:hAnsiTheme="minorEastAsia" w:eastAsiaTheme="minorEastAsia" w:cstheme="minorEastAsia"/>
          <w:color w:val="auto"/>
          <w:highlight w:val="none"/>
        </w:rPr>
        <w:t>，从业人员</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人，营业收入为</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万元，资产总额为</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万元，属于</w:t>
      </w:r>
      <w:r>
        <w:rPr>
          <w:rFonts w:hint="eastAsia" w:asciiTheme="minorEastAsia" w:hAnsiTheme="minorEastAsia" w:eastAsiaTheme="minorEastAsia" w:cstheme="minorEastAsia"/>
          <w:color w:val="auto"/>
          <w:highlight w:val="none"/>
          <w:u w:val="single"/>
        </w:rPr>
        <w:t>（中型企业、小型企业、微型企业）</w:t>
      </w:r>
      <w:r>
        <w:rPr>
          <w:rFonts w:hint="eastAsia" w:asciiTheme="minorEastAsia" w:hAnsiTheme="minorEastAsia" w:eastAsiaTheme="minorEastAsia" w:cstheme="minorEastAsia"/>
          <w:color w:val="auto"/>
          <w:highlight w:val="none"/>
        </w:rPr>
        <w:t>；</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以上企业，不属于大企业的分支机构，不存在控股股东为大企业的情形，也不存在与大企业的负责人为同一人的情形。</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本企业对上述声明内容的真实性负责。如有虚假，将依法承担相应责任。</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w:t>
      </w:r>
      <w:r>
        <w:rPr>
          <w:rFonts w:hint="eastAsia" w:asciiTheme="minorEastAsia" w:hAnsiTheme="minorEastAsia" w:eastAsiaTheme="minorEastAsia" w:cstheme="minorEastAsia"/>
          <w:color w:val="auto"/>
          <w:highlight w:val="none"/>
          <w:u w:val="single"/>
        </w:rPr>
        <w:t>（全称并加盖单位公章）</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年　　月　　日</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※注意：</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1、从业人员、营业收入、资产总额填报上一年度数据，无上一年度数据的新成立企业可不填报。</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中小企业声明函（工程、服务）</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highlight w:val="none"/>
          <w:u w:val="single"/>
        </w:rPr>
        <w:t>（单位名称）</w:t>
      </w:r>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color w:val="auto"/>
          <w:highlight w:val="none"/>
          <w:u w:val="single"/>
        </w:rPr>
        <w:t>（项目名称）</w:t>
      </w:r>
      <w:r>
        <w:rPr>
          <w:rFonts w:hint="eastAsia" w:asciiTheme="minorEastAsia" w:hAnsiTheme="minorEastAsia" w:eastAsiaTheme="minorEastAsia" w:cstheme="minorEastAsia"/>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u w:val="single"/>
        </w:rPr>
        <w:t>（标的名称）</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（采购文件中明确的所属行业）</w:t>
      </w:r>
      <w:r>
        <w:rPr>
          <w:rFonts w:hint="eastAsia" w:asciiTheme="minorEastAsia" w:hAnsiTheme="minorEastAsia" w:eastAsiaTheme="minorEastAsia" w:cstheme="minorEastAsia"/>
          <w:color w:val="auto"/>
          <w:highlight w:val="none"/>
        </w:rPr>
        <w:t>；承建（承接）企业为</w:t>
      </w:r>
      <w:r>
        <w:rPr>
          <w:rFonts w:hint="eastAsia" w:asciiTheme="minorEastAsia" w:hAnsiTheme="minorEastAsia" w:eastAsiaTheme="minorEastAsia" w:cstheme="minorEastAsia"/>
          <w:color w:val="auto"/>
          <w:highlight w:val="none"/>
          <w:u w:val="single"/>
        </w:rPr>
        <w:t>（企业名称）</w:t>
      </w:r>
      <w:r>
        <w:rPr>
          <w:rFonts w:hint="eastAsia" w:asciiTheme="minorEastAsia" w:hAnsiTheme="minorEastAsia" w:eastAsiaTheme="minorEastAsia" w:cstheme="minorEastAsia"/>
          <w:color w:val="auto"/>
          <w:highlight w:val="none"/>
        </w:rPr>
        <w:t>，从业人员</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人，营业收入为</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万元，资产总额为</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万元</w:t>
      </w:r>
      <w:r>
        <w:rPr>
          <w:rFonts w:hint="eastAsia" w:asciiTheme="minorEastAsia" w:hAnsiTheme="minorEastAsia" w:eastAsiaTheme="minorEastAsia" w:cstheme="minorEastAsia"/>
          <w:color w:val="auto"/>
          <w:sz w:val="21"/>
          <w:highlight w:val="none"/>
        </w:rPr>
        <w:t>1</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（中型企业、小型企业、微型企业）</w:t>
      </w:r>
      <w:r>
        <w:rPr>
          <w:rFonts w:hint="eastAsia" w:asciiTheme="minorEastAsia" w:hAnsiTheme="minorEastAsia" w:eastAsiaTheme="minorEastAsia" w:cstheme="minorEastAsia"/>
          <w:color w:val="auto"/>
          <w:highlight w:val="none"/>
        </w:rPr>
        <w:t>；</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u w:val="single"/>
        </w:rPr>
        <w:t>（标的名称）</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（采购文件中明确的所属行业）</w:t>
      </w:r>
      <w:r>
        <w:rPr>
          <w:rFonts w:hint="eastAsia" w:asciiTheme="minorEastAsia" w:hAnsiTheme="minorEastAsia" w:eastAsiaTheme="minorEastAsia" w:cstheme="minorEastAsia"/>
          <w:color w:val="auto"/>
          <w:highlight w:val="none"/>
        </w:rPr>
        <w:t>；承建（承接）企业为</w:t>
      </w:r>
      <w:r>
        <w:rPr>
          <w:rFonts w:hint="eastAsia" w:asciiTheme="minorEastAsia" w:hAnsiTheme="minorEastAsia" w:eastAsiaTheme="minorEastAsia" w:cstheme="minorEastAsia"/>
          <w:color w:val="auto"/>
          <w:highlight w:val="none"/>
          <w:u w:val="single"/>
        </w:rPr>
        <w:t>（企业名称）</w:t>
      </w:r>
      <w:r>
        <w:rPr>
          <w:rFonts w:hint="eastAsia" w:asciiTheme="minorEastAsia" w:hAnsiTheme="minorEastAsia" w:eastAsiaTheme="minorEastAsia" w:cstheme="minorEastAsia"/>
          <w:color w:val="auto"/>
          <w:highlight w:val="none"/>
        </w:rPr>
        <w:t>，从业人员</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人，营业收入为</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万元，资产总额为</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万元，属于</w:t>
      </w:r>
      <w:r>
        <w:rPr>
          <w:rFonts w:hint="eastAsia" w:asciiTheme="minorEastAsia" w:hAnsiTheme="minorEastAsia" w:eastAsiaTheme="minorEastAsia" w:cstheme="minorEastAsia"/>
          <w:color w:val="auto"/>
          <w:highlight w:val="none"/>
          <w:u w:val="single"/>
        </w:rPr>
        <w:t>（中型企业、小型企业、微型企业）</w:t>
      </w:r>
      <w:r>
        <w:rPr>
          <w:rFonts w:hint="eastAsia" w:asciiTheme="minorEastAsia" w:hAnsiTheme="minorEastAsia" w:eastAsiaTheme="minorEastAsia" w:cstheme="minorEastAsia"/>
          <w:color w:val="auto"/>
          <w:highlight w:val="none"/>
        </w:rPr>
        <w:t>；</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以上企业，不属于大企业的分支机构，不存在控股股东为大企业的情形，也不存在与大企业的负责人为同一人的情形。</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本企业对上述声明内容的真实性负责。如有虚假，将依法承担相应责任。</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w:t>
      </w:r>
      <w:r>
        <w:rPr>
          <w:rFonts w:hint="eastAsia" w:asciiTheme="minorEastAsia" w:hAnsiTheme="minorEastAsia" w:eastAsiaTheme="minorEastAsia" w:cstheme="minorEastAsia"/>
          <w:color w:val="auto"/>
          <w:highlight w:val="none"/>
          <w:u w:val="single"/>
        </w:rPr>
        <w:t>（全称并加盖单位公章）</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年　　月　　日</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※注意：</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1、从业人员、营业收入、资产总额填报上一年度数据，无上一年度数据的新成立企业可不填报。</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残疾人福利性单位声明函</w:t>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（以资格条件落实中小企业扶持政策时适用，若有）</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）由本投标人承建的（填写“所投采购包、品目号”）工程</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）由本投标人承接的（填写“所投采购包、品目号”）服务；</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本投标人对上述声明的真实性负责。如有虚假，将依法承担相应责任。</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1、请投标人按照实际情况编制填写本声明函，并在相应的（）中打“√”。</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2、若《残疾人福利性单位声明函》内容不真实，视为提供虚假材料。</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w:t>
      </w:r>
      <w:r>
        <w:rPr>
          <w:rFonts w:hint="eastAsia" w:asciiTheme="minorEastAsia" w:hAnsiTheme="minorEastAsia" w:eastAsiaTheme="minorEastAsia" w:cstheme="minorEastAsia"/>
          <w:color w:val="auto"/>
          <w:highlight w:val="none"/>
          <w:u w:val="single"/>
        </w:rPr>
        <w:t>（全称并加盖单位公章）</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年　　月　　日</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w:t>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监狱企业证明材料</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二-10联合体协议（若有）</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w:t>
      </w:r>
      <w:r>
        <w:rPr>
          <w:rFonts w:hint="eastAsia" w:asciiTheme="minorEastAsia" w:hAnsiTheme="minorEastAsia" w:eastAsiaTheme="minorEastAsia" w:cstheme="minorEastAsia"/>
          <w:color w:val="auto"/>
          <w:highlight w:val="none"/>
          <w:u w:val="single"/>
        </w:rPr>
        <w:t>（采购人或采购代理机构）</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兹有</w:t>
      </w:r>
      <w:r>
        <w:rPr>
          <w:rFonts w:hint="eastAsia" w:asciiTheme="minorEastAsia" w:hAnsiTheme="minorEastAsia" w:eastAsiaTheme="minorEastAsia" w:cstheme="minorEastAsia"/>
          <w:color w:val="auto"/>
          <w:highlight w:val="none"/>
          <w:u w:val="single"/>
        </w:rPr>
        <w:t>（填写“联合体中各方的全称”，各方的全称之间请用“、”分割）</w:t>
      </w:r>
      <w:r>
        <w:rPr>
          <w:rFonts w:hint="eastAsia" w:asciiTheme="minorEastAsia" w:hAnsiTheme="minorEastAsia" w:eastAsiaTheme="minorEastAsia" w:cstheme="minorEastAsia"/>
          <w:color w:val="auto"/>
          <w:highlight w:val="none"/>
        </w:rPr>
        <w:t>自愿组成联合体，共同参加</w:t>
      </w:r>
      <w:r>
        <w:rPr>
          <w:rFonts w:hint="eastAsia" w:asciiTheme="minorEastAsia" w:hAnsiTheme="minorEastAsia" w:eastAsiaTheme="minorEastAsia" w:cstheme="minorEastAsia"/>
          <w:color w:val="auto"/>
          <w:highlight w:val="none"/>
          <w:u w:val="single"/>
        </w:rPr>
        <w:t>（填写“项目名称”）</w:t>
      </w:r>
      <w:r>
        <w:rPr>
          <w:rFonts w:hint="eastAsia" w:asciiTheme="minorEastAsia" w:hAnsiTheme="minorEastAsia" w:eastAsiaTheme="minorEastAsia" w:cstheme="minorEastAsia"/>
          <w:color w:val="auto"/>
          <w:highlight w:val="none"/>
        </w:rPr>
        <w:t xml:space="preserve"> 项目（项目编号：</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）的投标。现就联合体参加本项目投标的有关事宜达成下列协议：</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一、联合体各方应承担的工作和义务具体如下：</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1、牵头方（全称）：</w:t>
      </w:r>
      <w:r>
        <w:rPr>
          <w:rFonts w:hint="eastAsia" w:asciiTheme="minorEastAsia" w:hAnsiTheme="minorEastAsia" w:eastAsiaTheme="minorEastAsia" w:cstheme="minorEastAsia"/>
          <w:color w:val="auto"/>
          <w:highlight w:val="none"/>
          <w:u w:val="single"/>
        </w:rPr>
        <w:t xml:space="preserve">（填写“工作及义务的具体内容”） </w:t>
      </w:r>
      <w:r>
        <w:rPr>
          <w:rFonts w:hint="eastAsia" w:asciiTheme="minorEastAsia" w:hAnsiTheme="minorEastAsia" w:eastAsiaTheme="minorEastAsia" w:cstheme="minorEastAsia"/>
          <w:color w:val="auto"/>
          <w:highlight w:val="none"/>
        </w:rPr>
        <w:t>；</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2、成员方：</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2.1（成员一的全称）：</w:t>
      </w:r>
      <w:r>
        <w:rPr>
          <w:rFonts w:hint="eastAsia" w:asciiTheme="minorEastAsia" w:hAnsiTheme="minorEastAsia" w:eastAsiaTheme="minorEastAsia" w:cstheme="minorEastAsia"/>
          <w:color w:val="auto"/>
          <w:highlight w:val="none"/>
          <w:u w:val="single"/>
        </w:rPr>
        <w:t>（填写“工作及义务的具体内容”）</w:t>
      </w:r>
      <w:r>
        <w:rPr>
          <w:rFonts w:hint="eastAsia" w:asciiTheme="minorEastAsia" w:hAnsiTheme="minorEastAsia" w:eastAsiaTheme="minorEastAsia" w:cstheme="minorEastAsia"/>
          <w:color w:val="auto"/>
          <w:highlight w:val="none"/>
        </w:rPr>
        <w:t xml:space="preserve"> ；</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二、联合体各方的合同金额占比，具体如下：</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1.牵头方（</w:t>
      </w:r>
      <w:r>
        <w:rPr>
          <w:rFonts w:hint="eastAsia" w:asciiTheme="minorEastAsia" w:hAnsiTheme="minorEastAsia" w:eastAsiaTheme="minorEastAsia" w:cstheme="minorEastAsia"/>
          <w:color w:val="auto"/>
          <w:highlight w:val="none"/>
          <w:u w:val="single"/>
        </w:rPr>
        <w:t xml:space="preserve"> 全称</w:t>
      </w:r>
      <w:r>
        <w:rPr>
          <w:rFonts w:hint="eastAsia" w:asciiTheme="minorEastAsia" w:hAnsiTheme="minorEastAsia" w:eastAsiaTheme="minorEastAsia" w:cstheme="minorEastAsia"/>
          <w:color w:val="auto"/>
          <w:highlight w:val="none"/>
        </w:rPr>
        <w:t xml:space="preserve"> ）的合同金额占合同总额的</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2.成员方：</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w:t>
      </w:r>
      <w:r>
        <w:rPr>
          <w:rFonts w:hint="eastAsia" w:asciiTheme="minorEastAsia" w:hAnsiTheme="minorEastAsia" w:eastAsiaTheme="minorEastAsia" w:cstheme="minorEastAsia"/>
          <w:color w:val="auto"/>
          <w:highlight w:val="none"/>
          <w:u w:val="single"/>
        </w:rPr>
        <w:t xml:space="preserve"> 成员1的全称 </w:t>
      </w:r>
      <w:r>
        <w:rPr>
          <w:rFonts w:hint="eastAsia" w:asciiTheme="minorEastAsia" w:hAnsiTheme="minorEastAsia" w:eastAsiaTheme="minorEastAsia" w:cstheme="minorEastAsia"/>
          <w:color w:val="auto"/>
          <w:highlight w:val="none"/>
        </w:rPr>
        <w:t>）的合同金额占合同总额的</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三、联合体各方约定：</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1、由</w:t>
      </w:r>
      <w:r>
        <w:rPr>
          <w:rFonts w:hint="eastAsia" w:asciiTheme="minorEastAsia" w:hAnsiTheme="minorEastAsia" w:eastAsiaTheme="minorEastAsia" w:cstheme="minorEastAsia"/>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2、联合体各方约定由</w:t>
      </w:r>
      <w:r>
        <w:rPr>
          <w:rFonts w:hint="eastAsia" w:asciiTheme="minorEastAsia" w:hAnsiTheme="minorEastAsia" w:eastAsiaTheme="minorEastAsia" w:cstheme="minorEastAsia"/>
          <w:color w:val="auto"/>
          <w:highlight w:val="none"/>
          <w:u w:val="single"/>
        </w:rPr>
        <w:t>（填写“牵头方的全称”）代表联合体办理投标保证金事宜。</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五、本协议自签署之日起生效，政府采购合同履行完毕后自动失效。</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六、本协议一式</w:t>
      </w:r>
      <w:r>
        <w:rPr>
          <w:rFonts w:hint="eastAsia" w:asciiTheme="minorEastAsia" w:hAnsiTheme="minorEastAsia" w:eastAsiaTheme="minorEastAsia" w:cstheme="minorEastAsia"/>
          <w:color w:val="auto"/>
          <w:highlight w:val="none"/>
          <w:u w:val="single"/>
        </w:rPr>
        <w:t>（填写具体份数）</w:t>
      </w:r>
      <w:r>
        <w:rPr>
          <w:rFonts w:hint="eastAsia" w:asciiTheme="minorEastAsia" w:hAnsiTheme="minorEastAsia" w:eastAsiaTheme="minorEastAsia" w:cstheme="minorEastAsia"/>
          <w:color w:val="auto"/>
          <w:highlight w:val="none"/>
        </w:rPr>
        <w:t>份，联合体各方各执一份，电子投标文件中提交一份。</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（以下无正文）</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牵头方：</w:t>
      </w:r>
      <w:r>
        <w:rPr>
          <w:rFonts w:hint="eastAsia" w:asciiTheme="minorEastAsia" w:hAnsiTheme="minorEastAsia" w:eastAsiaTheme="minorEastAsia" w:cstheme="minorEastAsia"/>
          <w:color w:val="auto"/>
          <w:highlight w:val="none"/>
          <w:u w:val="single"/>
        </w:rPr>
        <w:t>（全称并加盖单位公章）</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法定代表人或其委托代理人：</w:t>
      </w:r>
      <w:r>
        <w:rPr>
          <w:rFonts w:hint="eastAsia" w:asciiTheme="minorEastAsia" w:hAnsiTheme="minorEastAsia" w:eastAsiaTheme="minorEastAsia" w:cstheme="minorEastAsia"/>
          <w:color w:val="auto"/>
          <w:highlight w:val="none"/>
          <w:u w:val="single"/>
        </w:rPr>
        <w:t xml:space="preserve"> （签字或盖章）</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成员一：</w:t>
      </w:r>
      <w:r>
        <w:rPr>
          <w:rFonts w:hint="eastAsia" w:asciiTheme="minorEastAsia" w:hAnsiTheme="minorEastAsia" w:eastAsiaTheme="minorEastAsia" w:cstheme="minorEastAsia"/>
          <w:color w:val="auto"/>
          <w:highlight w:val="none"/>
          <w:u w:val="single"/>
        </w:rPr>
        <w:t>（全称并加盖成员一的单位公章）</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法定代表人或其委托代理人：</w:t>
      </w:r>
      <w:r>
        <w:rPr>
          <w:rFonts w:hint="eastAsia" w:asciiTheme="minorEastAsia" w:hAnsiTheme="minorEastAsia" w:eastAsiaTheme="minorEastAsia" w:cstheme="minorEastAsia"/>
          <w:color w:val="auto"/>
          <w:highlight w:val="none"/>
          <w:u w:val="single"/>
        </w:rPr>
        <w:t xml:space="preserve"> （签字或盖章）</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成员**：</w:t>
      </w:r>
      <w:r>
        <w:rPr>
          <w:rFonts w:hint="eastAsia" w:asciiTheme="minorEastAsia" w:hAnsiTheme="minorEastAsia" w:eastAsiaTheme="minorEastAsia" w:cstheme="minorEastAsia"/>
          <w:color w:val="auto"/>
          <w:highlight w:val="none"/>
          <w:u w:val="single"/>
        </w:rPr>
        <w:t>（全称并加盖成员**的单位公章）</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法定代表人或其委托代理人：</w:t>
      </w:r>
      <w:r>
        <w:rPr>
          <w:rFonts w:hint="eastAsia" w:asciiTheme="minorEastAsia" w:hAnsiTheme="minorEastAsia" w:eastAsiaTheme="minorEastAsia" w:cstheme="minorEastAsia"/>
          <w:color w:val="auto"/>
          <w:highlight w:val="none"/>
          <w:u w:val="single"/>
        </w:rPr>
        <w:t xml:space="preserve"> （签字或盖章）</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签署日期：</w:t>
      </w:r>
      <w:r>
        <w:rPr>
          <w:rFonts w:hint="eastAsia" w:asciiTheme="minorEastAsia" w:hAnsiTheme="minorEastAsia" w:eastAsiaTheme="minorEastAsia" w:cstheme="minorEastAsia"/>
          <w:color w:val="auto"/>
          <w:highlight w:val="none"/>
          <w:u w:val="single"/>
        </w:rPr>
        <w:t>　　年　　月　　日</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※注意：</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1、招标文件接受联合体投标且投标人为联合体的，投标人应提供本协议；否则无须提供。</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2、本协议由委托代理人签字或盖章的，应按照本章载明的格式提供“单位授权书”。</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3、在以联合体形式落实中小企业预留份额项目中，投标人除了要提供《中小企业声明函》，还需提供本协议。</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二-11分包意向协议（若有）</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甲方（总包方）：</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（即本项目的投标人）</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乙方（分包方）：</w:t>
      </w:r>
      <w:r>
        <w:rPr>
          <w:rFonts w:hint="eastAsia" w:asciiTheme="minorEastAsia" w:hAnsiTheme="minorEastAsia" w:eastAsiaTheme="minorEastAsia" w:cstheme="minorEastAsia"/>
          <w:color w:val="auto"/>
          <w:highlight w:val="none"/>
          <w:u w:val="single"/>
        </w:rPr>
        <w:t>　　　　　　　</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兹有甲方参加</w:t>
      </w:r>
      <w:r>
        <w:rPr>
          <w:rFonts w:hint="eastAsia" w:asciiTheme="minorEastAsia" w:hAnsiTheme="minorEastAsia" w:eastAsiaTheme="minorEastAsia" w:cstheme="minorEastAsia"/>
          <w:color w:val="auto"/>
          <w:highlight w:val="none"/>
          <w:u w:val="single"/>
        </w:rPr>
        <w:t>（填写“项目名称”）</w:t>
      </w:r>
      <w:r>
        <w:rPr>
          <w:rFonts w:hint="eastAsia" w:asciiTheme="minorEastAsia" w:hAnsiTheme="minorEastAsia" w:eastAsiaTheme="minorEastAsia" w:cstheme="minorEastAsia"/>
          <w:color w:val="auto"/>
          <w:highlight w:val="none"/>
        </w:rPr>
        <w:t xml:space="preserve"> 项目（项目编号：</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）的政府采购活动。甲方期望将采购项目的部分采购标的分包给乙方完成，而乙方保证能够向甲方提供本协议项下的采购标的，甲、乙双方就合同分包的有关事宜达成下列协议：</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一、分包标的</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（根据双方的意向填写，可以是表格或文字描述）。</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二、分包合同金额占比</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分包合同价占投标总价的比例：</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三、其他条款</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w:t>
            </w:r>
          </w:p>
        </w:tc>
        <w:tc>
          <w:tcPr>
            <w:tcW w:w="415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住所：</w:t>
            </w:r>
          </w:p>
        </w:tc>
        <w:tc>
          <w:tcPr>
            <w:tcW w:w="415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单位负责人或委托代理人：</w:t>
            </w:r>
          </w:p>
        </w:tc>
        <w:tc>
          <w:tcPr>
            <w:tcW w:w="415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联系方法：</w:t>
            </w:r>
          </w:p>
        </w:tc>
        <w:tc>
          <w:tcPr>
            <w:tcW w:w="415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w:t>
            </w:r>
          </w:p>
        </w:tc>
        <w:tc>
          <w:tcPr>
            <w:tcW w:w="415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w:t>
            </w:r>
          </w:p>
        </w:tc>
        <w:tc>
          <w:tcPr>
            <w:tcW w:w="415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9"/>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w:t>
            </w:r>
            <w:r>
              <w:rPr>
                <w:rFonts w:hint="eastAsia" w:asciiTheme="minorEastAsia" w:hAnsiTheme="minorEastAsia" w:eastAsiaTheme="minorEastAsia" w:cstheme="minorEastAsia"/>
                <w:color w:val="auto"/>
                <w:highlight w:val="none"/>
                <w:u w:val="single"/>
              </w:rPr>
              <w:t>　　　　　　　　　　</w:t>
            </w:r>
          </w:p>
          <w:p>
            <w:pPr>
              <w:pStyle w:val="9"/>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签约日期：</w:t>
            </w:r>
            <w:r>
              <w:rPr>
                <w:rFonts w:hint="eastAsia" w:asciiTheme="minorEastAsia" w:hAnsiTheme="minorEastAsia" w:eastAsiaTheme="minorEastAsia" w:cstheme="minorEastAsia"/>
                <w:color w:val="auto"/>
                <w:highlight w:val="none"/>
                <w:u w:val="single"/>
              </w:rPr>
              <w:t>　　年　　月　　日</w:t>
            </w:r>
          </w:p>
        </w:tc>
      </w:tr>
    </w:tbl>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※注意：</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1.招标文件接受合同分包且投标人拟将合同分包的，应提供本协议；否则无须提供。</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2.本协议由委托代理人签字或盖章的，应按照本章载明的格式提供“单位授权书”。</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3.在以合同分包形式落实中小企业预留份额项目中，投标人除了要提供《中小企业声明函》，还需提供本协议。</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二-12其他资格证明文件（若有）</w:t>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二-12-①具备履行合同所必需设备和专业技术能力专项证明材料（若有）</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w:t>
      </w:r>
      <w:r>
        <w:rPr>
          <w:rFonts w:hint="eastAsia" w:asciiTheme="minorEastAsia" w:hAnsiTheme="minorEastAsia" w:eastAsiaTheme="minorEastAsia" w:cstheme="minorEastAsia"/>
          <w:color w:val="auto"/>
          <w:highlight w:val="none"/>
          <w:u w:val="single"/>
        </w:rPr>
        <w:t>（采购人或采购代理机构）</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现附上我方具备履行合同所必需的设备和专业技术能力的专项证明材料复印件（具体附后），上述证明材料真实有效，否则我方负全部责任。</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※注意：</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1、招标文件要求投标人提供“具备履行合同所必需的设备和专业技术能力专项证明材料”的，投标人应按照招标文件规定在此项下提供相应证明材料复印件。</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2、投标人提供的相应证明材料复印件均应符合：内容完整、清晰、整洁，并由投标人加盖其单位公章。</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w:t>
      </w:r>
      <w:r>
        <w:rPr>
          <w:rFonts w:hint="eastAsia" w:asciiTheme="minorEastAsia" w:hAnsiTheme="minorEastAsia" w:eastAsiaTheme="minorEastAsia" w:cstheme="minorEastAsia"/>
          <w:color w:val="auto"/>
          <w:highlight w:val="none"/>
          <w:u w:val="single"/>
        </w:rPr>
        <w:t>（全称并加盖单位公章）</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年　　月　　日</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二-12-②招标文件规定的其他资格证明文件（若有）</w:t>
      </w:r>
    </w:p>
    <w:p>
      <w:pPr>
        <w:pStyle w:val="9"/>
        <w:ind w:firstLine="48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编制说明</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除招标文件另有规定外，招标文件要求提交的除前述资格证明文件外的其他资格证明文件（若有）加盖投标人的单位公章后应在此项下提交。</w:t>
      </w:r>
    </w:p>
    <w:p>
      <w:pPr>
        <w:pStyle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三、投标保证金</w:t>
      </w:r>
    </w:p>
    <w:p>
      <w:pPr>
        <w:pStyle w:val="9"/>
        <w:ind w:firstLine="48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编制说明</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1、在此项下提交的“投标保证金”材料可使用转账凭证复印件或从福建省政府采购网上公开信息系统中下载的有关原始页面的打印件。</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2、投标保证金是否已提交的认定按照招标文件第三章规定执行。</w:t>
      </w:r>
    </w:p>
    <w:p>
      <w:pPr>
        <w:pStyle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封面格式(报价部分)</w:t>
      </w:r>
    </w:p>
    <w:p>
      <w:pPr>
        <w:pStyle w:val="9"/>
        <w:jc w:val="center"/>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48"/>
          <w:highlight w:val="none"/>
        </w:rPr>
        <w:t>福建省政府采购投标文件</w:t>
      </w:r>
    </w:p>
    <w:p>
      <w:pPr>
        <w:pStyle w:val="9"/>
        <w:jc w:val="center"/>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48"/>
          <w:highlight w:val="none"/>
        </w:rPr>
        <w:t>（报价部分）</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textWrapping"/>
      </w:r>
    </w:p>
    <w:p>
      <w:pPr>
        <w:pStyle w:val="9"/>
        <w:jc w:val="center"/>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highlight w:val="none"/>
        </w:rPr>
        <w:t>（填写正本或副本）</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textWrapping"/>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（项目名称：（由投标人填写）</w:t>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（备案编号：（由投标人填写）</w:t>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（项目编号：（由投标人填写）</w:t>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（所投采购包：（由投标人填写）</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textWrapping"/>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投标人：（填写“全称”）</w:t>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（由投标人填写）年（由投标人填写）月</w:t>
      </w:r>
    </w:p>
    <w:p>
      <w:pPr>
        <w:pStyle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索引</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一、开标一览表</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二、投标分项报价表</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三、招标文件规定的价格扣除证明材料（若有）</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四、招标文件规定的加分证明材料（若有）</w:t>
      </w:r>
    </w:p>
    <w:p>
      <w:pPr>
        <w:pStyle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一、开标一览表</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r>
        <w:rPr>
          <w:rFonts w:hint="eastAsia" w:asciiTheme="minorEastAsia" w:hAnsiTheme="minorEastAsia" w:eastAsiaTheme="minorEastAsia" w:cstheme="minorEastAsia"/>
          <w:color w:val="auto"/>
          <w:highlight w:val="none"/>
          <w:u w:val="single"/>
        </w:rPr>
        <w:t>　　　　　　　　</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货币及单位：人民币元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w:t>
            </w:r>
          </w:p>
        </w:tc>
        <w:tc>
          <w:tcPr>
            <w:tcW w:w="207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投标报价</w:t>
            </w:r>
          </w:p>
        </w:tc>
        <w:tc>
          <w:tcPr>
            <w:tcW w:w="207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投标保证金</w:t>
            </w:r>
          </w:p>
        </w:tc>
        <w:tc>
          <w:tcPr>
            <w:tcW w:w="207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07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投标总价（大写金额）：</w:t>
            </w:r>
            <w:r>
              <w:rPr>
                <w:rFonts w:hint="eastAsia" w:asciiTheme="minorEastAsia" w:hAnsiTheme="minorEastAsia" w:eastAsiaTheme="minorEastAsia" w:cstheme="minorEastAsia"/>
                <w:color w:val="auto"/>
                <w:highlight w:val="none"/>
                <w:u w:val="single"/>
              </w:rPr>
              <w:t>　　　　　　　　</w:t>
            </w:r>
          </w:p>
        </w:tc>
        <w:tc>
          <w:tcPr>
            <w:tcW w:w="2076" w:type="dxa"/>
          </w:tcPr>
          <w:p>
            <w:pPr>
              <w:rPr>
                <w:rFonts w:hint="eastAsia" w:asciiTheme="minorEastAsia" w:hAnsiTheme="minorEastAsia" w:eastAsiaTheme="minorEastAsia" w:cstheme="minorEastAsia"/>
                <w:color w:val="auto"/>
                <w:highlight w:val="none"/>
              </w:rPr>
            </w:pPr>
          </w:p>
        </w:tc>
        <w:tc>
          <w:tcPr>
            <w:tcW w:w="2076" w:type="dxa"/>
            <w:vMerge w:val="restart"/>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a.&gt;投标报价的明细：详见《投标分项报价表》。</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076"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投标总价（大写金额）：</w:t>
            </w:r>
            <w:r>
              <w:rPr>
                <w:rFonts w:hint="eastAsia" w:asciiTheme="minorEastAsia" w:hAnsiTheme="minorEastAsia" w:eastAsiaTheme="minorEastAsia" w:cstheme="minorEastAsia"/>
                <w:color w:val="auto"/>
                <w:highlight w:val="none"/>
                <w:u w:val="single"/>
              </w:rPr>
              <w:t>　　　　　　　　</w:t>
            </w:r>
          </w:p>
        </w:tc>
        <w:tc>
          <w:tcPr>
            <w:tcW w:w="2076" w:type="dxa"/>
          </w:tcPr>
          <w:p>
            <w:pPr>
              <w:rPr>
                <w:rFonts w:hint="eastAsia" w:asciiTheme="minorEastAsia" w:hAnsiTheme="minorEastAsia" w:eastAsiaTheme="minorEastAsia" w:cstheme="minorEastAsia"/>
                <w:color w:val="auto"/>
                <w:highlight w:val="none"/>
              </w:rPr>
            </w:pPr>
          </w:p>
        </w:tc>
        <w:tc>
          <w:tcPr>
            <w:tcW w:w="2076" w:type="dxa"/>
            <w:vMerge w:val="continue"/>
          </w:tcPr>
          <w:p>
            <w:pPr>
              <w:rPr>
                <w:rFonts w:hint="eastAsia" w:asciiTheme="minorEastAsia" w:hAnsiTheme="minorEastAsia" w:eastAsiaTheme="minorEastAsia" w:cstheme="minorEastAsia"/>
                <w:color w:val="auto"/>
                <w:highlight w:val="none"/>
              </w:rPr>
            </w:pPr>
          </w:p>
        </w:tc>
      </w:tr>
    </w:tbl>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※注意：</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1、本表应按照下列规定填写：</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1.1投标人应按照本表格式填写所投的采购包的“投标报价”。</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1.2本表中列示的“采购包”应与《投标分项报价表》中列示的“采购包”保持一致，即：若本表中列示的“采购包”为“1”时，《投标分项报价表》中列示的“采购包”亦应为“1”，以此类推。</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1.3“大写金额”指“投标报价”应用“壹、贰、叁、肆、伍、陆、柒、捌、玖、拾、佰、仟、万、亿、元、角、分、零”等进行填写。</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w:t>
      </w:r>
      <w:r>
        <w:rPr>
          <w:rFonts w:hint="eastAsia" w:asciiTheme="minorEastAsia" w:hAnsiTheme="minorEastAsia" w:eastAsiaTheme="minorEastAsia" w:cstheme="minorEastAsia"/>
          <w:color w:val="auto"/>
          <w:highlight w:val="none"/>
          <w:u w:val="single"/>
        </w:rPr>
        <w:t>（全称并加盖单位公章）</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年　　月　　日</w:t>
      </w:r>
    </w:p>
    <w:p>
      <w:pPr>
        <w:pStyle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二、投标分项报价表</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r>
        <w:rPr>
          <w:rFonts w:hint="eastAsia" w:asciiTheme="minorEastAsia" w:hAnsiTheme="minorEastAsia" w:eastAsiaTheme="minorEastAsia" w:cstheme="minorEastAsia"/>
          <w:color w:val="auto"/>
          <w:highlight w:val="none"/>
          <w:u w:val="single"/>
        </w:rPr>
        <w:t>　　　　　　　　</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货币及单位：人民币元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w:t>
            </w:r>
          </w:p>
        </w:tc>
        <w:tc>
          <w:tcPr>
            <w:tcW w:w="92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品目号</w:t>
            </w:r>
          </w:p>
        </w:tc>
        <w:tc>
          <w:tcPr>
            <w:tcW w:w="92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投标标的</w:t>
            </w:r>
          </w:p>
        </w:tc>
        <w:tc>
          <w:tcPr>
            <w:tcW w:w="92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规格</w:t>
            </w:r>
          </w:p>
        </w:tc>
        <w:tc>
          <w:tcPr>
            <w:tcW w:w="92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来源地</w:t>
            </w:r>
          </w:p>
        </w:tc>
        <w:tc>
          <w:tcPr>
            <w:tcW w:w="92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单价（现场）</w:t>
            </w:r>
          </w:p>
        </w:tc>
        <w:tc>
          <w:tcPr>
            <w:tcW w:w="92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92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总价（现场）</w:t>
            </w:r>
          </w:p>
        </w:tc>
        <w:tc>
          <w:tcPr>
            <w:tcW w:w="92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92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923" w:type="dxa"/>
          </w:tcPr>
          <w:p>
            <w:pPr>
              <w:rPr>
                <w:rFonts w:hint="eastAsia" w:asciiTheme="minorEastAsia" w:hAnsiTheme="minorEastAsia" w:eastAsiaTheme="minorEastAsia" w:cstheme="minorEastAsia"/>
                <w:color w:val="auto"/>
                <w:highlight w:val="none"/>
              </w:rPr>
            </w:pPr>
          </w:p>
        </w:tc>
        <w:tc>
          <w:tcPr>
            <w:tcW w:w="923" w:type="dxa"/>
          </w:tcPr>
          <w:p>
            <w:pPr>
              <w:rPr>
                <w:rFonts w:hint="eastAsia" w:asciiTheme="minorEastAsia" w:hAnsiTheme="minorEastAsia" w:eastAsiaTheme="minorEastAsia" w:cstheme="minorEastAsia"/>
                <w:color w:val="auto"/>
                <w:highlight w:val="none"/>
              </w:rPr>
            </w:pPr>
          </w:p>
        </w:tc>
        <w:tc>
          <w:tcPr>
            <w:tcW w:w="923" w:type="dxa"/>
          </w:tcPr>
          <w:p>
            <w:pPr>
              <w:rPr>
                <w:rFonts w:hint="eastAsia" w:asciiTheme="minorEastAsia" w:hAnsiTheme="minorEastAsia" w:eastAsiaTheme="minorEastAsia" w:cstheme="minorEastAsia"/>
                <w:color w:val="auto"/>
                <w:highlight w:val="none"/>
              </w:rPr>
            </w:pPr>
          </w:p>
        </w:tc>
        <w:tc>
          <w:tcPr>
            <w:tcW w:w="923" w:type="dxa"/>
          </w:tcPr>
          <w:p>
            <w:pPr>
              <w:rPr>
                <w:rFonts w:hint="eastAsia" w:asciiTheme="minorEastAsia" w:hAnsiTheme="minorEastAsia" w:eastAsiaTheme="minorEastAsia" w:cstheme="minorEastAsia"/>
                <w:color w:val="auto"/>
                <w:highlight w:val="none"/>
              </w:rPr>
            </w:pPr>
          </w:p>
        </w:tc>
        <w:tc>
          <w:tcPr>
            <w:tcW w:w="923" w:type="dxa"/>
          </w:tcPr>
          <w:p>
            <w:pPr>
              <w:rPr>
                <w:rFonts w:hint="eastAsia" w:asciiTheme="minorEastAsia" w:hAnsiTheme="minorEastAsia" w:eastAsiaTheme="minorEastAsia" w:cstheme="minorEastAsia"/>
                <w:color w:val="auto"/>
                <w:highlight w:val="none"/>
              </w:rPr>
            </w:pPr>
          </w:p>
        </w:tc>
        <w:tc>
          <w:tcPr>
            <w:tcW w:w="923" w:type="dxa"/>
          </w:tcPr>
          <w:p>
            <w:pPr>
              <w:rPr>
                <w:rFonts w:hint="eastAsia" w:asciiTheme="minorEastAsia" w:hAnsiTheme="minorEastAsia" w:eastAsiaTheme="minorEastAsia" w:cstheme="minorEastAsia"/>
                <w:color w:val="auto"/>
                <w:highlight w:val="none"/>
              </w:rPr>
            </w:pPr>
          </w:p>
        </w:tc>
        <w:tc>
          <w:tcPr>
            <w:tcW w:w="923" w:type="dxa"/>
          </w:tcPr>
          <w:p>
            <w:pPr>
              <w:rPr>
                <w:rFonts w:hint="eastAsia" w:asciiTheme="minorEastAsia" w:hAnsiTheme="minorEastAsia" w:eastAsiaTheme="minorEastAsia" w:cstheme="minorEastAsia"/>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rPr>
                <w:rFonts w:hint="eastAsia" w:asciiTheme="minorEastAsia" w:hAnsiTheme="minorEastAsia" w:eastAsiaTheme="minorEastAsia" w:cstheme="minorEastAsia"/>
                <w:color w:val="auto"/>
                <w:highlight w:val="none"/>
              </w:rPr>
            </w:pPr>
          </w:p>
        </w:tc>
        <w:tc>
          <w:tcPr>
            <w:tcW w:w="92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923" w:type="dxa"/>
          </w:tcPr>
          <w:p>
            <w:pPr>
              <w:rPr>
                <w:rFonts w:hint="eastAsia" w:asciiTheme="minorEastAsia" w:hAnsiTheme="minorEastAsia" w:eastAsiaTheme="minorEastAsia" w:cstheme="minorEastAsia"/>
                <w:color w:val="auto"/>
                <w:highlight w:val="none"/>
              </w:rPr>
            </w:pPr>
          </w:p>
        </w:tc>
        <w:tc>
          <w:tcPr>
            <w:tcW w:w="923" w:type="dxa"/>
          </w:tcPr>
          <w:p>
            <w:pPr>
              <w:rPr>
                <w:rFonts w:hint="eastAsia" w:asciiTheme="minorEastAsia" w:hAnsiTheme="minorEastAsia" w:eastAsiaTheme="minorEastAsia" w:cstheme="minorEastAsia"/>
                <w:color w:val="auto"/>
                <w:highlight w:val="none"/>
              </w:rPr>
            </w:pPr>
          </w:p>
        </w:tc>
        <w:tc>
          <w:tcPr>
            <w:tcW w:w="923" w:type="dxa"/>
          </w:tcPr>
          <w:p>
            <w:pPr>
              <w:rPr>
                <w:rFonts w:hint="eastAsia" w:asciiTheme="minorEastAsia" w:hAnsiTheme="minorEastAsia" w:eastAsiaTheme="minorEastAsia" w:cstheme="minorEastAsia"/>
                <w:color w:val="auto"/>
                <w:highlight w:val="none"/>
              </w:rPr>
            </w:pPr>
          </w:p>
        </w:tc>
        <w:tc>
          <w:tcPr>
            <w:tcW w:w="923" w:type="dxa"/>
          </w:tcPr>
          <w:p>
            <w:pPr>
              <w:rPr>
                <w:rFonts w:hint="eastAsia" w:asciiTheme="minorEastAsia" w:hAnsiTheme="minorEastAsia" w:eastAsiaTheme="minorEastAsia" w:cstheme="minorEastAsia"/>
                <w:color w:val="auto"/>
                <w:highlight w:val="none"/>
              </w:rPr>
            </w:pPr>
          </w:p>
        </w:tc>
        <w:tc>
          <w:tcPr>
            <w:tcW w:w="923" w:type="dxa"/>
          </w:tcPr>
          <w:p>
            <w:pPr>
              <w:rPr>
                <w:rFonts w:hint="eastAsia" w:asciiTheme="minorEastAsia" w:hAnsiTheme="minorEastAsia" w:eastAsiaTheme="minorEastAsia" w:cstheme="minorEastAsia"/>
                <w:color w:val="auto"/>
                <w:highlight w:val="none"/>
              </w:rPr>
            </w:pPr>
          </w:p>
        </w:tc>
        <w:tc>
          <w:tcPr>
            <w:tcW w:w="923" w:type="dxa"/>
          </w:tcPr>
          <w:p>
            <w:pPr>
              <w:rPr>
                <w:rFonts w:hint="eastAsia" w:asciiTheme="minorEastAsia" w:hAnsiTheme="minorEastAsia" w:eastAsiaTheme="minorEastAsia" w:cstheme="minorEastAsia"/>
                <w:color w:val="auto"/>
                <w:highlight w:val="none"/>
              </w:rPr>
            </w:pPr>
          </w:p>
        </w:tc>
        <w:tc>
          <w:tcPr>
            <w:tcW w:w="923" w:type="dxa"/>
          </w:tcPr>
          <w:p>
            <w:pPr>
              <w:rPr>
                <w:rFonts w:hint="eastAsia" w:asciiTheme="minorEastAsia" w:hAnsiTheme="minorEastAsia" w:eastAsiaTheme="minorEastAsia" w:cstheme="minorEastAsia"/>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923" w:type="dxa"/>
          </w:tcPr>
          <w:p>
            <w:pPr>
              <w:rPr>
                <w:rFonts w:hint="eastAsia" w:asciiTheme="minorEastAsia" w:hAnsiTheme="minorEastAsia" w:eastAsiaTheme="minorEastAsia" w:cstheme="minorEastAsia"/>
                <w:color w:val="auto"/>
                <w:highlight w:val="none"/>
              </w:rPr>
            </w:pPr>
          </w:p>
        </w:tc>
        <w:tc>
          <w:tcPr>
            <w:tcW w:w="923" w:type="dxa"/>
          </w:tcPr>
          <w:p>
            <w:pPr>
              <w:rPr>
                <w:rFonts w:hint="eastAsia" w:asciiTheme="minorEastAsia" w:hAnsiTheme="minorEastAsia" w:eastAsiaTheme="minorEastAsia" w:cstheme="minorEastAsia"/>
                <w:color w:val="auto"/>
                <w:highlight w:val="none"/>
              </w:rPr>
            </w:pPr>
          </w:p>
        </w:tc>
        <w:tc>
          <w:tcPr>
            <w:tcW w:w="923" w:type="dxa"/>
          </w:tcPr>
          <w:p>
            <w:pPr>
              <w:rPr>
                <w:rFonts w:hint="eastAsia" w:asciiTheme="minorEastAsia" w:hAnsiTheme="minorEastAsia" w:eastAsiaTheme="minorEastAsia" w:cstheme="minorEastAsia"/>
                <w:color w:val="auto"/>
                <w:highlight w:val="none"/>
              </w:rPr>
            </w:pPr>
          </w:p>
        </w:tc>
        <w:tc>
          <w:tcPr>
            <w:tcW w:w="923" w:type="dxa"/>
          </w:tcPr>
          <w:p>
            <w:pPr>
              <w:rPr>
                <w:rFonts w:hint="eastAsia" w:asciiTheme="minorEastAsia" w:hAnsiTheme="minorEastAsia" w:eastAsiaTheme="minorEastAsia" w:cstheme="minorEastAsia"/>
                <w:color w:val="auto"/>
                <w:highlight w:val="none"/>
              </w:rPr>
            </w:pPr>
          </w:p>
        </w:tc>
        <w:tc>
          <w:tcPr>
            <w:tcW w:w="923" w:type="dxa"/>
          </w:tcPr>
          <w:p>
            <w:pPr>
              <w:rPr>
                <w:rFonts w:hint="eastAsia" w:asciiTheme="minorEastAsia" w:hAnsiTheme="minorEastAsia" w:eastAsiaTheme="minorEastAsia" w:cstheme="minorEastAsia"/>
                <w:color w:val="auto"/>
                <w:highlight w:val="none"/>
              </w:rPr>
            </w:pPr>
          </w:p>
        </w:tc>
        <w:tc>
          <w:tcPr>
            <w:tcW w:w="923" w:type="dxa"/>
          </w:tcPr>
          <w:p>
            <w:pPr>
              <w:rPr>
                <w:rFonts w:hint="eastAsia" w:asciiTheme="minorEastAsia" w:hAnsiTheme="minorEastAsia" w:eastAsiaTheme="minorEastAsia" w:cstheme="minorEastAsia"/>
                <w:color w:val="auto"/>
                <w:highlight w:val="none"/>
              </w:rPr>
            </w:pPr>
          </w:p>
        </w:tc>
        <w:tc>
          <w:tcPr>
            <w:tcW w:w="923" w:type="dxa"/>
          </w:tcPr>
          <w:p>
            <w:pPr>
              <w:rPr>
                <w:rFonts w:hint="eastAsia" w:asciiTheme="minorEastAsia" w:hAnsiTheme="minorEastAsia" w:eastAsiaTheme="minorEastAsia" w:cstheme="minorEastAsia"/>
                <w:color w:val="auto"/>
                <w:highlight w:val="none"/>
              </w:rPr>
            </w:pPr>
          </w:p>
        </w:tc>
        <w:tc>
          <w:tcPr>
            <w:tcW w:w="923" w:type="dxa"/>
          </w:tcPr>
          <w:p>
            <w:pPr>
              <w:rPr>
                <w:rFonts w:hint="eastAsia" w:asciiTheme="minorEastAsia" w:hAnsiTheme="minorEastAsia" w:eastAsiaTheme="minorEastAsia" w:cstheme="minorEastAsia"/>
                <w:color w:val="auto"/>
                <w:highlight w:val="none"/>
              </w:rPr>
            </w:pPr>
          </w:p>
        </w:tc>
      </w:tr>
    </w:tbl>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※注意：</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1、本表应按照下列规定填写：</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1.3“投标标的”为服务的：“规格”项下应填写服务提供者提供的服务标准及品牌（若有）。“来源地”应填写服务提供者的所在地。</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1.4同一采购包中，“单价（现场）”×“数量”=“总价（现场）”，全部品目号“总价（现场）”的合计金额应与《开标一览表》中相应采购包列示的“投标总价”保持一致。</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1.5若招标文件要求投标人对“备品备件价格、专用工具价格、技术服务费、安装调试费、检验培训费、运输费、保险费、税收”等进行报价的，请在本表的“备注”项下填写。</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w:t>
      </w:r>
      <w:r>
        <w:rPr>
          <w:rFonts w:hint="eastAsia" w:asciiTheme="minorEastAsia" w:hAnsiTheme="minorEastAsia" w:eastAsiaTheme="minorEastAsia" w:cstheme="minorEastAsia"/>
          <w:color w:val="auto"/>
          <w:highlight w:val="none"/>
          <w:u w:val="single"/>
        </w:rPr>
        <w:t>（全称并加盖单位公章）</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年　　月　　日</w:t>
      </w:r>
    </w:p>
    <w:p>
      <w:pPr>
        <w:pStyle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三、招标文件规定的价格扣除证明材料（若有）</w:t>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三-1优先类节能产品、环境标志产品价格扣除证明材料（若有）</w:t>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三-1-①优先类节能产品、环境标志产品统计表（价格扣除适用，若有）</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r>
        <w:rPr>
          <w:rFonts w:hint="eastAsia" w:asciiTheme="minorEastAsia" w:hAnsiTheme="minorEastAsia" w:eastAsiaTheme="minorEastAsia" w:cstheme="minorEastAsia"/>
          <w:color w:val="auto"/>
          <w:highlight w:val="none"/>
          <w:u w:val="single"/>
        </w:rPr>
        <w:t>　　　　　　　　</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货币及单位：人民币元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hint="eastAsia" w:asciiTheme="minorEastAsia" w:hAnsiTheme="minorEastAsia" w:eastAsiaTheme="minorEastAsia" w:cstheme="minorEastAsia"/>
                <w:color w:val="auto"/>
                <w:highlight w:val="none"/>
              </w:rPr>
            </w:pPr>
          </w:p>
        </w:tc>
        <w:tc>
          <w:tcPr>
            <w:tcW w:w="7122" w:type="dxa"/>
            <w:gridSpan w:val="6"/>
          </w:tcPr>
          <w:p>
            <w:pPr>
              <w:pStyle w:val="9"/>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品目号</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货物名称</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单价（现场）</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总价（现场）</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187" w:type="dxa"/>
          </w:tcPr>
          <w:p>
            <w:pPr>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rFonts w:hint="eastAsia" w:asciiTheme="minorEastAsia" w:hAnsiTheme="minorEastAsia" w:eastAsiaTheme="minorEastAsia" w:cstheme="minorEastAsia"/>
                <w:color w:val="auto"/>
                <w:highlight w:val="none"/>
              </w:rPr>
            </w:pP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pPr>
              <w:pStyle w:val="9"/>
              <w:jc w:val="left"/>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tc>
        <w:tc>
          <w:tcPr>
            <w:tcW w:w="7122" w:type="dxa"/>
            <w:gridSpan w:val="6"/>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a.采购包内属于节能、环境标志产品的报价总金额：</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b.采购包投标总价（报价总金额）：</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c.“采购包内属于节能、环境标志产品的报价总金额”占“采购包投标总价（报价总金额）”的比例（以%列示）：</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w:t>
            </w:r>
          </w:p>
          <w:p>
            <w:pPr>
              <w:pStyle w:val="9"/>
              <w:jc w:val="left"/>
              <w:rPr>
                <w:rFonts w:hint="eastAsia" w:asciiTheme="minorEastAsia" w:hAnsiTheme="minorEastAsia" w:eastAsiaTheme="minorEastAsia" w:cstheme="minorEastAsia"/>
                <w:color w:val="auto"/>
                <w:highlight w:val="none"/>
              </w:rPr>
            </w:pPr>
          </w:p>
        </w:tc>
      </w:tr>
    </w:tbl>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※注意：</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1、对节能、环境标志产品计算价格扣除时，只依据电子投标文件“三-1-②优先类节能产品、环境标志产品证明材料（价格扣除适用，若有）”。</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2、本表以采购包为单位，不同采购包请分别填写；同一采购包请按照其品目号顺序分别填写。</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3、具体统计、计算：</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3.1若节能、环境标志产品仅是构成投标产品的部件、组件或零件，则该投标产品不享受鼓励优惠政策。同一品目中各认证证书不重复计算价格扣除。强制类节能产品不享受价格扣除。</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3.2计算结果若除不尽，可四舍五入保留到小数点后两位。</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3.3投标人应按照招标文件要求认真统计、计算，否则评标委员会不予认定。</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3.4若无节能、环境标志产品，不填写本表，否则，视为提供虚假材料。</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w:t>
      </w:r>
      <w:r>
        <w:rPr>
          <w:rFonts w:hint="eastAsia" w:asciiTheme="minorEastAsia" w:hAnsiTheme="minorEastAsia" w:eastAsiaTheme="minorEastAsia" w:cstheme="minorEastAsia"/>
          <w:color w:val="auto"/>
          <w:highlight w:val="none"/>
          <w:u w:val="single"/>
        </w:rPr>
        <w:t>（全称并加盖单位公章）</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年　　月　　日</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三-1-②优先类节能产品、环境标志产品证明材料（价格扣除适用，若有）</w:t>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三-2小型、微型企业产品等价格扣除证明材料（若有）</w:t>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三-2-①中小企业声明函（价格扣除适用，若有）</w:t>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中小企业声明函（货物）</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highlight w:val="none"/>
          <w:u w:val="single"/>
        </w:rPr>
        <w:t>（单位名称）</w:t>
      </w:r>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color w:val="auto"/>
          <w:highlight w:val="none"/>
          <w:u w:val="single"/>
        </w:rPr>
        <w:t>（项目名称）</w:t>
      </w:r>
      <w:r>
        <w:rPr>
          <w:rFonts w:hint="eastAsia" w:asciiTheme="minorEastAsia" w:hAnsiTheme="minorEastAsia" w:eastAsiaTheme="minorEastAsia" w:cstheme="minorEastAsia"/>
          <w:color w:val="auto"/>
          <w:highlight w:val="none"/>
        </w:rPr>
        <w:t>采购活动，提供的货物全部由符合政策要求的中小企业制造。相关企业（含联合体中的中小企业、签订分包意向协议的中小企业）的具体情况如下：</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u w:val="single"/>
        </w:rPr>
        <w:t xml:space="preserve"> （标的名称） </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（采购文件中明确的所属行业）</w:t>
      </w:r>
      <w:r>
        <w:rPr>
          <w:rFonts w:hint="eastAsia" w:asciiTheme="minorEastAsia" w:hAnsiTheme="minorEastAsia" w:eastAsiaTheme="minorEastAsia" w:cstheme="minorEastAsia"/>
          <w:color w:val="auto"/>
          <w:highlight w:val="none"/>
        </w:rPr>
        <w:t>行业；制造商为</w:t>
      </w:r>
      <w:r>
        <w:rPr>
          <w:rFonts w:hint="eastAsia" w:asciiTheme="minorEastAsia" w:hAnsiTheme="minorEastAsia" w:eastAsiaTheme="minorEastAsia" w:cstheme="minorEastAsia"/>
          <w:color w:val="auto"/>
          <w:highlight w:val="none"/>
          <w:u w:val="single"/>
        </w:rPr>
        <w:t>（企业名称）</w:t>
      </w:r>
      <w:r>
        <w:rPr>
          <w:rFonts w:hint="eastAsia" w:asciiTheme="minorEastAsia" w:hAnsiTheme="minorEastAsia" w:eastAsiaTheme="minorEastAsia" w:cstheme="minorEastAsia"/>
          <w:color w:val="auto"/>
          <w:highlight w:val="none"/>
        </w:rPr>
        <w:t>，从业人员</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人，营业收入为</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万元，资产总额为</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万元</w:t>
      </w:r>
      <w:r>
        <w:rPr>
          <w:rFonts w:hint="eastAsia" w:asciiTheme="minorEastAsia" w:hAnsiTheme="minorEastAsia" w:eastAsiaTheme="minorEastAsia" w:cstheme="minorEastAsia"/>
          <w:color w:val="auto"/>
          <w:sz w:val="21"/>
          <w:highlight w:val="none"/>
          <w:vertAlign w:val="superscript"/>
        </w:rPr>
        <w:t>1</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（中型企业、小型企业、微型企业）</w:t>
      </w:r>
      <w:r>
        <w:rPr>
          <w:rFonts w:hint="eastAsia" w:asciiTheme="minorEastAsia" w:hAnsiTheme="minorEastAsia" w:eastAsiaTheme="minorEastAsia" w:cstheme="minorEastAsia"/>
          <w:color w:val="auto"/>
          <w:highlight w:val="none"/>
        </w:rPr>
        <w:t>；</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u w:val="single"/>
        </w:rPr>
        <w:t xml:space="preserve"> （标的名称） </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（采购文件中明确的所属行业）</w:t>
      </w:r>
      <w:r>
        <w:rPr>
          <w:rFonts w:hint="eastAsia" w:asciiTheme="minorEastAsia" w:hAnsiTheme="minorEastAsia" w:eastAsiaTheme="minorEastAsia" w:cstheme="minorEastAsia"/>
          <w:color w:val="auto"/>
          <w:highlight w:val="none"/>
        </w:rPr>
        <w:t>行业；制造商为</w:t>
      </w:r>
      <w:r>
        <w:rPr>
          <w:rFonts w:hint="eastAsia" w:asciiTheme="minorEastAsia" w:hAnsiTheme="minorEastAsia" w:eastAsiaTheme="minorEastAsia" w:cstheme="minorEastAsia"/>
          <w:color w:val="auto"/>
          <w:highlight w:val="none"/>
          <w:u w:val="single"/>
        </w:rPr>
        <w:t>（企业名称）</w:t>
      </w:r>
      <w:r>
        <w:rPr>
          <w:rFonts w:hint="eastAsia" w:asciiTheme="minorEastAsia" w:hAnsiTheme="minorEastAsia" w:eastAsiaTheme="minorEastAsia" w:cstheme="minorEastAsia"/>
          <w:color w:val="auto"/>
          <w:highlight w:val="none"/>
        </w:rPr>
        <w:t>，从业人员</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人，营业收入为</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万元，资产总额为</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万元，属于</w:t>
      </w:r>
      <w:r>
        <w:rPr>
          <w:rFonts w:hint="eastAsia" w:asciiTheme="minorEastAsia" w:hAnsiTheme="minorEastAsia" w:eastAsiaTheme="minorEastAsia" w:cstheme="minorEastAsia"/>
          <w:color w:val="auto"/>
          <w:highlight w:val="none"/>
          <w:u w:val="single"/>
        </w:rPr>
        <w:t>（中型企业、小型企业、微型企业）</w:t>
      </w:r>
      <w:r>
        <w:rPr>
          <w:rFonts w:hint="eastAsia" w:asciiTheme="minorEastAsia" w:hAnsiTheme="minorEastAsia" w:eastAsiaTheme="minorEastAsia" w:cstheme="minorEastAsia"/>
          <w:color w:val="auto"/>
          <w:highlight w:val="none"/>
        </w:rPr>
        <w:t>；</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以上企业，不属于大企业的分支机构，不存在控股股东为大企业的情形，也不存在与大企业的负责人为同一人的情形。</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本企业对上述声明内容的真实性负责。如有虚假，将依法承担相应责任。</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w:t>
      </w:r>
      <w:r>
        <w:rPr>
          <w:rFonts w:hint="eastAsia" w:asciiTheme="minorEastAsia" w:hAnsiTheme="minorEastAsia" w:eastAsiaTheme="minorEastAsia" w:cstheme="minorEastAsia"/>
          <w:color w:val="auto"/>
          <w:highlight w:val="none"/>
          <w:u w:val="single"/>
        </w:rPr>
        <w:t>（全称并加盖单位公章）</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年　　月　　日</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※注意：</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1、从业人员、营业收入、资产总额填报上一年度数据，无上一年度数据的新成立企业可不填报。</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中小企业声明函（工程、服务）</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highlight w:val="none"/>
          <w:u w:val="single"/>
        </w:rPr>
        <w:t>（单位名称）</w:t>
      </w:r>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color w:val="auto"/>
          <w:highlight w:val="none"/>
          <w:u w:val="single"/>
        </w:rPr>
        <w:t>（项目名称）</w:t>
      </w:r>
      <w:r>
        <w:rPr>
          <w:rFonts w:hint="eastAsia" w:asciiTheme="minorEastAsia" w:hAnsiTheme="minorEastAsia" w:eastAsiaTheme="minorEastAsia" w:cstheme="minorEastAsia"/>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u w:val="single"/>
        </w:rPr>
        <w:t>（标的名称）</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（采购文件中明确的所属行业）</w:t>
      </w:r>
      <w:r>
        <w:rPr>
          <w:rFonts w:hint="eastAsia" w:asciiTheme="minorEastAsia" w:hAnsiTheme="minorEastAsia" w:eastAsiaTheme="minorEastAsia" w:cstheme="minorEastAsia"/>
          <w:color w:val="auto"/>
          <w:highlight w:val="none"/>
        </w:rPr>
        <w:t>；承建（承接）企业为</w:t>
      </w:r>
      <w:r>
        <w:rPr>
          <w:rFonts w:hint="eastAsia" w:asciiTheme="minorEastAsia" w:hAnsiTheme="minorEastAsia" w:eastAsiaTheme="minorEastAsia" w:cstheme="minorEastAsia"/>
          <w:color w:val="auto"/>
          <w:highlight w:val="none"/>
          <w:u w:val="single"/>
        </w:rPr>
        <w:t>（企业名称）</w:t>
      </w:r>
      <w:r>
        <w:rPr>
          <w:rFonts w:hint="eastAsia" w:asciiTheme="minorEastAsia" w:hAnsiTheme="minorEastAsia" w:eastAsiaTheme="minorEastAsia" w:cstheme="minorEastAsia"/>
          <w:color w:val="auto"/>
          <w:highlight w:val="none"/>
        </w:rPr>
        <w:t>，从业人员</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人，营业收入为</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万元，资产总额为</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万元</w:t>
      </w:r>
      <w:r>
        <w:rPr>
          <w:rFonts w:hint="eastAsia" w:asciiTheme="minorEastAsia" w:hAnsiTheme="minorEastAsia" w:eastAsiaTheme="minorEastAsia" w:cstheme="minorEastAsia"/>
          <w:color w:val="auto"/>
          <w:sz w:val="21"/>
          <w:highlight w:val="none"/>
          <w:vertAlign w:val="superscript"/>
        </w:rPr>
        <w:t>1</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（中型企业、小型企业、微型企业）</w:t>
      </w:r>
      <w:r>
        <w:rPr>
          <w:rFonts w:hint="eastAsia" w:asciiTheme="minorEastAsia" w:hAnsiTheme="minorEastAsia" w:eastAsiaTheme="minorEastAsia" w:cstheme="minorEastAsia"/>
          <w:color w:val="auto"/>
          <w:highlight w:val="none"/>
        </w:rPr>
        <w:t>；</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u w:val="single"/>
        </w:rPr>
        <w:t>（标的名称）</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（采购文件中明确的所属行业）</w:t>
      </w:r>
      <w:r>
        <w:rPr>
          <w:rFonts w:hint="eastAsia" w:asciiTheme="minorEastAsia" w:hAnsiTheme="minorEastAsia" w:eastAsiaTheme="minorEastAsia" w:cstheme="minorEastAsia"/>
          <w:color w:val="auto"/>
          <w:highlight w:val="none"/>
        </w:rPr>
        <w:t>；承建（承接）企业为</w:t>
      </w:r>
      <w:r>
        <w:rPr>
          <w:rFonts w:hint="eastAsia" w:asciiTheme="minorEastAsia" w:hAnsiTheme="minorEastAsia" w:eastAsiaTheme="minorEastAsia" w:cstheme="minorEastAsia"/>
          <w:color w:val="auto"/>
          <w:highlight w:val="none"/>
          <w:u w:val="single"/>
        </w:rPr>
        <w:t>（企业名称）</w:t>
      </w:r>
      <w:r>
        <w:rPr>
          <w:rFonts w:hint="eastAsia" w:asciiTheme="minorEastAsia" w:hAnsiTheme="minorEastAsia" w:eastAsiaTheme="minorEastAsia" w:cstheme="minorEastAsia"/>
          <w:color w:val="auto"/>
          <w:highlight w:val="none"/>
        </w:rPr>
        <w:t>，从业人员</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人，营业收入为</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万元，资产总额为</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万元，属于</w:t>
      </w:r>
      <w:r>
        <w:rPr>
          <w:rFonts w:hint="eastAsia" w:asciiTheme="minorEastAsia" w:hAnsiTheme="minorEastAsia" w:eastAsiaTheme="minorEastAsia" w:cstheme="minorEastAsia"/>
          <w:color w:val="auto"/>
          <w:highlight w:val="none"/>
          <w:u w:val="single"/>
        </w:rPr>
        <w:t>（中型企业、小型企业、微型企业）</w:t>
      </w:r>
      <w:r>
        <w:rPr>
          <w:rFonts w:hint="eastAsia" w:asciiTheme="minorEastAsia" w:hAnsiTheme="minorEastAsia" w:eastAsiaTheme="minorEastAsia" w:cstheme="minorEastAsia"/>
          <w:color w:val="auto"/>
          <w:highlight w:val="none"/>
        </w:rPr>
        <w:t>；</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以上企业，不属于大企业的分支机构，不存在控股股东为大企业的情形，也不存在与大企业的负责人为同一人的情形。</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本企业对上述声明内容的真实性负责。如有虚假，将依法承担相应责任。</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w:t>
      </w:r>
      <w:r>
        <w:rPr>
          <w:rFonts w:hint="eastAsia" w:asciiTheme="minorEastAsia" w:hAnsiTheme="minorEastAsia" w:eastAsiaTheme="minorEastAsia" w:cstheme="minorEastAsia"/>
          <w:color w:val="auto"/>
          <w:highlight w:val="none"/>
          <w:u w:val="single"/>
        </w:rPr>
        <w:t>（全称并加盖单位公章）</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年　　月　　日</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※注意：</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1、从业人员、营业收入、资产总额填报上一年度数据，无上一年度数据的新成立企业可不填报。</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三-2-②小型、微型企业等证明材料（价格扣除适用，若有）</w:t>
      </w:r>
    </w:p>
    <w:p>
      <w:pPr>
        <w:pStyle w:val="9"/>
        <w:ind w:firstLine="48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编制说明</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1、投标人应按照招标文件要求提供相应证明材料，证明材料应与《中小企业声明函》的内容相一致，否则视为《中小企业声明函》内容不真实。</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2、投标人为监狱企业的，根据其提供的由省级以上监狱管理局、戒毒管理局（含新疆生产建设兵团）出具的属于监狱企业的证明文件进行认定，监狱企业视同小型、微型企业。</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w:t>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残疾人福利性单位声明函（价格扣除适用，若有）</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）由本投标人承建的（填写“所投采购包、品目号”）工程</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）由本投标人承接的（填写“所投采购包、品目号”）服务；</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本投标人对上述声明的真实性负责。如有虚假，将依法承担相应责任。</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1、请投标人按照实际情况编制填写本声明函，并在相应的（）中打“√”。</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2、若《残疾人福利性单位声明函》内容不真实，视为提供虚假材料。</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w:t>
      </w:r>
      <w:r>
        <w:rPr>
          <w:rFonts w:hint="eastAsia" w:asciiTheme="minorEastAsia" w:hAnsiTheme="minorEastAsia" w:eastAsiaTheme="minorEastAsia" w:cstheme="minorEastAsia"/>
          <w:color w:val="auto"/>
          <w:highlight w:val="none"/>
          <w:u w:val="single"/>
        </w:rPr>
        <w:t>（全称并加盖单位公章）</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年　　月　　日</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w:t>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监狱企业证明材料</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三-3招标文件规定的其他价格扣除证明材料（若有）</w:t>
      </w:r>
    </w:p>
    <w:p>
      <w:pPr>
        <w:pStyle w:val="9"/>
        <w:ind w:firstLine="48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编制说明</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四、招标文件规定的加分证明材料（若有）</w:t>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四-1优先类节能产品、环境标志产品加分证明材料（若有）</w:t>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四-1-①优先类节能产品、环境标志产品统计表（加分适用，若有）</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r>
        <w:rPr>
          <w:rFonts w:hint="eastAsia" w:asciiTheme="minorEastAsia" w:hAnsiTheme="minorEastAsia" w:eastAsiaTheme="minorEastAsia" w:cstheme="minorEastAsia"/>
          <w:color w:val="auto"/>
          <w:highlight w:val="none"/>
          <w:u w:val="single"/>
        </w:rPr>
        <w:t>　　　　　　　　</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货币及单位：人民币元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hint="eastAsia" w:asciiTheme="minorEastAsia" w:hAnsiTheme="minorEastAsia" w:eastAsiaTheme="minorEastAsia" w:cstheme="minorEastAsia"/>
                <w:color w:val="auto"/>
                <w:highlight w:val="none"/>
              </w:rPr>
            </w:pPr>
          </w:p>
        </w:tc>
        <w:tc>
          <w:tcPr>
            <w:tcW w:w="7122" w:type="dxa"/>
            <w:gridSpan w:val="6"/>
          </w:tcPr>
          <w:p>
            <w:pPr>
              <w:pStyle w:val="9"/>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品目号</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货物名称</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单价（现场）</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总价（现场）</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187" w:type="dxa"/>
          </w:tcPr>
          <w:p>
            <w:pPr>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rFonts w:hint="eastAsia" w:asciiTheme="minorEastAsia" w:hAnsiTheme="minorEastAsia" w:eastAsiaTheme="minorEastAsia" w:cstheme="minorEastAsia"/>
                <w:color w:val="auto"/>
                <w:highlight w:val="none"/>
              </w:rPr>
            </w:pP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187" w:type="dxa"/>
          </w:tcPr>
          <w:p>
            <w:pPr>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r>
    </w:tbl>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※注意：</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1、对节能、环境标志产品计算价格扣除时，只依据电子投标文件“四-1-②优先类节能产品、环境标志产品加分证明材料（加分适用，若有）”。</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2、本表以采购包为单位，不同采购包请分别填写；同一采购包请按照其品目号顺序分别填写。</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3、具体统计、计算：</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3.1若节能、环境标志产品仅是构成投标产品的部件、组件或零件，则该投标产品不享受鼓励优惠政策。同一品目中各认证证书不重复计算价格扣除。强制类节能产品不享受价格扣除。</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3.2计算结果若除不尽，可四舍五入保留到小数点后两位。</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3.3投标人应按照招标文件要求认真统计、计算，否则评标委员会不予认定。</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3.4若无节能、环境标志产品，不填写本表，否则，视为提供虚假材料。</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w:t>
      </w:r>
      <w:r>
        <w:rPr>
          <w:rFonts w:hint="eastAsia" w:asciiTheme="minorEastAsia" w:hAnsiTheme="minorEastAsia" w:eastAsiaTheme="minorEastAsia" w:cstheme="minorEastAsia"/>
          <w:color w:val="auto"/>
          <w:highlight w:val="none"/>
          <w:u w:val="single"/>
        </w:rPr>
        <w:t>（全称并加盖单位公章）</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年　　月　　日</w:t>
      </w:r>
    </w:p>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四-1-②优先类节能产品、环境标志产品证明材料（加分适用，若有）</w:t>
      </w:r>
    </w:p>
    <w:p>
      <w:pPr>
        <w:pStyle w:val="9"/>
        <w:jc w:val="center"/>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四-2招标文件规定的其他加分证明材料（若有）</w:t>
      </w:r>
    </w:p>
    <w:p>
      <w:pPr>
        <w:pStyle w:val="9"/>
        <w:ind w:firstLine="48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编制说明</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若投标人可享受招标文件规定的除“优先类节能产品、环境标志产品加分”外的其他加分优惠，则投标人应按照招标文件要求提供相应证明材料。</w:t>
      </w:r>
    </w:p>
    <w:p>
      <w:pPr>
        <w:pStyle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封面格式(技术商务部分)</w:t>
      </w:r>
    </w:p>
    <w:p>
      <w:pPr>
        <w:pStyle w:val="9"/>
        <w:jc w:val="center"/>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48"/>
          <w:highlight w:val="none"/>
        </w:rPr>
        <w:t>福建省政府采购投标文件</w:t>
      </w:r>
    </w:p>
    <w:p>
      <w:pPr>
        <w:pStyle w:val="9"/>
        <w:jc w:val="center"/>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48"/>
          <w:highlight w:val="none"/>
        </w:rPr>
        <w:t>（技术商务部分）</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textWrapping"/>
      </w:r>
    </w:p>
    <w:p>
      <w:pPr>
        <w:pStyle w:val="9"/>
        <w:jc w:val="center"/>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highlight w:val="none"/>
        </w:rPr>
        <w:t>（填写正本或副本）</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textWrapping"/>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（项目名称：（由投标人填写）</w:t>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（备案编号：（由投标人填写）</w:t>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（项目编号：（由投标人填写）</w:t>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（所投采购包：（由投标人填写）</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textWrapping"/>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投标人：（填写“全称”）</w:t>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（由投标人填写）年（由投标人填写）月</w:t>
      </w:r>
    </w:p>
    <w:p>
      <w:pPr>
        <w:pStyle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索引</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一、标的说明一览表</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二、技术和服务要求响应表</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三、商务条件响应表</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四、投标人提交的其他资料（若有）</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※注意</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技术商务部分中不得出现报价部分的全部或部分的投标报价信息（或组成资料），否则符合性审查不合格。</w:t>
      </w:r>
    </w:p>
    <w:p>
      <w:pPr>
        <w:pStyle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一、标的说明一览表</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r>
        <w:rPr>
          <w:rFonts w:hint="eastAsia" w:asciiTheme="minorEastAsia" w:hAnsiTheme="minorEastAsia" w:eastAsiaTheme="minorEastAsia" w:cstheme="minorEastAsia"/>
          <w:color w:val="auto"/>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品目号</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投标标的</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规格</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来源地</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187" w:type="dxa"/>
          </w:tcPr>
          <w:p>
            <w:pPr>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pPr>
              <w:rPr>
                <w:rFonts w:hint="eastAsia" w:asciiTheme="minorEastAsia" w:hAnsiTheme="minorEastAsia" w:eastAsiaTheme="minorEastAsia" w:cstheme="minorEastAsia"/>
                <w:color w:val="auto"/>
                <w:highlight w:val="none"/>
              </w:rPr>
            </w:pPr>
          </w:p>
        </w:tc>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187" w:type="dxa"/>
          </w:tcPr>
          <w:p>
            <w:pPr>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187" w:type="dxa"/>
          </w:tcPr>
          <w:p>
            <w:pPr>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c>
          <w:tcPr>
            <w:tcW w:w="1187" w:type="dxa"/>
          </w:tcPr>
          <w:p>
            <w:pPr>
              <w:rPr>
                <w:rFonts w:hint="eastAsia" w:asciiTheme="minorEastAsia" w:hAnsiTheme="minorEastAsia" w:eastAsiaTheme="minorEastAsia" w:cstheme="minorEastAsia"/>
                <w:color w:val="auto"/>
                <w:highlight w:val="none"/>
              </w:rPr>
            </w:pPr>
          </w:p>
        </w:tc>
      </w:tr>
    </w:tbl>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※注意：</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1、本表应按照下列规定填写：</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1.1“采购包”、“品目号”、“投标标的”及“数量”应与招标文件《采购标的一览表》中的有关内容（“采购包”、“品目号”、“采购标的”及“数量”）保持一致。</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3、电子投标文件中涉及“投标标的”、“数量”、“规格”、“来源地”的内容若不一致，应以本表为准。</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w:t>
      </w:r>
      <w:r>
        <w:rPr>
          <w:rFonts w:hint="eastAsia" w:asciiTheme="minorEastAsia" w:hAnsiTheme="minorEastAsia" w:eastAsiaTheme="minorEastAsia" w:cstheme="minorEastAsia"/>
          <w:color w:val="auto"/>
          <w:highlight w:val="none"/>
          <w:u w:val="single"/>
        </w:rPr>
        <w:t>（全称并加盖单位公章）</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年　　月　　日</w:t>
      </w:r>
    </w:p>
    <w:p>
      <w:pPr>
        <w:pStyle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二、技术和服务要求响应表</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r>
        <w:rPr>
          <w:rFonts w:hint="eastAsia" w:asciiTheme="minorEastAsia" w:hAnsiTheme="minorEastAsia" w:eastAsiaTheme="minorEastAsia" w:cstheme="minorEastAsia"/>
          <w:color w:val="auto"/>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w:t>
            </w:r>
          </w:p>
        </w:tc>
        <w:tc>
          <w:tcPr>
            <w:tcW w:w="1661"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品目号</w:t>
            </w:r>
          </w:p>
        </w:tc>
        <w:tc>
          <w:tcPr>
            <w:tcW w:w="1661"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技术和服务要求</w:t>
            </w:r>
          </w:p>
        </w:tc>
        <w:tc>
          <w:tcPr>
            <w:tcW w:w="1661"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投标响应</w:t>
            </w:r>
          </w:p>
        </w:tc>
        <w:tc>
          <w:tcPr>
            <w:tcW w:w="1661"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661"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661" w:type="dxa"/>
          </w:tcPr>
          <w:p>
            <w:pPr>
              <w:rPr>
                <w:rFonts w:hint="eastAsia" w:asciiTheme="minorEastAsia" w:hAnsiTheme="minorEastAsia" w:eastAsiaTheme="minorEastAsia" w:cstheme="minorEastAsia"/>
                <w:color w:val="auto"/>
                <w:highlight w:val="none"/>
              </w:rPr>
            </w:pPr>
          </w:p>
        </w:tc>
        <w:tc>
          <w:tcPr>
            <w:tcW w:w="1661" w:type="dxa"/>
          </w:tcPr>
          <w:p>
            <w:pPr>
              <w:rPr>
                <w:rFonts w:hint="eastAsia" w:asciiTheme="minorEastAsia" w:hAnsiTheme="minorEastAsia" w:eastAsiaTheme="minorEastAsia" w:cstheme="minorEastAsia"/>
                <w:color w:val="auto"/>
                <w:highlight w:val="none"/>
              </w:rPr>
            </w:pPr>
          </w:p>
        </w:tc>
        <w:tc>
          <w:tcPr>
            <w:tcW w:w="1661" w:type="dxa"/>
          </w:tcPr>
          <w:p>
            <w:pPr>
              <w:rPr>
                <w:rFonts w:hint="eastAsia" w:asciiTheme="minorEastAsia" w:hAnsiTheme="minorEastAsia" w:eastAsiaTheme="minorEastAsia" w:cstheme="minorEastAsia"/>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hint="eastAsia" w:asciiTheme="minorEastAsia" w:hAnsiTheme="minorEastAsia" w:eastAsiaTheme="minorEastAsia" w:cstheme="minorEastAsia"/>
                <w:color w:val="auto"/>
                <w:highlight w:val="none"/>
              </w:rPr>
            </w:pPr>
          </w:p>
        </w:tc>
        <w:tc>
          <w:tcPr>
            <w:tcW w:w="1661"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661" w:type="dxa"/>
          </w:tcPr>
          <w:p>
            <w:pPr>
              <w:rPr>
                <w:rFonts w:hint="eastAsia" w:asciiTheme="minorEastAsia" w:hAnsiTheme="minorEastAsia" w:eastAsiaTheme="minorEastAsia" w:cstheme="minorEastAsia"/>
                <w:color w:val="auto"/>
                <w:highlight w:val="none"/>
              </w:rPr>
            </w:pPr>
          </w:p>
        </w:tc>
        <w:tc>
          <w:tcPr>
            <w:tcW w:w="1661" w:type="dxa"/>
          </w:tcPr>
          <w:p>
            <w:pPr>
              <w:rPr>
                <w:rFonts w:hint="eastAsia" w:asciiTheme="minorEastAsia" w:hAnsiTheme="minorEastAsia" w:eastAsiaTheme="minorEastAsia" w:cstheme="minorEastAsia"/>
                <w:color w:val="auto"/>
                <w:highlight w:val="none"/>
              </w:rPr>
            </w:pPr>
          </w:p>
        </w:tc>
        <w:tc>
          <w:tcPr>
            <w:tcW w:w="1661" w:type="dxa"/>
          </w:tcPr>
          <w:p>
            <w:pPr>
              <w:rPr>
                <w:rFonts w:hint="eastAsia" w:asciiTheme="minorEastAsia" w:hAnsiTheme="minorEastAsia" w:eastAsiaTheme="minorEastAsia" w:cstheme="minorEastAsia"/>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661" w:type="dxa"/>
          </w:tcPr>
          <w:p>
            <w:pPr>
              <w:rPr>
                <w:rFonts w:hint="eastAsia" w:asciiTheme="minorEastAsia" w:hAnsiTheme="minorEastAsia" w:eastAsiaTheme="minorEastAsia" w:cstheme="minorEastAsia"/>
                <w:color w:val="auto"/>
                <w:highlight w:val="none"/>
              </w:rPr>
            </w:pPr>
          </w:p>
        </w:tc>
        <w:tc>
          <w:tcPr>
            <w:tcW w:w="1661" w:type="dxa"/>
          </w:tcPr>
          <w:p>
            <w:pPr>
              <w:rPr>
                <w:rFonts w:hint="eastAsia" w:asciiTheme="minorEastAsia" w:hAnsiTheme="minorEastAsia" w:eastAsiaTheme="minorEastAsia" w:cstheme="minorEastAsia"/>
                <w:color w:val="auto"/>
                <w:highlight w:val="none"/>
              </w:rPr>
            </w:pPr>
          </w:p>
        </w:tc>
        <w:tc>
          <w:tcPr>
            <w:tcW w:w="1661" w:type="dxa"/>
          </w:tcPr>
          <w:p>
            <w:pPr>
              <w:rPr>
                <w:rFonts w:hint="eastAsia" w:asciiTheme="minorEastAsia" w:hAnsiTheme="minorEastAsia" w:eastAsiaTheme="minorEastAsia" w:cstheme="minorEastAsia"/>
                <w:color w:val="auto"/>
                <w:highlight w:val="none"/>
              </w:rPr>
            </w:pPr>
          </w:p>
        </w:tc>
        <w:tc>
          <w:tcPr>
            <w:tcW w:w="1661" w:type="dxa"/>
          </w:tcPr>
          <w:p>
            <w:pPr>
              <w:rPr>
                <w:rFonts w:hint="eastAsia" w:asciiTheme="minorEastAsia" w:hAnsiTheme="minorEastAsia" w:eastAsiaTheme="minorEastAsia" w:cstheme="minorEastAsia"/>
                <w:color w:val="auto"/>
                <w:highlight w:val="none"/>
              </w:rPr>
            </w:pPr>
          </w:p>
        </w:tc>
      </w:tr>
    </w:tbl>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※注意：</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1、本表应按照下列规定填写：</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1.1“技术和服务要求”项下填写的内容应与招标文件第五章“技术和服务要求”的内容保持一致。</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1.3“是否偏离及说明”项下应按下列规定填写：优于的，填写“正偏离”；符合的，填写“无偏离”；低于的，填写“负偏离”。</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w:t>
      </w:r>
      <w:r>
        <w:rPr>
          <w:rFonts w:hint="eastAsia" w:asciiTheme="minorEastAsia" w:hAnsiTheme="minorEastAsia" w:eastAsiaTheme="minorEastAsia" w:cstheme="minorEastAsia"/>
          <w:color w:val="auto"/>
          <w:highlight w:val="none"/>
          <w:u w:val="single"/>
        </w:rPr>
        <w:t>（全称并加盖单位公章）</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年　　月　　日</w:t>
      </w:r>
    </w:p>
    <w:p>
      <w:pPr>
        <w:pStyle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三、商务条件响应表</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r>
        <w:rPr>
          <w:rFonts w:hint="eastAsia" w:asciiTheme="minorEastAsia" w:hAnsiTheme="minorEastAsia" w:eastAsiaTheme="minorEastAsia" w:cstheme="minorEastAsia"/>
          <w:color w:val="auto"/>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采购包</w:t>
            </w:r>
          </w:p>
        </w:tc>
        <w:tc>
          <w:tcPr>
            <w:tcW w:w="1661"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品目号</w:t>
            </w:r>
          </w:p>
        </w:tc>
        <w:tc>
          <w:tcPr>
            <w:tcW w:w="1661"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商务条件</w:t>
            </w:r>
          </w:p>
        </w:tc>
        <w:tc>
          <w:tcPr>
            <w:tcW w:w="1661"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投标响应</w:t>
            </w:r>
          </w:p>
        </w:tc>
        <w:tc>
          <w:tcPr>
            <w:tcW w:w="1661"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661"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661" w:type="dxa"/>
          </w:tcPr>
          <w:p>
            <w:pPr>
              <w:rPr>
                <w:rFonts w:hint="eastAsia" w:asciiTheme="minorEastAsia" w:hAnsiTheme="minorEastAsia" w:eastAsiaTheme="minorEastAsia" w:cstheme="minorEastAsia"/>
                <w:color w:val="auto"/>
                <w:highlight w:val="none"/>
              </w:rPr>
            </w:pPr>
          </w:p>
        </w:tc>
        <w:tc>
          <w:tcPr>
            <w:tcW w:w="1661" w:type="dxa"/>
          </w:tcPr>
          <w:p>
            <w:pPr>
              <w:rPr>
                <w:rFonts w:hint="eastAsia" w:asciiTheme="minorEastAsia" w:hAnsiTheme="minorEastAsia" w:eastAsiaTheme="minorEastAsia" w:cstheme="minorEastAsia"/>
                <w:color w:val="auto"/>
                <w:highlight w:val="none"/>
              </w:rPr>
            </w:pPr>
          </w:p>
        </w:tc>
        <w:tc>
          <w:tcPr>
            <w:tcW w:w="1661" w:type="dxa"/>
          </w:tcPr>
          <w:p>
            <w:pPr>
              <w:rPr>
                <w:rFonts w:hint="eastAsia" w:asciiTheme="minorEastAsia" w:hAnsiTheme="minorEastAsia" w:eastAsiaTheme="minorEastAsia" w:cstheme="minorEastAsia"/>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hint="eastAsia" w:asciiTheme="minorEastAsia" w:hAnsiTheme="minorEastAsia" w:eastAsiaTheme="minorEastAsia" w:cstheme="minorEastAsia"/>
                <w:color w:val="auto"/>
                <w:highlight w:val="none"/>
              </w:rPr>
            </w:pPr>
          </w:p>
        </w:tc>
        <w:tc>
          <w:tcPr>
            <w:tcW w:w="1661"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661" w:type="dxa"/>
          </w:tcPr>
          <w:p>
            <w:pPr>
              <w:rPr>
                <w:rFonts w:hint="eastAsia" w:asciiTheme="minorEastAsia" w:hAnsiTheme="minorEastAsia" w:eastAsiaTheme="minorEastAsia" w:cstheme="minorEastAsia"/>
                <w:color w:val="auto"/>
                <w:highlight w:val="none"/>
              </w:rPr>
            </w:pPr>
          </w:p>
        </w:tc>
        <w:tc>
          <w:tcPr>
            <w:tcW w:w="1661" w:type="dxa"/>
          </w:tcPr>
          <w:p>
            <w:pPr>
              <w:rPr>
                <w:rFonts w:hint="eastAsia" w:asciiTheme="minorEastAsia" w:hAnsiTheme="minorEastAsia" w:eastAsiaTheme="minorEastAsia" w:cstheme="minorEastAsia"/>
                <w:color w:val="auto"/>
                <w:highlight w:val="none"/>
              </w:rPr>
            </w:pPr>
          </w:p>
        </w:tc>
        <w:tc>
          <w:tcPr>
            <w:tcW w:w="1661" w:type="dxa"/>
          </w:tcPr>
          <w:p>
            <w:pPr>
              <w:rPr>
                <w:rFonts w:hint="eastAsia" w:asciiTheme="minorEastAsia" w:hAnsiTheme="minorEastAsia" w:eastAsiaTheme="minorEastAsia" w:cstheme="minorEastAsia"/>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661" w:type="dxa"/>
          </w:tcPr>
          <w:p>
            <w:pPr>
              <w:rPr>
                <w:rFonts w:hint="eastAsia" w:asciiTheme="minorEastAsia" w:hAnsiTheme="minorEastAsia" w:eastAsiaTheme="minorEastAsia" w:cstheme="minorEastAsia"/>
                <w:color w:val="auto"/>
                <w:highlight w:val="none"/>
              </w:rPr>
            </w:pPr>
          </w:p>
        </w:tc>
        <w:tc>
          <w:tcPr>
            <w:tcW w:w="1661" w:type="dxa"/>
          </w:tcPr>
          <w:p>
            <w:pPr>
              <w:rPr>
                <w:rFonts w:hint="eastAsia" w:asciiTheme="minorEastAsia" w:hAnsiTheme="minorEastAsia" w:eastAsiaTheme="minorEastAsia" w:cstheme="minorEastAsia"/>
                <w:color w:val="auto"/>
                <w:highlight w:val="none"/>
              </w:rPr>
            </w:pPr>
          </w:p>
        </w:tc>
        <w:tc>
          <w:tcPr>
            <w:tcW w:w="1661" w:type="dxa"/>
          </w:tcPr>
          <w:p>
            <w:pPr>
              <w:rPr>
                <w:rFonts w:hint="eastAsia" w:asciiTheme="minorEastAsia" w:hAnsiTheme="minorEastAsia" w:eastAsiaTheme="minorEastAsia" w:cstheme="minorEastAsia"/>
                <w:color w:val="auto"/>
                <w:highlight w:val="none"/>
              </w:rPr>
            </w:pPr>
          </w:p>
        </w:tc>
        <w:tc>
          <w:tcPr>
            <w:tcW w:w="1661" w:type="dxa"/>
          </w:tcPr>
          <w:p>
            <w:pPr>
              <w:rPr>
                <w:rFonts w:hint="eastAsia" w:asciiTheme="minorEastAsia" w:hAnsiTheme="minorEastAsia" w:eastAsiaTheme="minorEastAsia" w:cstheme="minorEastAsia"/>
                <w:color w:val="auto"/>
                <w:highlight w:val="none"/>
              </w:rPr>
            </w:pPr>
          </w:p>
        </w:tc>
      </w:tr>
    </w:tbl>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※注意：</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1、本表应按照下列规定填写：</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1.1“商务条件”项下填写的内容应与招标文件第五章“商务条件”的内容保持一致。</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1.2“投标响应”项下应填写具体的响应内容并与“商务条件”项下填写的内容逐项对应；对“商务条件”项下涉及“≥或＞”、“≤或＜”及某个区间值范围内的内容，应填写具体的数值。</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1.3“是否偏离及说明”项下应按下列规定填写：优于的，填写“正偏离”；符合的，填写“无偏离”；低于的，填写“负偏离”。</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w:t>
      </w:r>
      <w:r>
        <w:rPr>
          <w:rFonts w:hint="eastAsia" w:asciiTheme="minorEastAsia" w:hAnsiTheme="minorEastAsia" w:eastAsiaTheme="minorEastAsia" w:cstheme="minorEastAsia"/>
          <w:color w:val="auto"/>
          <w:highlight w:val="none"/>
          <w:u w:val="single"/>
        </w:rPr>
        <w:t>（全称并加盖单位公章）</w:t>
      </w:r>
    </w:p>
    <w:p>
      <w:pPr>
        <w:pStyle w:val="9"/>
        <w:ind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年　　月　　日</w:t>
      </w:r>
    </w:p>
    <w:p>
      <w:pPr>
        <w:pStyle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br w:type="page"/>
      </w:r>
    </w:p>
    <w:p>
      <w:pPr>
        <w:pStyle w:val="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四、投标人提交的其他资料（若有）</w:t>
      </w:r>
    </w:p>
    <w:p>
      <w:pPr>
        <w:pStyle w:val="9"/>
        <w:ind w:firstLine="48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编制说明</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1、招标文件要求提交的除“资格及资信证明部分”、“报价部分”外的其他证明材料或资料加盖投标人的单位公章后应在此项下提交。</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2、招标文件要求投标人提供方案（包括但不限于：组织、实施、技术、服务方案等）的，投标人应在此项下提交。</w:t>
      </w:r>
    </w:p>
    <w:p>
      <w:pPr>
        <w:pStyle w:val="9"/>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3、除招标文件另有规定外，投标人认为需要提交的其他证明材料或资料加盖投标人的单位公章后应在此项下提交。</w:t>
      </w:r>
    </w:p>
    <w:p>
      <w:pPr>
        <w:pStyle w:val="9"/>
        <w:rPr>
          <w:rFonts w:hint="eastAsia" w:asciiTheme="minorEastAsia" w:hAnsiTheme="minorEastAsia" w:eastAsiaTheme="minorEastAsia" w:cstheme="minorEastAsia"/>
          <w:color w:val="auto"/>
          <w:highlight w:val="none"/>
          <w:lang w:val="en-US" w:eastAsia="zh-Hans"/>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NjQ0ZWZmN2U4NWYyMGNhZWRiNTU1MDBjOWRhYzgifQ=="/>
  </w:docVars>
  <w:rsids>
    <w:rsidRoot w:val="53B52B8D"/>
    <w:rsid w:val="058B1D2A"/>
    <w:rsid w:val="065F7326"/>
    <w:rsid w:val="06734B80"/>
    <w:rsid w:val="08AC25CB"/>
    <w:rsid w:val="0A684D6E"/>
    <w:rsid w:val="0D5A43A4"/>
    <w:rsid w:val="0E582F4D"/>
    <w:rsid w:val="177F50ED"/>
    <w:rsid w:val="19244048"/>
    <w:rsid w:val="1AD8269C"/>
    <w:rsid w:val="1D183933"/>
    <w:rsid w:val="1D8A4831"/>
    <w:rsid w:val="1DEB5AAF"/>
    <w:rsid w:val="22FC039A"/>
    <w:rsid w:val="29E54B61"/>
    <w:rsid w:val="2B56699D"/>
    <w:rsid w:val="2FF42FE5"/>
    <w:rsid w:val="30534F57"/>
    <w:rsid w:val="31692558"/>
    <w:rsid w:val="33061298"/>
    <w:rsid w:val="33EC5CE4"/>
    <w:rsid w:val="3727521F"/>
    <w:rsid w:val="375C0B95"/>
    <w:rsid w:val="378105FB"/>
    <w:rsid w:val="385F0B0B"/>
    <w:rsid w:val="3B377B9D"/>
    <w:rsid w:val="3B984165"/>
    <w:rsid w:val="4379487C"/>
    <w:rsid w:val="44E126D9"/>
    <w:rsid w:val="46B5206F"/>
    <w:rsid w:val="48671159"/>
    <w:rsid w:val="4871646A"/>
    <w:rsid w:val="4B3317B5"/>
    <w:rsid w:val="51F86E0C"/>
    <w:rsid w:val="53322BAF"/>
    <w:rsid w:val="53B52B8D"/>
    <w:rsid w:val="56077490"/>
    <w:rsid w:val="563E013B"/>
    <w:rsid w:val="58A61818"/>
    <w:rsid w:val="59345076"/>
    <w:rsid w:val="5AF03A31"/>
    <w:rsid w:val="614D44D2"/>
    <w:rsid w:val="67372D0B"/>
    <w:rsid w:val="6BF15048"/>
    <w:rsid w:val="6C5E05B9"/>
    <w:rsid w:val="6EE44211"/>
    <w:rsid w:val="6F5A6882"/>
    <w:rsid w:val="71FB092D"/>
    <w:rsid w:val="732C09A4"/>
    <w:rsid w:val="74BC7756"/>
    <w:rsid w:val="76D161A2"/>
    <w:rsid w:val="77F79321"/>
    <w:rsid w:val="7C9B4B16"/>
    <w:rsid w:val="7CE86115"/>
    <w:rsid w:val="7ED06D3F"/>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Plain Text"/>
    <w:basedOn w:val="1"/>
    <w:qFormat/>
    <w:uiPriority w:val="0"/>
    <w:rPr>
      <w:rFonts w:ascii="宋体" w:hAnsi="Courier New" w:cs="宋体"/>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qFormat/>
    <w:uiPriority w:val="0"/>
  </w:style>
  <w:style w:type="paragraph" w:customStyle="1" w:styleId="9">
    <w:name w:val="null3"/>
    <w:autoRedefine/>
    <w:hidden/>
    <w:qFormat/>
    <w:uiPriority w:val="0"/>
    <w:rPr>
      <w:rFonts w:hint="eastAsia" w:asciiTheme="minorHAnsi" w:hAnsiTheme="minorHAnsi" w:eastAsiaTheme="minorEastAsia" w:cstheme="minorBidi"/>
      <w:lang w:val="en-US" w:eastAsia="zh-Hans"/>
    </w:rPr>
  </w:style>
  <w:style w:type="paragraph" w:customStyle="1" w:styleId="10">
    <w:name w:val="Medium Grid 21"/>
    <w:qFormat/>
    <w:uiPriority w:val="1"/>
    <w:rPr>
      <w:rFonts w:ascii="Calibri" w:hAnsi="Calibri" w:eastAsia="宋体" w:cs="Times New Roman"/>
      <w:sz w:val="22"/>
      <w:szCs w:val="22"/>
      <w:lang w:val="en-US" w:eastAsia="zh-CN" w:bidi="ar-SA"/>
    </w:rPr>
  </w:style>
  <w:style w:type="paragraph" w:styleId="11">
    <w:name w:val="List Paragraph"/>
    <w:basedOn w:val="1"/>
    <w:qFormat/>
    <w:uiPriority w:val="72"/>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FanShuZhen</cp:lastModifiedBy>
  <dcterms:modified xsi:type="dcterms:W3CDTF">2024-01-08T02:03:32Z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93FB1A4C5B6446AEA6B3FA7DD5D6D9CA_13</vt:lpwstr>
  </property>
</Properties>
</file>