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2"/>
        <w:spacing w:before="0" w:beforeAutospacing="0" w:after="0" w:afterAutospacing="0" w:line="360" w:lineRule="auto"/>
        <w:jc w:val="both"/>
        <w:rPr>
          <w:rFonts w:hint="eastAsia"/>
          <w:b/>
          <w:bCs/>
          <w:color w:val="000000"/>
          <w:sz w:val="32"/>
          <w:szCs w:val="32"/>
          <w:shd w:val="clear" w:color="auto" w:fill="FFFFFF"/>
          <w:lang w:val="en-US" w:eastAsia="zh-CN"/>
        </w:rPr>
      </w:pPr>
      <w:r>
        <w:rPr>
          <w:rFonts w:hint="eastAsia"/>
          <w:b/>
          <w:bCs/>
          <w:color w:val="000000"/>
          <w:sz w:val="32"/>
          <w:szCs w:val="32"/>
          <w:shd w:val="clear" w:color="auto" w:fill="FFFFFF"/>
          <w:lang w:val="en-US" w:eastAsia="zh-CN"/>
        </w:rPr>
        <w:t>服务要求：</w:t>
      </w:r>
    </w:p>
    <w:p>
      <w:pPr>
        <w:pStyle w:val="2"/>
        <w:spacing w:before="0" w:beforeAutospacing="0" w:after="0" w:afterAutospacing="0" w:line="360" w:lineRule="auto"/>
        <w:jc w:val="both"/>
        <w:rPr>
          <w:rFonts w:ascii="微软雅黑" w:hAnsi="微软雅黑" w:eastAsia="微软雅黑" w:cs="微软雅黑"/>
          <w:color w:val="000000"/>
          <w:sz w:val="27"/>
          <w:szCs w:val="27"/>
        </w:rPr>
      </w:pPr>
      <w:r>
        <w:rPr>
          <w:rFonts w:hint="eastAsia"/>
          <w:b/>
          <w:bCs/>
          <w:color w:val="000000"/>
          <w:sz w:val="32"/>
          <w:szCs w:val="32"/>
          <w:shd w:val="clear" w:color="auto" w:fill="FFFFFF"/>
          <w:lang w:val="en-US" w:eastAsia="zh-CN"/>
        </w:rPr>
        <w:t>一、</w:t>
      </w:r>
      <w:r>
        <w:rPr>
          <w:rStyle w:val="4"/>
          <w:rFonts w:hint="eastAsia"/>
          <w:color w:val="000000"/>
          <w:shd w:val="clear" w:color="auto" w:fill="FFFFFF"/>
        </w:rPr>
        <w:t>服务期限</w:t>
      </w:r>
      <w:r>
        <w:rPr>
          <w:rStyle w:val="4"/>
          <w:rFonts w:hint="eastAsia"/>
          <w:color w:val="000000"/>
          <w:shd w:val="clear" w:color="auto" w:fill="FFFFFF"/>
          <w:lang w:eastAsia="zh-CN"/>
        </w:rPr>
        <w:t>：</w:t>
      </w:r>
      <w:r>
        <w:rPr>
          <w:rFonts w:hint="eastAsia"/>
          <w:color w:val="000000"/>
          <w:shd w:val="clear" w:color="auto" w:fill="FFFFFF"/>
        </w:rPr>
        <w:t>一年。</w:t>
      </w:r>
    </w:p>
    <w:p>
      <w:pPr>
        <w:pStyle w:val="2"/>
        <w:spacing w:before="0" w:beforeAutospacing="0" w:after="0" w:afterAutospacing="0" w:line="360" w:lineRule="auto"/>
        <w:rPr>
          <w:rStyle w:val="4"/>
          <w:color w:val="000000"/>
          <w:shd w:val="clear" w:color="auto" w:fill="FFFFFF"/>
        </w:rPr>
      </w:pPr>
      <w:r>
        <w:rPr>
          <w:rStyle w:val="4"/>
          <w:rFonts w:hint="eastAsia"/>
          <w:color w:val="000000"/>
          <w:shd w:val="clear" w:color="auto" w:fill="FFFFFF"/>
          <w:lang w:eastAsia="zh-CN"/>
        </w:rPr>
        <w:t>二、</w:t>
      </w:r>
      <w:r>
        <w:rPr>
          <w:rStyle w:val="4"/>
          <w:rFonts w:hint="eastAsia"/>
          <w:color w:val="000000"/>
          <w:shd w:val="clear" w:color="auto" w:fill="FFFFFF"/>
        </w:rPr>
        <w:t>服务范围</w:t>
      </w:r>
    </w:p>
    <w:tbl>
      <w:tblPr>
        <w:tblW w:w="851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64"/>
        <w:gridCol w:w="5157"/>
        <w:gridCol w:w="1074"/>
        <w:gridCol w:w="12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06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序号</w:t>
            </w:r>
          </w:p>
        </w:tc>
        <w:tc>
          <w:tcPr>
            <w:tcW w:w="515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b/>
                <w:bCs/>
                <w:kern w:val="0"/>
                <w:sz w:val="22"/>
                <w:szCs w:val="22"/>
              </w:rPr>
            </w:pPr>
            <w:r>
              <w:rPr>
                <w:rFonts w:hint="eastAsia" w:ascii="宋体" w:hAnsi="宋体" w:cs="宋体"/>
                <w:b/>
                <w:bCs/>
                <w:kern w:val="0"/>
                <w:sz w:val="22"/>
                <w:szCs w:val="22"/>
              </w:rPr>
              <w:t>名称</w:t>
            </w:r>
          </w:p>
        </w:tc>
        <w:tc>
          <w:tcPr>
            <w:tcW w:w="1074"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b/>
                <w:bCs/>
                <w:kern w:val="0"/>
                <w:sz w:val="22"/>
                <w:szCs w:val="22"/>
              </w:rPr>
            </w:pPr>
            <w:r>
              <w:rPr>
                <w:rFonts w:hint="eastAsia" w:ascii="宋体" w:hAnsi="宋体" w:cs="宋体"/>
                <w:b/>
                <w:bCs/>
                <w:kern w:val="0"/>
                <w:sz w:val="22"/>
                <w:szCs w:val="22"/>
              </w:rPr>
              <w:t>数量</w:t>
            </w:r>
          </w:p>
        </w:tc>
        <w:tc>
          <w:tcPr>
            <w:tcW w:w="1224"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b/>
                <w:bCs/>
                <w:kern w:val="0"/>
                <w:sz w:val="22"/>
                <w:szCs w:val="22"/>
              </w:rPr>
            </w:pPr>
            <w:r>
              <w:rPr>
                <w:rFonts w:hint="eastAsia" w:ascii="宋体" w:hAnsi="宋体" w:cs="宋体"/>
                <w:b/>
                <w:bCs/>
                <w:kern w:val="0"/>
                <w:sz w:val="22"/>
                <w:szCs w:val="22"/>
              </w:rPr>
              <w:t>院区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06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1</w:t>
            </w:r>
          </w:p>
        </w:tc>
        <w:tc>
          <w:tcPr>
            <w:tcW w:w="5157"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Vplex存储双活引擎</w:t>
            </w:r>
          </w:p>
        </w:tc>
        <w:tc>
          <w:tcPr>
            <w:tcW w:w="107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1</w:t>
            </w:r>
          </w:p>
        </w:tc>
        <w:tc>
          <w:tcPr>
            <w:tcW w:w="122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本部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06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2</w:t>
            </w:r>
          </w:p>
        </w:tc>
        <w:tc>
          <w:tcPr>
            <w:tcW w:w="5157"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22"/>
                <w:szCs w:val="22"/>
                <w:lang w:val="en-US" w:eastAsia="zh-CN"/>
              </w:rPr>
            </w:pPr>
            <w:r>
              <w:rPr>
                <w:rFonts w:hint="eastAsia" w:ascii="宋体" w:hAnsi="宋体" w:eastAsia="宋体" w:cs="宋体"/>
                <w:kern w:val="0"/>
                <w:sz w:val="22"/>
                <w:szCs w:val="22"/>
              </w:rPr>
              <w:t>SYMMETRIX VMAX 10K</w:t>
            </w:r>
            <w:r>
              <w:rPr>
                <w:rFonts w:hint="eastAsia" w:ascii="宋体" w:hAnsi="宋体" w:eastAsia="宋体" w:cs="宋体"/>
                <w:kern w:val="0"/>
                <w:sz w:val="22"/>
                <w:szCs w:val="22"/>
                <w:lang w:val="en-US" w:eastAsia="zh-CN"/>
              </w:rPr>
              <w:t>核心存储</w:t>
            </w:r>
          </w:p>
        </w:tc>
        <w:tc>
          <w:tcPr>
            <w:tcW w:w="107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2</w:t>
            </w:r>
          </w:p>
        </w:tc>
        <w:tc>
          <w:tcPr>
            <w:tcW w:w="122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本部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06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3</w:t>
            </w:r>
          </w:p>
        </w:tc>
        <w:tc>
          <w:tcPr>
            <w:tcW w:w="5157"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VNX5100存储</w:t>
            </w:r>
          </w:p>
        </w:tc>
        <w:tc>
          <w:tcPr>
            <w:tcW w:w="107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1</w:t>
            </w:r>
          </w:p>
        </w:tc>
        <w:tc>
          <w:tcPr>
            <w:tcW w:w="122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本部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06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4</w:t>
            </w:r>
          </w:p>
        </w:tc>
        <w:tc>
          <w:tcPr>
            <w:tcW w:w="5157"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VNX5200存储</w:t>
            </w:r>
          </w:p>
        </w:tc>
        <w:tc>
          <w:tcPr>
            <w:tcW w:w="107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1</w:t>
            </w:r>
          </w:p>
        </w:tc>
        <w:tc>
          <w:tcPr>
            <w:tcW w:w="122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本部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06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5</w:t>
            </w:r>
          </w:p>
        </w:tc>
        <w:tc>
          <w:tcPr>
            <w:tcW w:w="5157"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VNX5400存储</w:t>
            </w:r>
          </w:p>
        </w:tc>
        <w:tc>
          <w:tcPr>
            <w:tcW w:w="107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1</w:t>
            </w:r>
          </w:p>
        </w:tc>
        <w:tc>
          <w:tcPr>
            <w:tcW w:w="122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本部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06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6</w:t>
            </w:r>
          </w:p>
        </w:tc>
        <w:tc>
          <w:tcPr>
            <w:tcW w:w="5157"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VNX5500存储</w:t>
            </w:r>
          </w:p>
        </w:tc>
        <w:tc>
          <w:tcPr>
            <w:tcW w:w="107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1</w:t>
            </w:r>
          </w:p>
        </w:tc>
        <w:tc>
          <w:tcPr>
            <w:tcW w:w="122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本部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06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7</w:t>
            </w:r>
          </w:p>
        </w:tc>
        <w:tc>
          <w:tcPr>
            <w:tcW w:w="5157"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VNX5600存储</w:t>
            </w:r>
          </w:p>
        </w:tc>
        <w:tc>
          <w:tcPr>
            <w:tcW w:w="107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1</w:t>
            </w:r>
          </w:p>
        </w:tc>
        <w:tc>
          <w:tcPr>
            <w:tcW w:w="122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本部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06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8</w:t>
            </w:r>
          </w:p>
        </w:tc>
        <w:tc>
          <w:tcPr>
            <w:tcW w:w="5157"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VNXe3200存储</w:t>
            </w:r>
          </w:p>
        </w:tc>
        <w:tc>
          <w:tcPr>
            <w:tcW w:w="107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2</w:t>
            </w:r>
          </w:p>
        </w:tc>
        <w:tc>
          <w:tcPr>
            <w:tcW w:w="122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本部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06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9</w:t>
            </w:r>
          </w:p>
        </w:tc>
        <w:tc>
          <w:tcPr>
            <w:tcW w:w="5157"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CX4-480存储</w:t>
            </w:r>
          </w:p>
        </w:tc>
        <w:tc>
          <w:tcPr>
            <w:tcW w:w="107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1</w:t>
            </w:r>
          </w:p>
        </w:tc>
        <w:tc>
          <w:tcPr>
            <w:tcW w:w="122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本部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06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10</w:t>
            </w:r>
          </w:p>
        </w:tc>
        <w:tc>
          <w:tcPr>
            <w:tcW w:w="5157"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Unity400存储</w:t>
            </w:r>
          </w:p>
        </w:tc>
        <w:tc>
          <w:tcPr>
            <w:tcW w:w="107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2</w:t>
            </w:r>
          </w:p>
        </w:tc>
        <w:tc>
          <w:tcPr>
            <w:tcW w:w="122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本部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06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11</w:t>
            </w:r>
          </w:p>
        </w:tc>
        <w:tc>
          <w:tcPr>
            <w:tcW w:w="5157" w:type="dxa"/>
            <w:tcBorders>
              <w:top w:val="nil"/>
              <w:left w:val="nil"/>
              <w:bottom w:val="single" w:color="auto" w:sz="4" w:space="0"/>
              <w:right w:val="single" w:color="auto" w:sz="4" w:space="0"/>
            </w:tcBorders>
            <w:shd w:val="clear" w:color="000000" w:fill="FFFFFF"/>
            <w:vAlign w:val="center"/>
          </w:tcPr>
          <w:p>
            <w:pPr>
              <w:widowControl/>
              <w:jc w:val="lef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OceanStor5300 V5</w:t>
            </w:r>
          </w:p>
        </w:tc>
        <w:tc>
          <w:tcPr>
            <w:tcW w:w="107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1</w:t>
            </w:r>
          </w:p>
        </w:tc>
        <w:tc>
          <w:tcPr>
            <w:tcW w:w="122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本部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06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12</w:t>
            </w:r>
          </w:p>
        </w:tc>
        <w:tc>
          <w:tcPr>
            <w:tcW w:w="5157"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MS2500G2-12E存储</w:t>
            </w:r>
          </w:p>
        </w:tc>
        <w:tc>
          <w:tcPr>
            <w:tcW w:w="107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1</w:t>
            </w:r>
          </w:p>
        </w:tc>
        <w:tc>
          <w:tcPr>
            <w:tcW w:w="122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本部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06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13</w:t>
            </w:r>
          </w:p>
        </w:tc>
        <w:tc>
          <w:tcPr>
            <w:tcW w:w="5157"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P2000存储</w:t>
            </w:r>
          </w:p>
        </w:tc>
        <w:tc>
          <w:tcPr>
            <w:tcW w:w="107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1</w:t>
            </w:r>
          </w:p>
        </w:tc>
        <w:tc>
          <w:tcPr>
            <w:tcW w:w="122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本部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2" w:hRule="atLeast"/>
        </w:trPr>
        <w:tc>
          <w:tcPr>
            <w:tcW w:w="106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14</w:t>
            </w:r>
          </w:p>
        </w:tc>
        <w:tc>
          <w:tcPr>
            <w:tcW w:w="5157"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VNX5600存储</w:t>
            </w:r>
          </w:p>
        </w:tc>
        <w:tc>
          <w:tcPr>
            <w:tcW w:w="107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1</w:t>
            </w:r>
          </w:p>
        </w:tc>
        <w:tc>
          <w:tcPr>
            <w:tcW w:w="122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本部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06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15</w:t>
            </w:r>
          </w:p>
        </w:tc>
        <w:tc>
          <w:tcPr>
            <w:tcW w:w="5157"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VNX5600存储</w:t>
            </w:r>
          </w:p>
        </w:tc>
        <w:tc>
          <w:tcPr>
            <w:tcW w:w="107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1</w:t>
            </w:r>
          </w:p>
        </w:tc>
        <w:tc>
          <w:tcPr>
            <w:tcW w:w="122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金山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06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16</w:t>
            </w:r>
          </w:p>
        </w:tc>
        <w:tc>
          <w:tcPr>
            <w:tcW w:w="5157"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LTM4000S负载均衡</w:t>
            </w:r>
          </w:p>
        </w:tc>
        <w:tc>
          <w:tcPr>
            <w:tcW w:w="107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2</w:t>
            </w:r>
          </w:p>
        </w:tc>
        <w:tc>
          <w:tcPr>
            <w:tcW w:w="122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本部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06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szCs w:val="22"/>
                <w:lang w:eastAsia="zh-CN"/>
              </w:rPr>
            </w:pPr>
            <w:r>
              <w:rPr>
                <w:rFonts w:hint="eastAsia" w:ascii="宋体" w:hAnsi="宋体" w:cs="宋体"/>
                <w:kern w:val="0"/>
                <w:sz w:val="22"/>
                <w:szCs w:val="22"/>
              </w:rPr>
              <w:t>1</w:t>
            </w:r>
            <w:r>
              <w:rPr>
                <w:rFonts w:hint="eastAsia" w:ascii="宋体" w:hAnsi="宋体" w:cs="宋体"/>
                <w:kern w:val="0"/>
                <w:sz w:val="22"/>
                <w:szCs w:val="22"/>
                <w:lang w:val="en-US" w:eastAsia="zh-CN"/>
              </w:rPr>
              <w:t>7</w:t>
            </w:r>
          </w:p>
        </w:tc>
        <w:tc>
          <w:tcPr>
            <w:tcW w:w="5157"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VERITAS磁盘镜像软件</w:t>
            </w:r>
          </w:p>
        </w:tc>
        <w:tc>
          <w:tcPr>
            <w:tcW w:w="107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1</w:t>
            </w:r>
          </w:p>
        </w:tc>
        <w:tc>
          <w:tcPr>
            <w:tcW w:w="122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本部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0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szCs w:val="22"/>
                <w:lang w:val="en-US" w:eastAsia="zh-CN"/>
              </w:rPr>
            </w:pPr>
            <w:r>
              <w:rPr>
                <w:rFonts w:hint="eastAsia" w:ascii="宋体" w:hAnsi="宋体" w:cs="宋体"/>
                <w:kern w:val="0"/>
                <w:sz w:val="22"/>
                <w:szCs w:val="22"/>
              </w:rPr>
              <w:t>1</w:t>
            </w:r>
            <w:r>
              <w:rPr>
                <w:rFonts w:hint="eastAsia" w:ascii="宋体" w:hAnsi="宋体" w:cs="宋体"/>
                <w:kern w:val="0"/>
                <w:sz w:val="22"/>
                <w:szCs w:val="22"/>
                <w:lang w:val="en-US" w:eastAsia="zh-CN"/>
              </w:rPr>
              <w:t>8</w:t>
            </w:r>
          </w:p>
        </w:tc>
        <w:tc>
          <w:tcPr>
            <w:tcW w:w="515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Recoverpoint连续数据保护系统</w:t>
            </w:r>
          </w:p>
        </w:tc>
        <w:tc>
          <w:tcPr>
            <w:tcW w:w="107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2</w:t>
            </w:r>
          </w:p>
        </w:tc>
        <w:tc>
          <w:tcPr>
            <w:tcW w:w="122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金山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0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szCs w:val="22"/>
                <w:lang w:val="en-US" w:eastAsia="zh-CN"/>
              </w:rPr>
            </w:pPr>
            <w:r>
              <w:rPr>
                <w:rFonts w:hint="eastAsia" w:ascii="宋体" w:hAnsi="宋体" w:cs="宋体"/>
                <w:kern w:val="0"/>
                <w:sz w:val="22"/>
                <w:szCs w:val="22"/>
              </w:rPr>
              <w:t>1</w:t>
            </w:r>
            <w:r>
              <w:rPr>
                <w:rFonts w:hint="eastAsia" w:ascii="宋体" w:hAnsi="宋体" w:cs="宋体"/>
                <w:kern w:val="0"/>
                <w:sz w:val="22"/>
                <w:szCs w:val="22"/>
                <w:lang w:val="en-US" w:eastAsia="zh-CN"/>
              </w:rPr>
              <w:t>9</w:t>
            </w:r>
          </w:p>
        </w:tc>
        <w:tc>
          <w:tcPr>
            <w:tcW w:w="515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核心业务保障及容灾演练服务</w:t>
            </w:r>
          </w:p>
        </w:tc>
        <w:tc>
          <w:tcPr>
            <w:tcW w:w="107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1</w:t>
            </w:r>
          </w:p>
        </w:tc>
        <w:tc>
          <w:tcPr>
            <w:tcW w:w="122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本部</w:t>
            </w:r>
          </w:p>
        </w:tc>
      </w:tr>
    </w:tbl>
    <w:p>
      <w:pPr>
        <w:pStyle w:val="2"/>
        <w:spacing w:before="0" w:beforeAutospacing="0" w:after="0" w:afterAutospacing="0" w:line="360" w:lineRule="auto"/>
        <w:rPr>
          <w:rStyle w:val="4"/>
          <w:rFonts w:hint="eastAsia"/>
          <w:color w:val="000000"/>
          <w:shd w:val="clear" w:color="auto" w:fill="FFFFFF"/>
        </w:rPr>
      </w:pPr>
      <w:r>
        <w:rPr>
          <w:rStyle w:val="4"/>
          <w:rFonts w:hint="eastAsia"/>
          <w:color w:val="000000"/>
          <w:shd w:val="clear" w:color="auto" w:fill="FFFFFF"/>
          <w:lang w:eastAsia="zh-CN"/>
        </w:rPr>
        <w:t>三、</w:t>
      </w:r>
      <w:bookmarkStart w:id="0" w:name="_GoBack"/>
      <w:bookmarkEnd w:id="0"/>
      <w:r>
        <w:rPr>
          <w:rStyle w:val="4"/>
          <w:rFonts w:hint="eastAsia"/>
          <w:color w:val="000000"/>
          <w:shd w:val="clear" w:color="auto" w:fill="FFFFFF"/>
        </w:rPr>
        <w:t>服务内容</w:t>
      </w:r>
    </w:p>
    <w:p>
      <w:pPr>
        <w:pStyle w:val="2"/>
        <w:spacing w:before="0" w:beforeAutospacing="0" w:after="0" w:afterAutospacing="0" w:line="360" w:lineRule="auto"/>
        <w:rPr>
          <w:rStyle w:val="4"/>
          <w:rFonts w:hint="eastAsia" w:ascii="宋体" w:hAnsi="宋体" w:eastAsia="宋体" w:cs="宋体"/>
          <w:color w:val="000000"/>
          <w:sz w:val="24"/>
          <w:szCs w:val="24"/>
          <w:shd w:val="clear" w:color="auto" w:fill="FFFFFF"/>
          <w:lang w:val="en-US" w:eastAsia="zh-CN"/>
        </w:rPr>
      </w:pPr>
      <w:r>
        <w:rPr>
          <w:rStyle w:val="4"/>
          <w:rFonts w:hint="eastAsia" w:cs="宋体"/>
          <w:color w:val="000000"/>
          <w:sz w:val="24"/>
          <w:szCs w:val="24"/>
          <w:shd w:val="clear" w:color="auto" w:fill="FFFFFF"/>
          <w:lang w:val="en-US" w:eastAsia="zh-CN"/>
        </w:rPr>
        <w:t>（一）</w:t>
      </w:r>
      <w:r>
        <w:rPr>
          <w:rStyle w:val="4"/>
          <w:rFonts w:hint="eastAsia" w:ascii="宋体" w:hAnsi="宋体" w:eastAsia="宋体" w:cs="宋体"/>
          <w:color w:val="000000"/>
          <w:sz w:val="24"/>
          <w:szCs w:val="24"/>
          <w:shd w:val="clear" w:color="auto" w:fill="FFFFFF"/>
          <w:lang w:val="en-US" w:eastAsia="zh-CN"/>
        </w:rPr>
        <w:t>存储相关设备维保服务（序号1-序号18）：</w:t>
      </w:r>
    </w:p>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对服务范围内的所有设备提供为期1年的续保服务，续保服务期自采购合同生效之日起计算。续保服务期内，中标人按合同条款提供免费服务，续保期间，设备非因人为与不可抗力原因造成的设备损坏由中标方负责包修、包换。</w:t>
      </w:r>
    </w:p>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续保服务期内，中标人应该提供7*24小时400电话支持服务，中标人在接到采购人电话报修后1个小时内派工程师到达现场排除故障，24小时内修复设备。否则中标人应提供同档次备用设备以保证采购人业务正常运行。</w:t>
      </w:r>
    </w:p>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3、要求提供充足的备件服务（4小时内配件现场供货服务），对设备的故障件均给予现场维修及换件服务，所提供的备件确保能迅速使参保设备恢复正常工作，保证业务可持续性。</w:t>
      </w:r>
    </w:p>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4、中标人应该对服务范围内的设备提供定期巡检服务，确认设备运行状态，检查系统错误记录，排除隐患故障。关键核心设备至少每周一次巡检，其它设备每月至少一次巡检。每次巡检完毕应向采购方出具系统检查报告。</w:t>
      </w:r>
    </w:p>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5、要求当维保设备发生较大变化时，如前端物理主机更改、后端存储设备更改、Virtual Volume的更改、Device的更改、Consistency Group的更改等，为其提供技术支持服务，同时提供与主机系统的集成与调试服务，提供多链路冗余环境支持服务。</w:t>
      </w:r>
    </w:p>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6、要求提供专业的移机服务，提供人员安排、移机步骤、风险隐患等，并提供实施服务。</w:t>
      </w:r>
    </w:p>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7、根据信息系统运行要求将设备的系统软件升级到最新版本，并保障设备的正常运行。</w:t>
      </w:r>
    </w:p>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8、要求根据管理员的需求提供现场技术交流与培训，同时要求对数据进行严格的保密工作。</w:t>
      </w:r>
    </w:p>
    <w:p>
      <w:pPr>
        <w:spacing w:line="360" w:lineRule="auto"/>
        <w:ind w:firstLine="480" w:firstLineChars="20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9、</w:t>
      </w: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其中“序号1-Vplex存储双活引擎”、”序号2-SYMMETRIX VMAX 10K核心存储”、“序号12-MS2500G2-12E存储”、“序号13-P2000存储</w:t>
      </w:r>
      <w:r>
        <w:rPr>
          <w:rFonts w:hint="eastAsia" w:ascii="宋体" w:hAnsi="宋体" w:cs="Times New Roman"/>
          <w:sz w:val="24"/>
          <w:szCs w:val="24"/>
          <w:lang w:val="en-US" w:eastAsia="zh-CN"/>
        </w:rPr>
        <w:t>”、</w:t>
      </w:r>
      <w:r>
        <w:rPr>
          <w:rFonts w:hint="eastAsia" w:ascii="宋体" w:hAnsi="宋体" w:eastAsia="宋体" w:cs="Times New Roman"/>
          <w:sz w:val="24"/>
          <w:szCs w:val="24"/>
          <w:lang w:val="en-US" w:eastAsia="zh-CN"/>
        </w:rPr>
        <w:t>“序号18-Recoverpoint连续数据保护系统”为院内存储关键核心设备，</w:t>
      </w:r>
      <w:r>
        <w:rPr>
          <w:rFonts w:hint="eastAsia" w:ascii="宋体" w:hAnsi="宋体" w:eastAsia="宋体" w:cs="Times New Roman"/>
          <w:sz w:val="24"/>
          <w:szCs w:val="24"/>
        </w:rPr>
        <w:t>中标人需承诺提供原厂续保</w:t>
      </w:r>
      <w:r>
        <w:rPr>
          <w:rFonts w:hint="eastAsia" w:ascii="宋体" w:hAnsi="宋体" w:eastAsia="宋体" w:cs="Times New Roman"/>
          <w:sz w:val="24"/>
          <w:szCs w:val="24"/>
          <w:lang w:eastAsia="zh-CN"/>
        </w:rPr>
        <w:t>，</w:t>
      </w:r>
      <w:r>
        <w:rPr>
          <w:rFonts w:hint="eastAsia" w:ascii="宋体" w:hAnsi="宋体" w:eastAsia="宋体" w:cs="Times New Roman"/>
          <w:sz w:val="24"/>
          <w:szCs w:val="24"/>
        </w:rPr>
        <w:t>提供原厂工程师每月上门巡检服务，工程师持证上门。</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lang w:val="en-US" w:eastAsia="zh-CN"/>
        </w:rPr>
        <w:t>10、</w:t>
      </w: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为保证</w:t>
      </w:r>
      <w:r>
        <w:rPr>
          <w:rFonts w:hint="eastAsia" w:ascii="宋体" w:hAnsi="宋体" w:eastAsia="宋体" w:cs="Times New Roman"/>
          <w:sz w:val="24"/>
          <w:szCs w:val="24"/>
          <w:lang w:eastAsia="zh-CN"/>
        </w:rPr>
        <w:t>服务商</w:t>
      </w:r>
      <w:r>
        <w:rPr>
          <w:rFonts w:hint="eastAsia" w:ascii="宋体" w:hAnsi="宋体" w:eastAsia="宋体" w:cs="Times New Roman"/>
          <w:sz w:val="24"/>
          <w:szCs w:val="24"/>
        </w:rPr>
        <w:t>需具备</w:t>
      </w:r>
      <w:r>
        <w:rPr>
          <w:rFonts w:hint="eastAsia" w:ascii="宋体" w:hAnsi="宋体" w:eastAsia="宋体" w:cs="Times New Roman"/>
          <w:sz w:val="24"/>
          <w:szCs w:val="24"/>
          <w:lang w:val="en-US" w:eastAsia="zh-CN"/>
        </w:rPr>
        <w:t>维保清单内设备的维护能力。提供</w:t>
      </w:r>
      <w:r>
        <w:rPr>
          <w:rFonts w:hint="eastAsia" w:ascii="宋体" w:hAnsi="宋体" w:eastAsia="宋体" w:cs="Times New Roman"/>
          <w:sz w:val="24"/>
          <w:szCs w:val="24"/>
        </w:rPr>
        <w:t>更换</w:t>
      </w:r>
      <w:r>
        <w:rPr>
          <w:rFonts w:hint="eastAsia" w:ascii="宋体" w:hAnsi="宋体" w:eastAsia="宋体" w:cs="Times New Roman"/>
          <w:sz w:val="24"/>
          <w:szCs w:val="24"/>
          <w:lang w:eastAsia="zh-CN"/>
        </w:rPr>
        <w:t>VPLEX存储双活引擎</w:t>
      </w:r>
      <w:r>
        <w:rPr>
          <w:rFonts w:hint="eastAsia" w:ascii="宋体" w:hAnsi="宋体" w:eastAsia="宋体" w:cs="Times New Roman"/>
          <w:sz w:val="24"/>
          <w:szCs w:val="24"/>
        </w:rPr>
        <w:t>设备更换证书操作步骤配置截图</w:t>
      </w:r>
      <w:r>
        <w:rPr>
          <w:rFonts w:hint="eastAsia" w:ascii="宋体" w:hAnsi="宋体" w:eastAsia="宋体" w:cs="Times New Roman"/>
          <w:sz w:val="24"/>
          <w:szCs w:val="24"/>
          <w:lang w:eastAsia="zh-CN"/>
        </w:rPr>
        <w:t>，体现证书更换前后时间</w:t>
      </w:r>
      <w:r>
        <w:rPr>
          <w:rFonts w:hint="eastAsia" w:ascii="宋体" w:hAnsi="宋体" w:eastAsia="宋体" w:cs="Times New Roman"/>
          <w:sz w:val="24"/>
          <w:szCs w:val="24"/>
        </w:rPr>
        <w:t>。</w:t>
      </w:r>
    </w:p>
    <w:p>
      <w:pPr>
        <w:pStyle w:val="2"/>
        <w:spacing w:before="0" w:beforeAutospacing="0" w:after="0" w:afterAutospacing="0" w:line="360" w:lineRule="auto"/>
        <w:ind w:firstLine="240" w:firstLineChars="100"/>
        <w:rPr>
          <w:rFonts w:hint="eastAsia" w:ascii="宋体" w:hAnsi="宋体" w:eastAsia="宋体" w:cs="宋体"/>
          <w:sz w:val="24"/>
          <w:szCs w:val="24"/>
        </w:rPr>
      </w:pPr>
    </w:p>
    <w:p>
      <w:pPr>
        <w:pStyle w:val="2"/>
        <w:spacing w:before="0" w:beforeAutospacing="0" w:after="0" w:afterAutospacing="0" w:line="360" w:lineRule="auto"/>
        <w:rPr>
          <w:rStyle w:val="4"/>
          <w:rFonts w:hint="eastAsia" w:ascii="宋体" w:hAnsi="宋体" w:eastAsia="宋体" w:cs="宋体"/>
          <w:color w:val="000000"/>
          <w:sz w:val="24"/>
          <w:szCs w:val="24"/>
          <w:shd w:val="clear" w:color="auto" w:fill="FFFFFF"/>
          <w:lang w:val="en-US" w:eastAsia="zh-CN"/>
        </w:rPr>
      </w:pPr>
      <w:r>
        <w:rPr>
          <w:rStyle w:val="4"/>
          <w:rFonts w:hint="eastAsia" w:cs="宋体"/>
          <w:color w:val="000000"/>
          <w:sz w:val="24"/>
          <w:szCs w:val="24"/>
          <w:shd w:val="clear" w:color="auto" w:fill="FFFFFF"/>
          <w:lang w:val="en-US" w:eastAsia="zh-CN"/>
        </w:rPr>
        <w:t>（二）</w:t>
      </w:r>
      <w:r>
        <w:rPr>
          <w:rStyle w:val="4"/>
          <w:rFonts w:hint="eastAsia" w:ascii="宋体" w:hAnsi="宋体" w:eastAsia="宋体" w:cs="宋体"/>
          <w:color w:val="000000"/>
          <w:sz w:val="24"/>
          <w:szCs w:val="24"/>
          <w:shd w:val="clear" w:color="auto" w:fill="FFFFFF"/>
          <w:lang w:val="en-US" w:eastAsia="zh-CN"/>
        </w:rPr>
        <w:t>核心业务保障及容灾演练服务（序号19）：</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对福建省立医院的核心系统提供业务保障及容灾演练服务</w:t>
      </w:r>
      <w:r>
        <w:rPr>
          <w:rFonts w:hint="eastAsia" w:ascii="宋体" w:hAnsi="宋体" w:eastAsia="宋体" w:cs="Times New Roman"/>
          <w:sz w:val="24"/>
          <w:szCs w:val="24"/>
        </w:rPr>
        <w:t>，包含至少一名工程师驻点服务（工作作息时间与采购人一致并与采购人维护人员共同考勤）。驻点工程师具有至少五年以上系统维护经验，应具备存储</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虚拟化等</w:t>
      </w:r>
      <w:r>
        <w:rPr>
          <w:rFonts w:hint="eastAsia" w:ascii="宋体" w:hAnsi="宋体" w:eastAsia="宋体" w:cs="Times New Roman"/>
          <w:sz w:val="24"/>
          <w:szCs w:val="24"/>
        </w:rPr>
        <w:t>认证工程师证书，服务商需在进场实施前向采购人提交驻点工程师身份证、资格证书</w:t>
      </w:r>
      <w:r>
        <w:rPr>
          <w:rFonts w:hint="eastAsia" w:ascii="宋体" w:hAnsi="宋体" w:eastAsia="宋体" w:cs="Times New Roman"/>
          <w:sz w:val="24"/>
          <w:szCs w:val="24"/>
          <w:lang w:val="en-US" w:eastAsia="zh-CN"/>
        </w:rPr>
        <w:t>等</w:t>
      </w:r>
      <w:r>
        <w:rPr>
          <w:rFonts w:hint="eastAsia" w:ascii="宋体" w:hAnsi="宋体" w:eastAsia="宋体" w:cs="Times New Roman"/>
          <w:sz w:val="24"/>
          <w:szCs w:val="24"/>
        </w:rPr>
        <w:t>备案办理工作牌。并承诺在服务期间未经采购人允许不得更换驻点工程师。主要服务内容如下：</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1.要求建立基于医院现状的核心业务系统服务体系，根据医院的系统现状提供整体服务规划，服务内容包括：核心业务预警服务、核心业务排障服务、核心业务系统容灾演练服务；</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要求保障核心业务系统的有效运行，快速有效的解决核心业务系统运行过程出现的相关问题（软、硬件问题），并为核心业务系统提供容灾演练，从而保证核心业务系统的连续、稳定、高效运行，并提供一年7*24*4小时的现场技术支持服务。</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3.建立核心业务预警系统，要求对核心业务系统（如HIS、LIS、备份系统、容灾系统、虚拟化平台等应用）的服务器硬件、操作系统软件、存储设备、数据备份系统等相关系统的工作状况进行状态监测及自动数据采集。核心业务预警系统可以及时发现监测数据的异常变化，判断系统的工作状况是否正常，对异常情况进行追踪，以便对各类问题采取针对性的措施控制和防止故障的发生，并按季度提供系统运行风险预警报告。</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4.核心业务预警系统服务内容要求包括：系统健康检查、定期巡检(每周一次)、问题分析处置、系统规划服务。要求工程师每周到客户现场进行系统巡检，对核心业务系统的硬件及软件进行预防性的检查维护。</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lang w:val="en-US" w:eastAsia="zh-CN"/>
        </w:rPr>
        <w:t>5</w:t>
      </w:r>
      <w:r>
        <w:rPr>
          <w:rFonts w:hint="eastAsia" w:ascii="宋体" w:hAnsi="宋体" w:eastAsia="宋体" w:cs="Times New Roman"/>
          <w:sz w:val="24"/>
          <w:szCs w:val="24"/>
        </w:rPr>
        <w:t>.核心业务排障服务是委派工程师针对收到的错误信息或故障报告进行处理，采取的方式包括但不仅限于电话指导、远程联机、现场服务，帮助用户尽快消除系统缺陷，避免缺陷对系统运行造成影响。同时要求在关键时间点（包括但不限于节假日、系统割接、系统升级等）提供有效的技术保障。</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lang w:val="en-US" w:eastAsia="zh-CN"/>
        </w:rPr>
        <w:t>6</w:t>
      </w:r>
      <w:r>
        <w:rPr>
          <w:rFonts w:hint="eastAsia" w:ascii="宋体" w:hAnsi="宋体" w:eastAsia="宋体" w:cs="Times New Roman"/>
          <w:sz w:val="24"/>
          <w:szCs w:val="24"/>
        </w:rPr>
        <w:t>.系统排障服务要求包括：系统排障（物理设备排障、系统故障排除、应用系统故障排除）、系统护航（护航计划、前期准备阶段、护航实施阶段）。</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lang w:val="en-US" w:eastAsia="zh-CN"/>
        </w:rPr>
        <w:t>7</w:t>
      </w:r>
      <w:r>
        <w:rPr>
          <w:rFonts w:hint="eastAsia" w:ascii="宋体" w:hAnsi="宋体" w:eastAsia="宋体" w:cs="Times New Roman"/>
          <w:sz w:val="24"/>
          <w:szCs w:val="24"/>
        </w:rPr>
        <w:t>.系统排障服务要求交付文档：故障处理报告单、技术支持记录单、硬件升级/更新记录单、年度系统故障分析报告、系统护航计划。</w:t>
      </w:r>
    </w:p>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8</w:t>
      </w:r>
      <w:r>
        <w:rPr>
          <w:rFonts w:hint="eastAsia" w:ascii="宋体" w:hAnsi="宋体" w:eastAsia="宋体" w:cs="Times New Roman"/>
          <w:sz w:val="24"/>
          <w:szCs w:val="24"/>
        </w:rPr>
        <w:t>.针对核心业务系统（HIS系统双机双柜容灾系统，VM虚拟机存储虚拟化容灾系统，HIS数据库容灾系统，备份系统，连续数据保护系统、虚拟化平台）建立相应的容灾演练机制，包括灾难恢复的计划与流程的制定、容灾系统巡检、容灾系统维护等，并要求对以上容灾系统，每年至少提供一次现场的容灾演练。</w:t>
      </w:r>
      <w:r>
        <w:rPr>
          <w:rFonts w:hint="eastAsia" w:ascii="宋体" w:hAnsi="宋体" w:eastAsia="宋体" w:cs="Times New Roman"/>
          <w:sz w:val="24"/>
          <w:szCs w:val="24"/>
          <w:lang w:val="en-US" w:eastAsia="zh-CN"/>
        </w:rPr>
        <w:t>要求投标人需具备利用医院现有容灾系统进行业务恢复的能力，提供本院现有Recoverpoint连续数据保护系统恢复核心业务的操作步骤截图；提供本月现有RP for VM虚拟化连续数据保护系统恢复虚拟机业务的操作步骤截图。</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lang w:val="en-US" w:eastAsia="zh-CN"/>
        </w:rPr>
        <w:t>9</w:t>
      </w:r>
      <w:r>
        <w:rPr>
          <w:rFonts w:hint="eastAsia" w:ascii="宋体" w:hAnsi="宋体" w:eastAsia="宋体" w:cs="Times New Roman"/>
          <w:sz w:val="24"/>
          <w:szCs w:val="24"/>
        </w:rPr>
        <w:t>.根据信息系统运行要求将容灾系统（HIS系统双机双柜容灾系统，VM虚拟机存储虚拟化容灾系统，HIS数据库容灾系统，备份系统，连续数据保护系统）升级到最新版本，优化并调整现有的容灾系统策略，升级过程中保障系统正常运行。</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w:t>
      </w:r>
      <w:r>
        <w:rPr>
          <w:rFonts w:hint="eastAsia" w:ascii="宋体" w:hAnsi="宋体" w:eastAsia="宋体" w:cs="Times New Roman"/>
          <w:sz w:val="24"/>
          <w:szCs w:val="24"/>
          <w:lang w:val="en-US" w:eastAsia="zh-CN"/>
        </w:rPr>
        <w:t>0</w:t>
      </w:r>
      <w:r>
        <w:rPr>
          <w:rFonts w:hint="eastAsia" w:ascii="宋体" w:hAnsi="宋体" w:eastAsia="宋体" w:cs="Times New Roman"/>
          <w:sz w:val="24"/>
          <w:szCs w:val="24"/>
        </w:rPr>
        <w:t>.核心业务系统容灾演练系统要求交付文档：容灾系统需求分析报告、灾难恢复计划、灾难恢复流程、容灾计划变更及维护记录、容灾演练报告、容灾系统恢复实施报告。</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w:t>
      </w:r>
      <w:r>
        <w:rPr>
          <w:rFonts w:hint="eastAsia" w:ascii="宋体" w:hAnsi="宋体" w:eastAsia="宋体" w:cs="Times New Roman"/>
          <w:sz w:val="24"/>
          <w:szCs w:val="24"/>
          <w:lang w:val="en-US" w:eastAsia="zh-CN"/>
        </w:rPr>
        <w:t>1</w:t>
      </w:r>
      <w:r>
        <w:rPr>
          <w:rFonts w:hint="eastAsia" w:ascii="宋体" w:hAnsi="宋体" w:eastAsia="宋体" w:cs="Times New Roman"/>
          <w:sz w:val="24"/>
          <w:szCs w:val="24"/>
        </w:rPr>
        <w:t>.要求必须服从用户对网络与信息安全的各项管理规定和要求，按照有关规定签署《信息安全协议》。对因工作疏失出现的网络与信息安全责任事故，必须承担相应责任，接受惩处。</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paragraph" w:styleId="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4">
    <w:name w:val="Strong"/>
    <w:basedOn w:val="3"/>
    <w:qFormat/>
    <w:uiPriority w:val="22"/>
    <w:rPr>
      <w:b/>
      <w:bCs/>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ScaleCrop>false</ScaleCrop>
  <LinksUpToDate>false</LinksUpToDate>
  <CharactersWithSpaces>0</CharactersWithSpaces>
  <Application>WPS Office 个人版_9.1.0.4619_{F1E327BC-269C-435d-A152-05C5408002CA}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2024-08-28T01:07:00Z</dcterms:created>
  <dc:creator>琴</dc:creator>
  <cp:lastModifiedBy>Administrator</cp:lastModifiedBy>
  <dcterms:modified xsi:type="dcterms:W3CDTF">2024-08-28T01:43:47Z</dcterms:modified>
  <dc:title>服务要求：</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2052-9.1.0.4619</vt:lpwstr>
  </property>
  <property fmtid="{D5CDD505-2E9C-101B-9397-08002B2CF9AE}" pid="3" name="ICV">
    <vt:lpwstr>8E061494E4EB48AE8DB1F103C5CC3AC1_11</vt:lpwstr>
  </property>
</Properties>
</file>