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outlineLvl w:val="1"/>
        <w:rPr>
          <w:rFonts w:hint="eastAsia" w:eastAsia="宋体"/>
          <w:lang w:eastAsia="zh-CN"/>
        </w:rPr>
      </w:pPr>
      <w:r>
        <w:rPr>
          <w:b/>
          <w:sz w:val="36"/>
        </w:rPr>
        <w:t>第五章 招标内容及要求</w:t>
      </w:r>
      <w:r>
        <w:rPr>
          <w:rFonts w:hint="eastAsia"/>
          <w:b/>
          <w:sz w:val="36"/>
          <w:lang w:eastAsia="zh-CN"/>
        </w:rPr>
        <w:t>（</w:t>
      </w:r>
      <w:r>
        <w:rPr>
          <w:rFonts w:hint="eastAsia"/>
          <w:b/>
          <w:sz w:val="36"/>
          <w:lang w:val="en-US" w:eastAsia="zh-CN"/>
        </w:rPr>
        <w:t>140万</w:t>
      </w:r>
      <w:r>
        <w:rPr>
          <w:rFonts w:hint="eastAsia"/>
          <w:b/>
          <w:sz w:val="36"/>
          <w:lang w:eastAsia="zh-CN"/>
        </w:rPr>
        <w:t>）</w:t>
      </w:r>
    </w:p>
    <w:p>
      <w:pPr>
        <w:pStyle w:val="3"/>
        <w:jc w:val="both"/>
        <w:outlineLvl w:val="2"/>
        <w:rPr>
          <w:rFonts w:hint="default"/>
        </w:rPr>
      </w:pPr>
      <w:r>
        <w:rPr>
          <w:b/>
          <w:sz w:val="28"/>
        </w:rPr>
        <w:t>一、项目概况（采购标的）</w:t>
      </w:r>
    </w:p>
    <w:p>
      <w:pPr>
        <w:pStyle w:val="3"/>
        <w:ind w:firstLine="480"/>
        <w:jc w:val="both"/>
        <w:rPr>
          <w:rFonts w:hint="default"/>
        </w:rPr>
      </w:pPr>
      <w:r>
        <w:rPr>
          <w:rFonts w:ascii="宋体" w:hAnsi="宋体" w:eastAsia="宋体" w:cs="宋体"/>
          <w:shd w:val="clear" w:color="auto" w:fill="FFFFFF"/>
        </w:rPr>
        <w:t>1、本项目为福建省立医院打印机耗材采购项目。</w:t>
      </w:r>
      <w:r>
        <w:rPr>
          <w:rFonts w:ascii="宋体" w:hAnsi="宋体" w:eastAsia="宋体" w:cs="宋体"/>
        </w:rPr>
        <w:t>投标人按采购包投标，对同一个采购包内所有品目号内容投标时必须完整。不得仅对一个采购包中的部分货物或服务进行投标，否则其投标将被拒绝。评标与授标以采购包为单位。中标投标人不得转包他人，若发现转包，用户有权终止协议。</w:t>
      </w:r>
    </w:p>
    <w:p>
      <w:pPr>
        <w:pStyle w:val="3"/>
        <w:ind w:firstLine="400"/>
        <w:jc w:val="both"/>
        <w:rPr>
          <w:rFonts w:hint="default"/>
        </w:rPr>
      </w:pPr>
      <w:r>
        <w:rPr>
          <w:rFonts w:ascii="宋体" w:hAnsi="宋体" w:eastAsia="宋体" w:cs="宋体"/>
        </w:rPr>
        <w:t>2、投标人应充分考虑以上的情况后进行报价，投标人的报价应包括产品、服务所涉及的有关项目费用进行报价，包括：提供的服务、劳务、运输、管理、安装、调试、保险、检测、保修、人员等，以及所有根据合同或其它原因应由投标人支付的税金和其它应缴的费用，以及可合理推断的责任和义务。</w:t>
      </w:r>
    </w:p>
    <w:p>
      <w:pPr>
        <w:pStyle w:val="3"/>
        <w:ind w:firstLine="400"/>
        <w:jc w:val="both"/>
        <w:rPr>
          <w:rFonts w:hint="default"/>
        </w:rPr>
      </w:pPr>
      <w:r>
        <w:rPr>
          <w:rFonts w:ascii="宋体" w:hAnsi="宋体" w:eastAsia="宋体" w:cs="宋体"/>
        </w:rPr>
        <w:t>3、</w:t>
      </w:r>
      <w:r>
        <w:rPr>
          <w:rFonts w:ascii="宋体" w:hAnsi="宋体" w:eastAsia="宋体" w:cs="宋体"/>
          <w:b/>
          <w:shd w:val="clear" w:color="auto" w:fill="FFFFFF"/>
        </w:rPr>
        <w:t>核心产品为序号2硒鼓（以“◆”标示）</w:t>
      </w:r>
      <w:r>
        <w:rPr>
          <w:rFonts w:ascii="宋体" w:hAnsi="宋体" w:eastAsia="宋体" w:cs="宋体"/>
          <w:shd w:val="clear" w:color="auto" w:fill="FFFFFF"/>
        </w:rPr>
        <w:t>，</w:t>
      </w:r>
      <w:r>
        <w:rPr>
          <w:rFonts w:ascii="宋体" w:hAnsi="宋体" w:eastAsia="宋体" w:cs="宋体"/>
        </w:rPr>
        <w:t>适用于HP403打印机，代用品</w:t>
      </w:r>
      <w:r>
        <w:rPr>
          <w:rFonts w:ascii="宋体" w:hAnsi="宋体" w:eastAsia="宋体" w:cs="宋体"/>
          <w:shd w:val="clear" w:color="auto" w:fill="FFFFFF"/>
        </w:rPr>
        <w:t>。</w:t>
      </w:r>
      <w:r>
        <w:rPr>
          <w:rFonts w:ascii="宋体" w:hAnsi="宋体" w:eastAsia="宋体" w:cs="宋体"/>
          <w:b/>
          <w:shd w:val="clear" w:color="auto" w:fill="FFFFFF"/>
        </w:rPr>
        <w:t>投标人须对耗材明细表中的所有耗材应填写货物制造厂商赋予的品牌及具体型号。</w:t>
      </w:r>
    </w:p>
    <w:p>
      <w:pPr>
        <w:pStyle w:val="3"/>
        <w:ind w:firstLine="400"/>
        <w:jc w:val="both"/>
        <w:rPr>
          <w:rFonts w:hint="default"/>
        </w:rPr>
      </w:pPr>
      <w:r>
        <w:rPr>
          <w:rFonts w:ascii="宋体" w:hAnsi="宋体" w:eastAsia="宋体" w:cs="宋体"/>
          <w:sz w:val="21"/>
          <w:shd w:val="clear" w:color="auto" w:fill="FFFFFF"/>
        </w:rPr>
        <w:t>4、报价要求：《耗材预算明细表》中的预算单价限价为采购人耗材预算单价限价，各投标人投标单价及投标总价均不得超过预算单价限价及预算总价（项目最高限价），</w:t>
      </w:r>
      <w:r>
        <w:rPr>
          <w:rFonts w:ascii="宋体" w:hAnsi="宋体" w:eastAsia="宋体" w:cs="宋体"/>
          <w:b/>
          <w:sz w:val="21"/>
          <w:shd w:val="clear" w:color="auto" w:fill="FFFFFF"/>
        </w:rPr>
        <w:t>否则视为无效报价</w:t>
      </w:r>
      <w:r>
        <w:rPr>
          <w:rFonts w:ascii="宋体" w:hAnsi="宋体" w:eastAsia="宋体" w:cs="宋体"/>
          <w:sz w:val="21"/>
          <w:shd w:val="clear" w:color="auto" w:fill="FFFFFF"/>
        </w:rPr>
        <w:t>。</w:t>
      </w:r>
      <w:r>
        <w:rPr>
          <w:rFonts w:ascii="宋体" w:hAnsi="宋体" w:eastAsia="宋体" w:cs="宋体"/>
          <w:b/>
          <w:sz w:val="21"/>
          <w:shd w:val="clear" w:color="auto" w:fill="FFFFFF"/>
        </w:rPr>
        <w:t>投标报价=项目预算金额×投标折扣。</w:t>
      </w:r>
      <w:r>
        <w:rPr>
          <w:rFonts w:ascii="宋体" w:hAnsi="宋体" w:eastAsia="宋体" w:cs="宋体"/>
          <w:sz w:val="21"/>
          <w:shd w:val="clear" w:color="auto" w:fill="FFFFFF"/>
        </w:rPr>
        <w:t>所有耗材结算单价以《耗材预算明细表》中的预算单价限价乘以投标人报价折扣计算，即</w:t>
      </w:r>
      <w:r>
        <w:rPr>
          <w:rFonts w:ascii="宋体" w:hAnsi="宋体" w:eastAsia="宋体" w:cs="宋体"/>
          <w:b/>
          <w:sz w:val="21"/>
          <w:shd w:val="clear" w:color="auto" w:fill="FFFFFF"/>
        </w:rPr>
        <w:t>结算单价=预算单价限价×投标折扣</w:t>
      </w:r>
      <w:r>
        <w:rPr>
          <w:rFonts w:ascii="宋体" w:hAnsi="宋体" w:eastAsia="宋体" w:cs="宋体"/>
          <w:sz w:val="21"/>
          <w:shd w:val="clear" w:color="auto" w:fill="FFFFFF"/>
        </w:rPr>
        <w:t>。例：若投标统一折扣为90%，以序号1硒鼓（</w:t>
      </w:r>
      <w:r>
        <w:rPr>
          <w:rFonts w:ascii="宋体" w:hAnsi="宋体" w:eastAsia="宋体" w:cs="宋体"/>
          <w:sz w:val="21"/>
        </w:rPr>
        <w:t>适用于HP403打印机，非代用品</w:t>
      </w:r>
      <w:r>
        <w:rPr>
          <w:rFonts w:ascii="宋体" w:hAnsi="宋体" w:eastAsia="宋体" w:cs="宋体"/>
          <w:sz w:val="21"/>
          <w:shd w:val="clear" w:color="auto" w:fill="FFFFFF"/>
        </w:rPr>
        <w:t>）为例，它的结算单价为：912×90%=820.8元，其余耗材也是按照折扣后的价格作为结算单价。则投标报价为：1000000×90%=900000元。</w:t>
      </w:r>
      <w:r>
        <w:rPr>
          <w:rFonts w:ascii="宋体" w:hAnsi="宋体" w:eastAsia="宋体" w:cs="宋体"/>
          <w:b/>
          <w:sz w:val="21"/>
        </w:rPr>
        <w:t>投标人未按照以上要求报价，按无效投标处理。</w:t>
      </w:r>
    </w:p>
    <w:p>
      <w:pPr>
        <w:pStyle w:val="3"/>
        <w:ind w:firstLine="480"/>
        <w:jc w:val="both"/>
        <w:rPr>
          <w:rFonts w:ascii="宋体" w:hAnsi="宋体" w:eastAsia="宋体" w:cs="宋体"/>
          <w:b/>
        </w:rPr>
      </w:pPr>
      <w:r>
        <w:rPr>
          <w:rFonts w:ascii="宋体" w:hAnsi="宋体" w:eastAsia="宋体" w:cs="宋体"/>
          <w:b/>
        </w:rPr>
        <w:t>附：耗材预算明细表</w:t>
      </w:r>
    </w:p>
    <w:p>
      <w:pPr>
        <w:pStyle w:val="3"/>
        <w:jc w:val="both"/>
        <w:rPr>
          <w:rFonts w:ascii="宋体" w:hAnsi="宋体" w:eastAsia="宋体" w:cs="宋体"/>
          <w:b/>
        </w:rPr>
      </w:pPr>
    </w:p>
    <w:tbl>
      <w:tblPr>
        <w:tblW w:w="85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8"/>
        <w:gridCol w:w="1048"/>
        <w:gridCol w:w="3739"/>
        <w:gridCol w:w="1888"/>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序号</w:t>
            </w:r>
          </w:p>
        </w:tc>
        <w:tc>
          <w:tcPr>
            <w:tcW w:w="1048" w:type="dxa"/>
            <w:tcBorders>
              <w:top w:val="single" w:color="000000" w:sz="12" w:space="0"/>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耗材名称</w:t>
            </w:r>
          </w:p>
        </w:tc>
        <w:tc>
          <w:tcPr>
            <w:tcW w:w="3739" w:type="dxa"/>
            <w:tcBorders>
              <w:top w:val="single" w:color="000000" w:sz="12" w:space="0"/>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技术参数</w:t>
            </w:r>
          </w:p>
        </w:tc>
        <w:tc>
          <w:tcPr>
            <w:tcW w:w="1888" w:type="dxa"/>
            <w:tcBorders>
              <w:top w:val="single" w:color="000000" w:sz="12" w:space="0"/>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规格</w:t>
            </w:r>
          </w:p>
        </w:tc>
        <w:tc>
          <w:tcPr>
            <w:tcW w:w="1126" w:type="dxa"/>
            <w:tcBorders>
              <w:top w:val="single" w:color="000000" w:sz="12" w:space="0"/>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适用于HP403打印机，非代用品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适用于HP403打印机，代用品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碳粉</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适用于HP403打印机，代用品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净含量≥100g</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适用于HP403打印机，代用品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打印页数≥9200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适用于施乐3208d打印机，非代用品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色带框</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适用于得实1700打印机，非代用品</w:t>
            </w:r>
          </w:p>
        </w:tc>
        <w:tc>
          <w:tcPr>
            <w:tcW w:w="1888" w:type="dxa"/>
            <w:tcBorders>
              <w:top w:val="nil"/>
              <w:left w:val="nil"/>
              <w:bottom w:val="single" w:color="000000" w:sz="12" w:space="0"/>
              <w:right w:val="single" w:color="000000" w:sz="12" w:space="0"/>
            </w:tcBorders>
            <w:vAlign w:val="center"/>
          </w:tcPr>
          <w:p>
            <w:pPr>
              <w:jc w:val="center"/>
              <w:rPr>
                <w:rFonts w:hint="eastAsia"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色带芯</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适用于得实1700打印机，非代用品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色带框</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适用于得实200打印机，非代用品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色带芯</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适用于得实200打印机，非代用品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色带框</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适用于得实2130打印机，非代用品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适用于HP1007打印机，非代用品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适用于HP1007打印机，代用品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碳粉</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适用于HP1007打印机，代用品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净含量≥80g</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适用于HP1020打印机，非代用品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适用于HP1020打印机，代用品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碳粉</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适用于HP1020打印机，代用品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净含量≥100g</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适用于HP405打印机，非代用品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打印页数≥3100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适用于HP405打印机，代用品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打印页数≥3100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适用于HP405打印机，代用品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碳粉</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适用于HP405打印机，代用品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净含量≥100g</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适用于HP2055打印机，非代用品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适用于HP2055打印机，代用品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适用于HP2055打印机，代用品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打印页数≥6900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色带架</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适用于oki5560打印机，代用品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色带芯</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适用于oki5560打印机，代用品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碳粉</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适用于HP2055打印机，非代用品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净含量≥100g</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适用于hp400（401）打印机，代用品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打印页数≥6900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碳粉</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净含量≥100g</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适用于HP552打印机，代用品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打印页数≥5000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适用于HP552打印机，代用品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打印页数≥5000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适用于HP552打印机，代用品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打印页数≥5000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适用于HP552打印机，代用品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适用于利盟312打印机，非代用品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适用于利盟312打印机，非代用品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适用于HP1515打印机，代用品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打印页数≥1400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适用于HP1515打印机，代用品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打印页数≥1400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适用于HP1515打印机，代用品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打印页数≥1400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适用于HP1515打印机，代用品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打印页数≥1800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适用于HP3838打印机，非代用品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打印页数≥480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彩色墨盒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适用于HP3838打印机，非代用品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打印页数≥680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适用于HP3838打印机，代用品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彩色墨盒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适用于HP3838打印机，代用品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打印页数≥750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适于于HP1120打印机，代用品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适用于HP1606打印机，代用品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适用于HP4518打印机，非代用品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打印页数≥480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彩色墨盒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适用于HP4518打印机，非代用品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适用于HP4518打印机，代用品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彩色墨盒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适用于HP4518打印机，代用品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打印页数≥450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适用于HP1320打印机，代用品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适用于HP652打印机，非代用品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适用于HP652打印机，非代用品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适用于HP652打印机，非代用品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适用于HP652打印机，非代用品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适用于HP652打印机，代用品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适用于HP652打印机，代用品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适用于HP652打印机，代用品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适用于HP652打印机，代用品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适用于HP104打印机，代用品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适用于HP8216打印机，非代用品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适用于HP8216打印机，非代用品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打印页数≥1600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适用于HP8216打印机，非代用品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打印页数≥1600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适用于HP8216打印机，非代用品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打印页数≥1600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适用于HP8216打印机，代用品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适用于HP8216打印机，代用品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适用于HP8216打印机，代用品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适用于HP8216打印机，代用品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适用于HP1025打印机，代用品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适用于HP1025打印机，代用品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适用于HP1025打印机，代用品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适用于HP1025打印机，代用品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适用于佳能2780打印机，非代用品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彩色墨盒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适用于佳能2780打印机，非代用品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打印页数≥340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适用于佳能2780打印机，代用品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彩色墨盒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适用于佳能2780打印机，代用品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打印页数≥450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适用于佳能3018打印机，代用品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适用于佳能538打印机，非代用品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打印页数≥180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彩色墨盒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适用于佳能538打印机，非代用品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打印页数≥180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适用于佳能538打印机，代用品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彩色墨盒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适用于佳能538打印机，代用品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适用于爱普生380打印机，非代用品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适用于爱普生380打印机，非代用品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适用于爱普生380打印机，非代用品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适用于爱普生380打印机，非代用品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适用于爱普生105打印机，非代用品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适用于爱普生105打印机，代用品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适用于联想7400打印机，代用品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鼓架</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适用于联想7400打印机，代用品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一体式硒鼓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适用于兄弟2320打印机，代用品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适用于兄弟2320打印机，代用品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鼓架</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适用于兄弟2320打印机，代用品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 m227打印机，非代用品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 m227打印机，代用品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 m227打印机，非代用品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 m227打印机，代用品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适用于利盟Ms321打印机，非代用品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适用于利盟ms321打印机，非代用品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适用于利盟Ms321打印机，非代用品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适用于惠普m477打印机，非代用品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适用于爱普生r330打印机，代用品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打印页数≥480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适用于OKIB412DN打印机，非代用品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适用于OKIB412DN打印机，非代用品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适用于惠普m254打印机，代用品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适用于惠普m254打印机，代用品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适用于惠普m254打印机，代用品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适用于惠普m254打印机，代用品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适用于W11008d打印机，代用品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碳粉</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适用于兄弟打印机，代用品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净含量≥100g</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碳粉</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适用于三星打印机，非代用品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净含量≥100g</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碳粉</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净含量≥100g</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适用于color53334打印机，非代用品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适用于联想3900打印机，代用品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鼓架</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适用于联想3900打印机，代用品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适用于爱普生L801打印机，非代用品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打印页数≥4700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适用于爱普生L801打印机，非代用品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打印页数≥4700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适用于爱普生L801打印机，非代用品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打印页数≥4700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适用于爱普生L801打印机，非代用品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打印页数≥4700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浅红色墨水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适用于爱普生L801打印机，非代用品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打印页数≥4700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浅青色墨水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适用于爱普生L801打印机，非代用品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打印页数≥4700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适用于惠普cp5525打印机，代用品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适用于惠普cp5525打印机，代用品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适用于惠普cp5525打印机，代用品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适用于惠普cp5525打印机，代用品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适用于HP2029打印机，非代用品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彩色墨盒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适用于HP2029打印机，非代用品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打印页数≥750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适用于M501dn打印机，代用品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打印页数≥9000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适用于三星2020打印机，代用品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打印页数≥1800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适用于利盟ms312打印机，代用品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碳粉</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适用于联机打印机，代用品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净含量≥100g</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适用于兄弟8530DN打印机，代用品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用于兄弟8530DN打印机，代用品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适用于爱普生r330打印机，非代用品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打印页数≥540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适用于爱普生r330打印机，非代用品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打印页数≥860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适用于爱普生r330打印机，非代用品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打印页数≥860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适用于爱普生r330打印机，非代用品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打印页数≥860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浅青色墨盒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适用于爱普生r330打印机，非代用品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打印页数≥860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浅红色墨盒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适用于爱普生r330打印机，非代用品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打印页数≥860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适用于惠普p2014打印机，代用品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适用于HP300打印机，代用品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适用于HP300打印机，代用品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适用于HP300打印机，代用品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适用于HP300打印机，代用品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适用于M251打印机，代用品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打印页数≥2400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适用于M251打印机，代用品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打印页数≥1800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适用于M251打印机，代用品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打印页数≥1800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适用于M251打印机，代用品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打印页数≥1800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适用于M251打印机，非代用品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打印页数≥1520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适用于M251打印机，非代用品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打印页数≥1800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适用于M251打印机，非代用品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打印页数≥1800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适用于M251打印机，非代用品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打印页数≥1800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适用于佳能MF8080CW打印机，非代用品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适用于佳能MF8080CW打印机，非代用品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适用于佳能MF8080CW打印机，非代用品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适用于佳能MF8080CW打印机，非代用品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适用于爱普生m160打印机，非代用品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色带架</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适用于爱普生m160打印机，代用品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适用于京瓷P4040DN打印机，非代用品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适用于京瓷P2035D打印机，代用品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适用于HP5200打印机，代用品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适用于HP5200打印机，非代用品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色带框</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适用于亿安YA400KA+打印机，非代用品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色带架</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适用于epson615k2打印机，代用品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适用于惠普m154打印机，代用品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适用于惠普m154打印机，代用品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适用于惠普m154打印机，代用品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适用于惠普m154打印机，代用品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适用于惠普m30a打印机，代用品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适用于惠普136a打印机，代用品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色带框</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适用于lq-1600k3h打印机，代用品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色带芯</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适用于京瓷P2035D打印机，非代用品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适用于惠普8100打印机，非代用品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适用于惠普8100打印机，非代用品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适用于惠普8100打印机，非代用品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适用于惠普8100打印机，非代用品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适用于惠普8100打印机，代用品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适用于惠普8100打印机，代用品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适用于惠普8100打印机，代用品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适用于惠普8100打印机，代用品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适用于OKI412DN打印机，代用品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适用于OKI412DN打印机，代用品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碳带（小芯）</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固资碳带（小芯）</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碳带（小芯）</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110*60基碳带（小芯）</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适用于hpm701打印机，代用品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打印页数≥14000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适用于佳能e608打印机，非代用品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打印页数≥450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彩色墨盒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适用于佳能e608打印机，非代用品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打印页数≥800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适用于惠普6810打印机，非代用品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适用于惠普6810打印机，非代用品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打印页数≥825</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适用于惠普6810打印机，非代用品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打印页数≥825</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适用于惠普6810打印机，非代用品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打印页数≥825</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适用于京瓷p4040dn打印机，代用品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适用于佳能631打印机，代用品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打印页数≥2800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适用于佳能631打印机，代用品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适用于佳能631打印机，代用品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适用于佳能631打印机，代用品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适用于爱普生L1119打印机，非代用品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适用于爱普生L1119打印机，非代用品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适用于爱普生L1119打印机，非代用品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适用于爱普生L1119打印机，非代用品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适用于兄弟5240打印机，代用品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鼓架</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适用于兄弟5240打印机，代用品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适用于利盟ms312打印机，代用品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碳带</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60*60碳带321c</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色带架</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适用物合福850打印机，非代用品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色带框</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适用于亿安YA760KA打印机，非代用品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适用于佳能663打印机，代用品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打印页数≥2100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蓝色硒鼓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适用于佳能663打印机，代用品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打印页数≥2100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适用于爱普生m1030打印机，代用品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打印页数≥2400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适用于奔图cp2200dw打印机，非代用品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适用于奔图cp2200dw打印机，非代用品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适用于奔图cp2200dw打印机，非代用品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适用于奔图cp2200dw打印机，非代用品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适用于佳能288打印机，代用品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适用于佳能288打印机，代用品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适用于佳能288打印机，代用品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适用于佳能288打印机，代用品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适用于佳能g2800打印机，非代用品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适用于佳能g2800打印机，非代用品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适用于佳能g2800打印机，非代用品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适用于佳能g2800打印机，非代用品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适用于柯美185打印机，非代用品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适用于佳能mg3080打印机，非代用品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彩色墨盒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适用于佳能mg3080打印机，非代用品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适用于HP555DN打印机，非代用品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打印页数≥5500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适用于HP555DN打印机，非代用品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适用于HP555DN打印机，非代用品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适用于HP555DN打印机，非代用品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适用于京瓷p5018cn打印机，代用品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适用于京瓷p5018cn打印机，代用品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适用于京瓷p5018cn打印机，代用品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适用于京瓷p5018cn打印机，代用品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适用于hp454打印机，代用品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适用于hp454打印机，代用品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适用于hp454打印机，代用品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适用于hp454打印机，代用品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成像鼓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适用于HP1020n打印机，代用品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 m437n打印机，代用品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适用于柯美2282mf打印机，非代用品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感光鼓组件</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京瓷p4040dn打印机，非代用品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打印页数≥500000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适用于施乐3208d打印机，非代用品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适用于hp3015打印机，代用品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打印页数≥5000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适用于HP555DN打印机，代用品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打印页数≥5500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适用于HP555DN打印机，代用品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适用于HP555DN打印机，代用品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适用于HP555DN打印机，代用品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适用于柯美2282打印机，代用品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打印页数≥1600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碳粉</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适用于柯美2282打印机，代用品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净含量≥100g</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适用于联想1680打印机，代用品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适用于施乐m115b打印机，非代用品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适用于惠普712dn打印机，代用品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打印页数≥8000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适用于兄弟1818打印机，代用品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鼓架</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适用于兄弟1818打印机，代用品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打印页数≥11000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适用于理光SP111c打印机，代用品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适用于夏普MX560打印机，代用品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成像鼓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适用于惠普cp1025打印机，代用品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打印页数≥14000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适用于惠普3004打印机，非代用品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打印页数≥3800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适用于惠普3004打印机，代用品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色带架</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适用于得实3200打印机，非代用品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色带芯</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适用于得实3200打印机，非代用品</w:t>
            </w:r>
          </w:p>
        </w:tc>
        <w:tc>
          <w:tcPr>
            <w:tcW w:w="1888" w:type="dxa"/>
            <w:tcBorders>
              <w:top w:val="nil"/>
              <w:left w:val="nil"/>
              <w:bottom w:val="single" w:color="000000" w:sz="12" w:space="0"/>
              <w:right w:val="single" w:color="000000" w:sz="12" w:space="0"/>
            </w:tcBorders>
            <w:vAlign w:val="center"/>
          </w:tcPr>
          <w:p>
            <w:pPr>
              <w:jc w:val="center"/>
              <w:rPr>
                <w:rFonts w:hint="default" w:ascii="Calibri" w:hAnsi="Calibri" w:eastAsia="宋体" w:cs="Calibri"/>
                <w:i w:val="0"/>
                <w:iCs w:val="0"/>
                <w:color w:val="000000"/>
                <w:sz w:val="20"/>
                <w:szCs w:val="20"/>
                <w:u w:val="none"/>
              </w:rPr>
            </w:pP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适用于惠普2720打印机，非代用品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打印页数≥240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适用于惠普2720打印机，非代用品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适用于佳能ip7280打印机，非代用品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适用于佳能ip7280打印机，非代用品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打印页数≥310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适用于佳能ip7280打印机，非代用品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打印页数≥310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适用于佳能ip7280打印机，非代用品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打印页数≥310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照片黑色墨盒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适用于佳能ip7280打印机，非代用品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打印页数≥1645</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适用于佳能ip7280打印机，代用品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适用于佳能ip7280打印机，代用品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适用于佳能ip7280打印机，代用品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适用于佳能ip7280打印机，代用品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照片黑色墨盒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适用于佳能ip7280打印机，代用品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打印页数≥450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适用于惠普133pn打印机，非代用品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适用于惠普133pn打印机，代用品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碳粉</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适用于惠普10031110打印机，代用品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净含量≥80g</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适用于爱普生L8058打印机，非代用品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适用于爱普生L8058打印机，非代用品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适用于爱普生L8058打印机，非代用品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适用于爱普生L8058打印机，非代用品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浅红色墨水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适用于爱普生L8058打印机，非代用品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浅青色墨水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适用于爱普生L8058打印机，非代用品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打印页数≥7200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适用于惠普179fnw打印机，非代用品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适用于惠普179fnw打印机，非代用品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适用于惠普179fnw打印机，非代用品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适用于惠普179fnw打印机，非代用品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成像鼓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适用于惠普179fnw打印机，非代用品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适用惠普179fnw打印机，代用品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适用惠普179fnw打印机，代用品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适用惠普179fnw打印机，代用品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适用惠普179fnw打印机，代用品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成像鼓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适用于惠普179fnw打印机，代用品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适用于佳能663打印机，代用品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适用于佳能663打印机，代用品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打印页数≥2100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适用于京瓷m2135dn打印机，非代用品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成像鼓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适用于京瓷m2135dn打印机，非代用品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显影仓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适用于京瓷m2135dn打印机，非代用品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适用于兄弟2140打印机，非代用品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打印页数≥2600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适用于惠普m233硒鼓，非代用品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打印页数≥2600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适用于爱普生m1030打印机，非代用品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打印页数≥2400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适用于爱普生L4168打印机，非代用品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打印页数≥7500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适用于爱普生L4168打印机，非代用品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适用于爱普生L4168打印机，非代用品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适用于爱普生L4168打印机，非代用品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适用于惠普m252打印机，非代用品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打印页数≥1400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适用于惠普m252打印机，非代用品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适用于惠普m252打印机，非代用品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适用于惠普m252打印机，非代用品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黑色硒鼓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适用于佳能663打印机，非代用品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打印页数≥2300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红色硒鼓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适用于佳能663打印机，非代用品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打印页数≥2100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黄色硒鼓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适用于佳能663打印机，非代用品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打印页数≥2100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青色硒鼓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适用于佳能663打印机，非代用品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打印页数≥2100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适用于惠普m233硒鼓，代用品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打印页数≥5000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墨粉筒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适用于富士施乐复印机V5070复印机，非代用品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感光鼓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适用于富士施乐复印机V5070复印机，非代用品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打印页数≥90000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墨粉筒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适用于富士施乐复印机V3060复印机，非代用品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感光鼓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适用于富士施乐复印机V3060复印机，非代用品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打印页数≥90000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墨粉筒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适用于富士施乐复印机s2011复印机，非代用品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打印页数≥9000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感光鼓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适用于富士施乐复印机s2011复印机，非代用品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打印页数≥80000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适用于京瓷2135复印机,非代用品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打印页数≥2500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适用于京瓷2135复印机,非代用品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打印页数≥50000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适用于柯美163v复印机,非代用品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适用于柯美163v复印机,非代用品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打印页数≥40000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适用于施乐3410一体机,非代用品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适用于施乐3410一体机,非代用品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打印页数≥12000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适用于惠普755喷墨打印机，黑色，非代用品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适用于惠普755喷墨打印机，黄色，非代用品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适用于惠普755喷墨打印机，红色，非代用品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墨水</w:t>
            </w:r>
          </w:p>
        </w:tc>
        <w:tc>
          <w:tcPr>
            <w:tcW w:w="3739"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适用于惠普755喷墨打印机，青色，非代用品</w:t>
            </w:r>
          </w:p>
        </w:tc>
        <w:tc>
          <w:tcPr>
            <w:tcW w:w="188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打印页数≥4000</w:t>
            </w:r>
          </w:p>
        </w:tc>
        <w:tc>
          <w:tcPr>
            <w:tcW w:w="1126"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墨粉筒</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适用于富士施乐复印机V5070复印机，非代用品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打印页数≥25000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感光鼓</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适用于富士施乐复印机V5070复印机，非代用品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打印页数≥74000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墨粉筒</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适用于富士施乐复印机V5070复印机，代用品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打印页数≥25000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感光鼓</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适用于富士施乐复印机V5070复印机，代用品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打印页数≥80000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墨粉筒</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适用于富士施乐复印机V3060复印机，非代用品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打印页数≥25000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default"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感光鼓</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适用于富士施乐复印机V3060复印机，非代用品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打印页数≥90000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default"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墨粉筒</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适用于富士施乐复印机V3060复印机，代用品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打印页数≥25000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感光鼓</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适用于富士施乐复印机V3060复印机，代用品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打印页数≥90000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墨粉筒</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适用于富士施乐复印机s2011复印机，非代用品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打印页数≥9000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default"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w:t>
            </w:r>
            <w:r>
              <w:rPr>
                <w:rFonts w:hint="eastAsia" w:ascii="宋体" w:hAnsi="宋体" w:cs="宋体"/>
                <w:i w:val="0"/>
                <w:iCs w:val="0"/>
                <w:color w:val="000000"/>
                <w:kern w:val="0"/>
                <w:sz w:val="20"/>
                <w:szCs w:val="20"/>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感光鼓</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适用于富士施乐复印机s2011复印机，非代用品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打印页数≥90000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default"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w:t>
            </w:r>
            <w:r>
              <w:rPr>
                <w:rFonts w:hint="eastAsia" w:ascii="宋体" w:hAnsi="宋体" w:cs="宋体"/>
                <w:i w:val="0"/>
                <w:iCs w:val="0"/>
                <w:color w:val="000000"/>
                <w:kern w:val="0"/>
                <w:sz w:val="20"/>
                <w:szCs w:val="20"/>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墨粉筒</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适用于富士施乐复印机s2011复印机，代用品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打印页数≥12000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感光鼓</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适用于富士施乐复印机s2011复印机，代用品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打印页数≥90000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适用于京瓷2135复印机,非代用品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打印页数≥2500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适用于京瓷2135复印机,非代用品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打印页数≥50000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default"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340</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适用于京瓷2135复印机,代用品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打印页数≥3500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341</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适用于京瓷2135复印机,代用品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打印页数≥50000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342</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适用于柯美163v复印机,非代用品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打印页数≥11000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default"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343</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适用于柯美163v复印机,非代用品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打印页数≥100000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344</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适用于柯美163v复印机,代用品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打印页数≥11000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345</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适用于柯美163v复印机,代用品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打印页数≥80000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346</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适用于施乐3410一体机,非代用品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打印页数≥6000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347</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适用于施乐3410一体机,非代用品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打印页数≥12000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348</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粉盒</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适用于施乐3410一体机,代用品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打印页数≥3000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18" w:type="dxa"/>
            <w:tcBorders>
              <w:top w:val="nil"/>
              <w:left w:val="single" w:color="000000" w:sz="12" w:space="0"/>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349</w:t>
            </w:r>
          </w:p>
        </w:tc>
        <w:tc>
          <w:tcPr>
            <w:tcW w:w="1048" w:type="dxa"/>
            <w:tcBorders>
              <w:top w:val="nil"/>
              <w:left w:val="nil"/>
              <w:bottom w:val="single" w:color="000000" w:sz="12" w:space="0"/>
              <w:right w:val="single" w:color="000000" w:sz="12" w:space="0"/>
            </w:tcBorders>
            <w:vAlign w:val="center"/>
          </w:tcPr>
          <w:p>
            <w:pPr>
              <w:widowControl/>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硒鼓</w:t>
            </w:r>
          </w:p>
        </w:tc>
        <w:tc>
          <w:tcPr>
            <w:tcW w:w="3739"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适用于施乐3410一体机,代用品</w:t>
            </w:r>
          </w:p>
        </w:tc>
        <w:tc>
          <w:tcPr>
            <w:tcW w:w="1888"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打印页数≥12000</w:t>
            </w:r>
          </w:p>
        </w:tc>
        <w:tc>
          <w:tcPr>
            <w:tcW w:w="1126" w:type="dxa"/>
            <w:tcBorders>
              <w:top w:val="nil"/>
              <w:left w:val="nil"/>
              <w:bottom w:val="single" w:color="000000" w:sz="8" w:space="0"/>
              <w:right w:val="single" w:color="000000" w:sz="8" w:space="0"/>
            </w:tcBorders>
            <w:vAlign w:val="center"/>
          </w:tcPr>
          <w:p>
            <w:pPr>
              <w:widowControl/>
              <w:jc w:val="center"/>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229</w:t>
            </w:r>
          </w:p>
        </w:tc>
      </w:tr>
    </w:tbl>
    <w:p>
      <w:pPr>
        <w:pStyle w:val="3"/>
        <w:jc w:val="both"/>
        <w:rPr>
          <w:rFonts w:ascii="宋体" w:hAnsi="宋体" w:eastAsia="宋体" w:cs="宋体"/>
          <w:b/>
        </w:rPr>
      </w:pPr>
    </w:p>
    <w:p>
      <w:pPr>
        <w:pStyle w:val="3"/>
        <w:jc w:val="both"/>
        <w:rPr>
          <w:rFonts w:hint="default" w:ascii="宋体" w:hAnsi="宋体" w:eastAsia="宋体" w:cs="宋体"/>
          <w:b/>
        </w:rPr>
      </w:pPr>
    </w:p>
    <w:p>
      <w:pPr>
        <w:pStyle w:val="3"/>
        <w:jc w:val="both"/>
        <w:outlineLvl w:val="2"/>
        <w:rPr>
          <w:rFonts w:hint="default"/>
        </w:rPr>
      </w:pPr>
      <w:r>
        <w:rPr>
          <w:b/>
          <w:sz w:val="28"/>
        </w:rPr>
        <w:t>二、技术和服务要求</w:t>
      </w:r>
    </w:p>
    <w:p>
      <w:pPr>
        <w:pStyle w:val="3"/>
        <w:ind w:firstLine="480"/>
        <w:jc w:val="both"/>
        <w:rPr>
          <w:rFonts w:hint="default"/>
        </w:rPr>
      </w:pPr>
      <w:r>
        <w:rPr>
          <w:rFonts w:ascii="宋体" w:hAnsi="宋体" w:eastAsia="宋体" w:cs="宋体"/>
          <w:b/>
        </w:rPr>
        <w:t>（一）基本技术及服务要求</w:t>
      </w:r>
    </w:p>
    <w:p>
      <w:pPr>
        <w:pStyle w:val="3"/>
        <w:ind w:firstLine="482"/>
        <w:rPr>
          <w:rFonts w:hint="default"/>
        </w:rPr>
      </w:pPr>
      <w:r>
        <w:rPr>
          <w:rFonts w:ascii="宋体" w:hAnsi="宋体" w:eastAsia="宋体" w:cs="宋体"/>
        </w:rPr>
        <w:t>1、投标耗材的制造标准及技术规范等有关资料必须符合国家相关标准、规范要求，并提供优质的驻点人员办公运维服务，服务期一年。服务地点为福建省立医院东街院区及金山院区。</w:t>
      </w:r>
    </w:p>
    <w:p>
      <w:pPr>
        <w:pStyle w:val="3"/>
        <w:ind w:firstLine="482"/>
        <w:rPr>
          <w:rFonts w:hint="default"/>
        </w:rPr>
      </w:pPr>
      <w:r>
        <w:rPr>
          <w:rFonts w:ascii="宋体" w:hAnsi="宋体" w:eastAsia="宋体" w:cs="宋体"/>
        </w:rPr>
        <w:t>2、招标数量：根据采购人在服务期内的采购数量而定。由于该采购量是一个动态值，因此，招标数量为服务期内采购人的实际采购量。本项目服务期为开始提供服务后一年，服务期结束后，若采购人尚未确认新的服务单位，中标人须无条件根据采购人要求延长服务时间，但最多不超过2个月，供货期间费用结算参照合同结算方式履行。</w:t>
      </w:r>
    </w:p>
    <w:p>
      <w:pPr>
        <w:pStyle w:val="3"/>
        <w:ind w:firstLine="402"/>
        <w:rPr>
          <w:rFonts w:hint="default"/>
        </w:rPr>
      </w:pPr>
      <w:r>
        <w:rPr>
          <w:rFonts w:ascii="宋体" w:hAnsi="宋体" w:eastAsia="宋体" w:cs="宋体"/>
          <w:b/>
        </w:rPr>
        <w:t>【评审指标1】</w:t>
      </w:r>
      <w:r>
        <w:rPr>
          <w:rFonts w:ascii="宋体" w:hAnsi="宋体" w:eastAsia="宋体" w:cs="宋体"/>
        </w:rPr>
        <w:t>3、中标人需根据采购人要求及时提供中标产品有关资料。</w:t>
      </w:r>
    </w:p>
    <w:p>
      <w:pPr>
        <w:pStyle w:val="3"/>
        <w:ind w:firstLine="400"/>
        <w:rPr>
          <w:rFonts w:hint="default"/>
        </w:rPr>
      </w:pPr>
      <w:r>
        <w:rPr>
          <w:rFonts w:ascii="宋体" w:hAnsi="宋体" w:eastAsia="宋体" w:cs="宋体"/>
        </w:rPr>
        <w:t>4、如因医院业务发展如有新增设备产生耗材需求，中标人应根据市场价（京东、天猫等进行比较）提供给采购人报价单，经与采购人确认后的单价*中标折扣作为耗材单价。</w:t>
      </w:r>
    </w:p>
    <w:p>
      <w:pPr>
        <w:pStyle w:val="3"/>
        <w:ind w:firstLine="428"/>
        <w:rPr>
          <w:rFonts w:hint="default"/>
        </w:rPr>
      </w:pPr>
      <w:r>
        <w:rPr>
          <w:rFonts w:ascii="宋体" w:hAnsi="宋体" w:eastAsia="宋体" w:cs="宋体"/>
        </w:rPr>
        <w:t>5、耗材质量保证：</w:t>
      </w:r>
    </w:p>
    <w:p>
      <w:pPr>
        <w:pStyle w:val="3"/>
        <w:ind w:firstLine="402"/>
        <w:rPr>
          <w:rFonts w:hint="default"/>
        </w:rPr>
      </w:pPr>
      <w:r>
        <w:rPr>
          <w:rFonts w:ascii="宋体" w:hAnsi="宋体" w:eastAsia="宋体" w:cs="宋体"/>
          <w:b/>
        </w:rPr>
        <w:t>【评审指标2】</w:t>
      </w:r>
      <w:r>
        <w:rPr>
          <w:rFonts w:ascii="宋体" w:hAnsi="宋体" w:eastAsia="宋体" w:cs="宋体"/>
        </w:rPr>
        <w:t>（1）投标人就所提供的物资禁止以次充好，如有发现处以中标价的十倍罚款，并上报相关部门列入失信黑名单，并且立即终止合同。采购人对提供的货物有质疑时，中标人应全力配合送鉴。</w:t>
      </w:r>
    </w:p>
    <w:p>
      <w:pPr>
        <w:pStyle w:val="3"/>
        <w:ind w:firstLine="402"/>
        <w:rPr>
          <w:rFonts w:hint="default"/>
        </w:rPr>
      </w:pPr>
      <w:r>
        <w:rPr>
          <w:rFonts w:ascii="宋体" w:hAnsi="宋体" w:eastAsia="宋体" w:cs="宋体"/>
          <w:b/>
        </w:rPr>
        <w:t>【评审指标3】</w:t>
      </w:r>
      <w:r>
        <w:rPr>
          <w:rFonts w:ascii="宋体" w:hAnsi="宋体" w:eastAsia="宋体" w:cs="宋体"/>
        </w:rPr>
        <w:t>（2）合同履行过程中，采购人将对中标人供应耗材是否符合投标文件及采购合同相关要求进行监督，并对监督结果进行登记，累计不合格次数达到2次且中标人无合理处置行为，本项目合同自动失效。中标人因无法履约对采购人的损失承担赔偿责任，但因不可抗力不能履行合同的除外。</w:t>
      </w:r>
    </w:p>
    <w:p>
      <w:pPr>
        <w:pStyle w:val="3"/>
        <w:ind w:firstLine="400"/>
        <w:rPr>
          <w:rFonts w:hint="default"/>
        </w:rPr>
      </w:pPr>
      <w:r>
        <w:rPr>
          <w:rFonts w:ascii="宋体" w:hAnsi="宋体" w:eastAsia="宋体" w:cs="宋体"/>
        </w:rPr>
        <w:t>（3）部分耗材质量保证证明材料：</w:t>
      </w:r>
    </w:p>
    <w:p>
      <w:pPr>
        <w:pStyle w:val="3"/>
        <w:ind w:firstLine="400"/>
        <w:rPr>
          <w:rFonts w:hint="default"/>
        </w:rPr>
      </w:pPr>
      <w:r>
        <w:rPr>
          <w:rFonts w:ascii="宋体" w:hAnsi="宋体" w:eastAsia="宋体" w:cs="宋体"/>
        </w:rPr>
        <w:t>6、设备维护服务范围：负责对福建省立医院东街院区及金山院区在服务期内（包含延长期(若有)）提供打印机的耗材添加更换工作（打印机包括但不限于：针式打印机、一体机、激光打印机、喷墨打印机、腕带打印机、条码打印机、部分自助报告机等）。</w:t>
      </w:r>
    </w:p>
    <w:p>
      <w:pPr>
        <w:pStyle w:val="3"/>
        <w:ind w:firstLine="400"/>
        <w:rPr>
          <w:rFonts w:hint="default"/>
        </w:rPr>
      </w:pPr>
      <w:r>
        <w:rPr>
          <w:rFonts w:ascii="宋体" w:hAnsi="宋体" w:eastAsia="宋体" w:cs="宋体"/>
        </w:rPr>
        <w:t>7、服务内容：</w:t>
      </w:r>
    </w:p>
    <w:p>
      <w:pPr>
        <w:pStyle w:val="3"/>
        <w:ind w:firstLine="402"/>
        <w:rPr>
          <w:rFonts w:hint="default"/>
        </w:rPr>
      </w:pPr>
      <w:r>
        <w:rPr>
          <w:rFonts w:ascii="宋体" w:hAnsi="宋体" w:eastAsia="宋体" w:cs="宋体"/>
          <w:b/>
        </w:rPr>
        <w:t>【评审指标4】</w:t>
      </w:r>
      <w:r>
        <w:rPr>
          <w:rFonts w:ascii="宋体" w:hAnsi="宋体" w:eastAsia="宋体" w:cs="宋体"/>
        </w:rPr>
        <w:t>（1）根据采购人要求对维保范围内的打印机进行巡查。</w:t>
      </w:r>
    </w:p>
    <w:p>
      <w:pPr>
        <w:pStyle w:val="3"/>
        <w:ind w:firstLine="402"/>
        <w:rPr>
          <w:rFonts w:hint="default"/>
        </w:rPr>
      </w:pPr>
      <w:r>
        <w:rPr>
          <w:rFonts w:ascii="宋体" w:hAnsi="宋体" w:eastAsia="宋体" w:cs="宋体"/>
          <w:b/>
        </w:rPr>
        <w:t>【评审指标5】</w:t>
      </w:r>
      <w:r>
        <w:rPr>
          <w:rFonts w:ascii="宋体" w:hAnsi="宋体" w:eastAsia="宋体" w:cs="宋体"/>
        </w:rPr>
        <w:t>（2）负责打印机耗材添加和更换服务，保证更换后打印质量及设备、场地清洁。</w:t>
      </w:r>
    </w:p>
    <w:p>
      <w:pPr>
        <w:pStyle w:val="3"/>
        <w:ind w:firstLine="402"/>
        <w:rPr>
          <w:rFonts w:hint="default"/>
        </w:rPr>
      </w:pPr>
      <w:r>
        <w:rPr>
          <w:rFonts w:ascii="宋体" w:hAnsi="宋体" w:eastAsia="宋体" w:cs="宋体"/>
          <w:b/>
        </w:rPr>
        <w:t>【评审指标6】</w:t>
      </w:r>
      <w:r>
        <w:rPr>
          <w:rFonts w:ascii="宋体" w:hAnsi="宋体" w:eastAsia="宋体" w:cs="宋体"/>
        </w:rPr>
        <w:t>（3）对所有打印机进行编号登记，建立档案。负责打印机的使用情况监测。对打印耗材使用情况进行统计分析，及时发现异常使用情况，并予以处理。</w:t>
      </w:r>
    </w:p>
    <w:p>
      <w:pPr>
        <w:pStyle w:val="3"/>
        <w:ind w:firstLine="402"/>
        <w:jc w:val="both"/>
        <w:rPr>
          <w:rFonts w:hint="default"/>
        </w:rPr>
      </w:pPr>
      <w:r>
        <w:rPr>
          <w:rFonts w:ascii="宋体" w:hAnsi="宋体" w:eastAsia="宋体" w:cs="宋体"/>
          <w:b/>
        </w:rPr>
        <w:t>【评审指标7】</w:t>
      </w:r>
      <w:r>
        <w:rPr>
          <w:rFonts w:ascii="宋体" w:hAnsi="宋体" w:eastAsia="宋体" w:cs="宋体"/>
        </w:rPr>
        <w:t>（4）打印机清洁保养工作（每季度一次对所有打印机进行清洁保养，并且记录文档给各使用部门签字）。完成采购人安排其他相关工作。</w:t>
      </w:r>
    </w:p>
    <w:p>
      <w:pPr>
        <w:pStyle w:val="3"/>
        <w:ind w:firstLine="402"/>
        <w:rPr>
          <w:rFonts w:hint="default"/>
        </w:rPr>
      </w:pPr>
      <w:r>
        <w:rPr>
          <w:rFonts w:ascii="宋体" w:hAnsi="宋体" w:eastAsia="宋体" w:cs="宋体"/>
          <w:b/>
        </w:rPr>
        <w:t>（二）驻点技术人员及服务要求</w:t>
      </w:r>
    </w:p>
    <w:p>
      <w:pPr>
        <w:pStyle w:val="3"/>
        <w:ind w:firstLine="400"/>
        <w:rPr>
          <w:rFonts w:hint="default"/>
        </w:rPr>
      </w:pPr>
      <w:r>
        <w:rPr>
          <w:rFonts w:ascii="宋体" w:hAnsi="宋体" w:eastAsia="宋体" w:cs="宋体"/>
        </w:rPr>
        <w:t>1、</w:t>
      </w:r>
      <w:bookmarkStart w:id="0" w:name="_GoBack"/>
      <w:r>
        <w:rPr>
          <w:rFonts w:ascii="宋体" w:hAnsi="宋体" w:eastAsia="宋体" w:cs="宋体"/>
        </w:rPr>
        <w:t>提供派驻医院的技术维护服务人员至少</w:t>
      </w:r>
      <w:r>
        <w:rPr>
          <w:rFonts w:hint="eastAsia" w:ascii="宋体" w:hAnsi="宋体" w:cs="宋体"/>
          <w:lang w:val="en-US" w:eastAsia="zh-CN"/>
        </w:rPr>
        <w:t>8</w:t>
      </w:r>
      <w:r>
        <w:rPr>
          <w:rFonts w:ascii="宋体" w:hAnsi="宋体" w:eastAsia="宋体" w:cs="宋体"/>
        </w:rPr>
        <w:t>名（人员院区分配根据采购人安排）；全年365天在岗；工作时间为工作日上午8:00-12:00，下午2:30-5:30；周末及法定节假日为8:00至12:00。</w:t>
      </w:r>
    </w:p>
    <w:bookmarkEnd w:id="0"/>
    <w:p>
      <w:pPr>
        <w:pStyle w:val="3"/>
        <w:ind w:firstLine="402"/>
        <w:rPr>
          <w:rFonts w:hint="default"/>
        </w:rPr>
      </w:pPr>
      <w:r>
        <w:rPr>
          <w:rFonts w:ascii="宋体" w:hAnsi="宋体" w:eastAsia="宋体" w:cs="宋体"/>
          <w:b/>
        </w:rPr>
        <w:t>【评审指标8】</w:t>
      </w:r>
      <w:r>
        <w:rPr>
          <w:rFonts w:ascii="宋体" w:hAnsi="宋体" w:eastAsia="宋体" w:cs="宋体"/>
        </w:rPr>
        <w:t>2、接到服务请求后立即响应；10分钟内赶到现场进行添加和更换服务，如2小时内无法处理则需在4小时内提供备用机给采购人使用（无故拖延到场解决故障时间，导致医院设备不能正常工作的采购人有权扣除300元每次的处罚）。</w:t>
      </w:r>
    </w:p>
    <w:p>
      <w:pPr>
        <w:pStyle w:val="3"/>
        <w:ind w:firstLine="402"/>
        <w:rPr>
          <w:rFonts w:hint="default"/>
        </w:rPr>
      </w:pPr>
      <w:r>
        <w:rPr>
          <w:rFonts w:ascii="宋体" w:hAnsi="宋体" w:eastAsia="宋体" w:cs="宋体"/>
          <w:b/>
        </w:rPr>
        <w:t>【评审指标9】</w:t>
      </w:r>
      <w:r>
        <w:rPr>
          <w:rFonts w:ascii="宋体" w:hAnsi="宋体" w:eastAsia="宋体" w:cs="宋体"/>
        </w:rPr>
        <w:t>3、现场驻点人员经过中标方培训合格且具备打印机维修能力后上岗工作，上岗需佩戴工作牌。</w:t>
      </w:r>
    </w:p>
    <w:p>
      <w:pPr>
        <w:pStyle w:val="3"/>
        <w:ind w:firstLine="402"/>
        <w:rPr>
          <w:rFonts w:hint="default"/>
        </w:rPr>
      </w:pPr>
      <w:r>
        <w:rPr>
          <w:rFonts w:ascii="宋体" w:hAnsi="宋体" w:eastAsia="宋体" w:cs="宋体"/>
          <w:b/>
        </w:rPr>
        <w:t>【评审指标10】</w:t>
      </w:r>
      <w:r>
        <w:rPr>
          <w:rFonts w:ascii="宋体" w:hAnsi="宋体" w:eastAsia="宋体" w:cs="宋体"/>
        </w:rPr>
        <w:t>4、对于上岗技术工程师，服务过程当中出现投诉2次事件，退岗重新培训，并且考核合格后再上岗。如再出现2次投诉事件者，取消其服务资格并且及时更换服务人员。（考核标准：以医院现有运维软件维保APP对响应时间、到场时间、完成时间、完成反馈情况进行记录及绩效考核表为考核标准）</w:t>
      </w:r>
    </w:p>
    <w:p>
      <w:pPr>
        <w:pStyle w:val="3"/>
        <w:ind w:firstLine="402"/>
        <w:rPr>
          <w:rFonts w:hint="default"/>
        </w:rPr>
      </w:pPr>
      <w:r>
        <w:rPr>
          <w:rFonts w:ascii="宋体" w:hAnsi="宋体" w:eastAsia="宋体" w:cs="宋体"/>
          <w:b/>
        </w:rPr>
        <w:t>【评审指标11】</w:t>
      </w:r>
      <w:r>
        <w:rPr>
          <w:rFonts w:ascii="宋体" w:hAnsi="宋体" w:eastAsia="宋体" w:cs="宋体"/>
        </w:rPr>
        <w:t>5、考勤制度：驻点技术人员严格按照采购人提供的制度打卡考勤，驻点人员休息时中标人需自行调整公司人员，采购人可随时抽查驻点人员在岗情况，如发现无故缺勤一次扣除中标人300元费用，无故旷工3次记录月考核不合格。</w:t>
      </w:r>
    </w:p>
    <w:p>
      <w:pPr>
        <w:pStyle w:val="3"/>
        <w:ind w:firstLine="402"/>
        <w:rPr>
          <w:rFonts w:hint="default"/>
        </w:rPr>
      </w:pPr>
      <w:r>
        <w:rPr>
          <w:rFonts w:ascii="宋体" w:hAnsi="宋体" w:eastAsia="宋体" w:cs="宋体"/>
          <w:b/>
        </w:rPr>
        <w:t>【评审指标12】</w:t>
      </w:r>
      <w:r>
        <w:rPr>
          <w:rFonts w:ascii="宋体" w:hAnsi="宋体" w:eastAsia="宋体" w:cs="宋体"/>
        </w:rPr>
        <w:t>6、应急处理服务：当采购人发生紧急事件、需要服务商提供技术支持时，服务商应立即调动所有技术资源，并采取措施，尽最大努力，调动一切技术力量及时解决用户方需求。</w:t>
      </w:r>
    </w:p>
    <w:p>
      <w:pPr>
        <w:pStyle w:val="3"/>
        <w:jc w:val="both"/>
        <w:outlineLvl w:val="2"/>
      </w:pPr>
      <w:r>
        <w:rPr>
          <w:b/>
          <w:sz w:val="28"/>
        </w:rPr>
        <w:t>三、商务要求（以“★”标示的内容为不允许负偏离的实质性要求）</w:t>
      </w:r>
    </w:p>
    <w:p>
      <w:pPr>
        <w:pStyle w:val="3"/>
        <w:ind w:firstLine="480"/>
        <w:jc w:val="both"/>
      </w:pPr>
      <w:r>
        <w:t>采购包1：</w:t>
      </w:r>
    </w:p>
    <w:tbl>
      <w:tblPr>
        <w:tblW w:w="830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5"/>
        <w:gridCol w:w="1200"/>
        <w:gridCol w:w="2125"/>
        <w:gridCol w:w="40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55" w:type="dxa"/>
            <w:vAlign w:val="top"/>
          </w:tcPr>
          <w:p>
            <w:pPr>
              <w:pStyle w:val="3"/>
              <w:jc w:val="both"/>
            </w:pPr>
            <w:r>
              <w:t>序号</w:t>
            </w:r>
          </w:p>
        </w:tc>
        <w:tc>
          <w:tcPr>
            <w:tcW w:w="1200" w:type="dxa"/>
            <w:vAlign w:val="top"/>
          </w:tcPr>
          <w:p>
            <w:pPr>
              <w:pStyle w:val="3"/>
              <w:jc w:val="both"/>
            </w:pPr>
            <w:r>
              <w:t>参数性质</w:t>
            </w:r>
          </w:p>
        </w:tc>
        <w:tc>
          <w:tcPr>
            <w:tcW w:w="2125" w:type="dxa"/>
            <w:vAlign w:val="top"/>
          </w:tcPr>
          <w:p>
            <w:pPr>
              <w:pStyle w:val="3"/>
              <w:jc w:val="both"/>
            </w:pPr>
            <w:r>
              <w:t>类型</w:t>
            </w:r>
          </w:p>
        </w:tc>
        <w:tc>
          <w:tcPr>
            <w:tcW w:w="4024" w:type="dxa"/>
            <w:vAlign w:val="top"/>
          </w:tcPr>
          <w:p>
            <w:pPr>
              <w:pStyle w:val="3"/>
              <w:jc w:val="both"/>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55" w:type="dxa"/>
            <w:vAlign w:val="top"/>
          </w:tcPr>
          <w:p>
            <w:pPr>
              <w:pStyle w:val="3"/>
              <w:jc w:val="both"/>
            </w:pPr>
            <w:r>
              <w:t>1</w:t>
            </w:r>
          </w:p>
        </w:tc>
        <w:tc>
          <w:tcPr>
            <w:tcW w:w="1200" w:type="dxa"/>
            <w:vAlign w:val="top"/>
          </w:tcPr>
          <w:p>
            <w:pPr>
              <w:pStyle w:val="3"/>
              <w:jc w:val="both"/>
            </w:pPr>
            <w:r>
              <w:t>★</w:t>
            </w:r>
          </w:p>
        </w:tc>
        <w:tc>
          <w:tcPr>
            <w:tcW w:w="2125" w:type="dxa"/>
            <w:vAlign w:val="top"/>
          </w:tcPr>
          <w:p>
            <w:pPr>
              <w:pStyle w:val="3"/>
              <w:jc w:val="both"/>
            </w:pPr>
            <w:r>
              <w:t>交货时间</w:t>
            </w:r>
          </w:p>
        </w:tc>
        <w:tc>
          <w:tcPr>
            <w:tcW w:w="4024" w:type="dxa"/>
            <w:vAlign w:val="top"/>
          </w:tcPr>
          <w:p>
            <w:pPr>
              <w:pStyle w:val="3"/>
              <w:jc w:val="both"/>
            </w:pPr>
            <w:r>
              <w:t>合同签订且开始服务之日起至服务期满。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55" w:type="dxa"/>
            <w:vAlign w:val="top"/>
          </w:tcPr>
          <w:p>
            <w:pPr>
              <w:pStyle w:val="3"/>
              <w:jc w:val="both"/>
            </w:pPr>
            <w:r>
              <w:t>2</w:t>
            </w:r>
          </w:p>
        </w:tc>
        <w:tc>
          <w:tcPr>
            <w:tcW w:w="1200" w:type="dxa"/>
            <w:vAlign w:val="top"/>
          </w:tcPr>
          <w:p>
            <w:pPr>
              <w:pStyle w:val="3"/>
              <w:jc w:val="both"/>
            </w:pPr>
            <w:r>
              <w:t>★</w:t>
            </w:r>
          </w:p>
        </w:tc>
        <w:tc>
          <w:tcPr>
            <w:tcW w:w="2125" w:type="dxa"/>
            <w:vAlign w:val="top"/>
          </w:tcPr>
          <w:p>
            <w:pPr>
              <w:pStyle w:val="3"/>
              <w:jc w:val="both"/>
            </w:pPr>
            <w:r>
              <w:t>交货地点</w:t>
            </w:r>
          </w:p>
        </w:tc>
        <w:tc>
          <w:tcPr>
            <w:tcW w:w="4024" w:type="dxa"/>
            <w:vAlign w:val="top"/>
          </w:tcPr>
          <w:p>
            <w:pPr>
              <w:pStyle w:val="3"/>
              <w:jc w:val="both"/>
            </w:pPr>
            <w:r>
              <w:t>采购人指定地点（福建省立医院东街院区及金山院区）。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955" w:type="dxa"/>
            <w:vAlign w:val="top"/>
          </w:tcPr>
          <w:p>
            <w:pPr>
              <w:pStyle w:val="3"/>
              <w:jc w:val="both"/>
            </w:pPr>
            <w:r>
              <w:t>3</w:t>
            </w:r>
          </w:p>
        </w:tc>
        <w:tc>
          <w:tcPr>
            <w:tcW w:w="1200" w:type="dxa"/>
            <w:vAlign w:val="top"/>
          </w:tcPr>
          <w:p>
            <w:pPr>
              <w:pStyle w:val="3"/>
              <w:jc w:val="both"/>
            </w:pPr>
            <w:r>
              <w:t>★</w:t>
            </w:r>
          </w:p>
        </w:tc>
        <w:tc>
          <w:tcPr>
            <w:tcW w:w="2125" w:type="dxa"/>
            <w:vAlign w:val="top"/>
          </w:tcPr>
          <w:p>
            <w:pPr>
              <w:pStyle w:val="3"/>
              <w:jc w:val="both"/>
            </w:pPr>
            <w:r>
              <w:t>交货条件</w:t>
            </w:r>
          </w:p>
        </w:tc>
        <w:tc>
          <w:tcPr>
            <w:tcW w:w="4024" w:type="dxa"/>
            <w:vAlign w:val="top"/>
          </w:tcPr>
          <w:p>
            <w:pPr>
              <w:pStyle w:val="3"/>
              <w:jc w:val="both"/>
            </w:pPr>
            <w:r>
              <w:t>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55" w:type="dxa"/>
            <w:vAlign w:val="top"/>
          </w:tcPr>
          <w:p>
            <w:pPr>
              <w:pStyle w:val="3"/>
              <w:jc w:val="both"/>
            </w:pPr>
            <w:r>
              <w:t>4</w:t>
            </w:r>
          </w:p>
        </w:tc>
        <w:tc>
          <w:tcPr>
            <w:tcW w:w="1200" w:type="dxa"/>
            <w:vAlign w:val="top"/>
          </w:tcPr>
          <w:p>
            <w:pPr>
              <w:pStyle w:val="3"/>
              <w:jc w:val="both"/>
            </w:pPr>
            <w:r>
              <w:t>★</w:t>
            </w:r>
          </w:p>
        </w:tc>
        <w:tc>
          <w:tcPr>
            <w:tcW w:w="2125" w:type="dxa"/>
            <w:vAlign w:val="top"/>
          </w:tcPr>
          <w:p>
            <w:pPr>
              <w:pStyle w:val="3"/>
              <w:jc w:val="both"/>
            </w:pPr>
            <w:r>
              <w:t>是否邀请投标人验收</w:t>
            </w:r>
          </w:p>
        </w:tc>
        <w:tc>
          <w:tcPr>
            <w:tcW w:w="4024" w:type="dxa"/>
            <w:vAlign w:val="top"/>
          </w:tcPr>
          <w:p>
            <w:pPr>
              <w:pStyle w:val="3"/>
              <w:jc w:val="both"/>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55" w:type="dxa"/>
            <w:vAlign w:val="top"/>
          </w:tcPr>
          <w:p>
            <w:pPr>
              <w:pStyle w:val="3"/>
              <w:jc w:val="both"/>
            </w:pPr>
            <w:r>
              <w:t>5</w:t>
            </w:r>
          </w:p>
        </w:tc>
        <w:tc>
          <w:tcPr>
            <w:tcW w:w="1200" w:type="dxa"/>
            <w:vAlign w:val="top"/>
          </w:tcPr>
          <w:p>
            <w:pPr>
              <w:pStyle w:val="3"/>
              <w:jc w:val="both"/>
            </w:pPr>
            <w:r>
              <w:t>★</w:t>
            </w:r>
          </w:p>
        </w:tc>
        <w:tc>
          <w:tcPr>
            <w:tcW w:w="2125" w:type="dxa"/>
            <w:vAlign w:val="top"/>
          </w:tcPr>
          <w:p>
            <w:pPr>
              <w:pStyle w:val="3"/>
              <w:jc w:val="both"/>
            </w:pPr>
            <w:r>
              <w:t>履约验收方式</w:t>
            </w:r>
          </w:p>
        </w:tc>
        <w:tc>
          <w:tcPr>
            <w:tcW w:w="4024" w:type="dxa"/>
            <w:vAlign w:val="top"/>
          </w:tcPr>
          <w:p>
            <w:pPr>
              <w:pStyle w:val="3"/>
              <w:jc w:val="both"/>
            </w:pPr>
            <w:r>
              <w:t>1、期次1，说明：采购人每月按照需求进行采购，并按招标文件要求进行验收。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55" w:type="dxa"/>
            <w:vAlign w:val="top"/>
          </w:tcPr>
          <w:p>
            <w:pPr>
              <w:pStyle w:val="3"/>
              <w:jc w:val="both"/>
            </w:pPr>
            <w:r>
              <w:t>6</w:t>
            </w:r>
          </w:p>
        </w:tc>
        <w:tc>
          <w:tcPr>
            <w:tcW w:w="1200" w:type="dxa"/>
            <w:vAlign w:val="top"/>
          </w:tcPr>
          <w:p>
            <w:pPr>
              <w:pStyle w:val="3"/>
              <w:jc w:val="both"/>
            </w:pPr>
            <w:r>
              <w:t>★</w:t>
            </w:r>
          </w:p>
        </w:tc>
        <w:tc>
          <w:tcPr>
            <w:tcW w:w="2125" w:type="dxa"/>
            <w:vAlign w:val="top"/>
          </w:tcPr>
          <w:p>
            <w:pPr>
              <w:pStyle w:val="3"/>
              <w:jc w:val="both"/>
            </w:pPr>
            <w:r>
              <w:t>合同支付方式</w:t>
            </w:r>
          </w:p>
        </w:tc>
        <w:tc>
          <w:tcPr>
            <w:tcW w:w="4024" w:type="dxa"/>
            <w:vAlign w:val="top"/>
          </w:tcPr>
          <w:p>
            <w:pPr>
              <w:pStyle w:val="3"/>
              <w:jc w:val="both"/>
              <w:rPr>
                <w:rFonts w:hint="eastAsia" w:eastAsia="宋体"/>
                <w:lang w:eastAsia="zh-CN"/>
              </w:rPr>
            </w:pPr>
            <w:r>
              <w:t>1、支付金额与比例按月结算，采购人根据经采购人确认的每月实际的使用数量、中标人提供的发票、验收报告与付款申请单，达到付款条件起10日内，支付</w:t>
            </w:r>
            <w:r>
              <w:rPr>
                <w:rFonts w:hint="eastAsia"/>
                <w:lang w:val="en-US" w:eastAsia="zh-CN"/>
              </w:rPr>
              <w:t>相应</w:t>
            </w:r>
            <w:r>
              <w:t>金额</w:t>
            </w:r>
            <w:r>
              <w:rPr>
                <w:rFonts w:hint="eastAsia"/>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955" w:type="dxa"/>
            <w:vAlign w:val="top"/>
          </w:tcPr>
          <w:p>
            <w:pPr>
              <w:pStyle w:val="3"/>
              <w:jc w:val="both"/>
            </w:pPr>
            <w:r>
              <w:t>7</w:t>
            </w:r>
          </w:p>
        </w:tc>
        <w:tc>
          <w:tcPr>
            <w:tcW w:w="1200" w:type="dxa"/>
            <w:vAlign w:val="top"/>
          </w:tcPr>
          <w:p>
            <w:pPr>
              <w:pStyle w:val="3"/>
              <w:jc w:val="both"/>
            </w:pPr>
            <w:r>
              <w:t>★</w:t>
            </w:r>
          </w:p>
        </w:tc>
        <w:tc>
          <w:tcPr>
            <w:tcW w:w="2125" w:type="dxa"/>
            <w:vAlign w:val="top"/>
          </w:tcPr>
          <w:p>
            <w:pPr>
              <w:pStyle w:val="3"/>
              <w:jc w:val="both"/>
            </w:pPr>
            <w:r>
              <w:t>履约保证金</w:t>
            </w:r>
          </w:p>
        </w:tc>
        <w:tc>
          <w:tcPr>
            <w:tcW w:w="4024" w:type="dxa"/>
            <w:vAlign w:val="top"/>
          </w:tcPr>
          <w:p>
            <w:pPr>
              <w:pStyle w:val="3"/>
              <w:jc w:val="both"/>
            </w:pPr>
            <w: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55" w:type="dxa"/>
            <w:vAlign w:val="top"/>
          </w:tcPr>
          <w:p>
            <w:pPr>
              <w:pStyle w:val="3"/>
              <w:jc w:val="both"/>
            </w:pPr>
            <w:r>
              <w:t>8</w:t>
            </w:r>
          </w:p>
        </w:tc>
        <w:tc>
          <w:tcPr>
            <w:tcW w:w="1200" w:type="dxa"/>
            <w:vAlign w:val="top"/>
          </w:tcPr>
          <w:p>
            <w:pPr>
              <w:pStyle w:val="3"/>
              <w:jc w:val="both"/>
            </w:pPr>
            <w:r>
              <w:t>★</w:t>
            </w:r>
          </w:p>
        </w:tc>
        <w:tc>
          <w:tcPr>
            <w:tcW w:w="2125" w:type="dxa"/>
            <w:vAlign w:val="top"/>
          </w:tcPr>
          <w:p>
            <w:pPr>
              <w:pStyle w:val="3"/>
              <w:jc w:val="both"/>
            </w:pPr>
            <w:r>
              <w:t>其他</w:t>
            </w:r>
          </w:p>
        </w:tc>
        <w:tc>
          <w:tcPr>
            <w:tcW w:w="4024" w:type="dxa"/>
            <w:vAlign w:val="top"/>
          </w:tcPr>
          <w:p>
            <w:pPr>
              <w:pStyle w:val="3"/>
              <w:jc w:val="both"/>
            </w:pPr>
            <w:r>
              <w:t>本项目商务要求第6项“合同支付方式”为电子平台固定模板，无法修改，文件中出现不一致的“合同支付方式”描述，以本条款为准：支付金额与比例按月结算，采购人根据经采购人确认的每月实际的使用数量、中标人提供的发票、验收报告与付款申请单，均满足要求后10个工作日日内向中标人支付前一个月服务费。逐月类推，直至双方合同结束。</w:t>
            </w:r>
          </w:p>
        </w:tc>
      </w:tr>
    </w:tbl>
    <w:p>
      <w:pPr>
        <w:pStyle w:val="3"/>
        <w:jc w:val="left"/>
      </w:pPr>
      <w:r>
        <w:t>其他商务要求</w:t>
      </w:r>
    </w:p>
    <w:p>
      <w:pPr>
        <w:pStyle w:val="3"/>
        <w:ind w:firstLine="480"/>
        <w:jc w:val="left"/>
      </w:pPr>
      <w:r>
        <w:rPr>
          <w:rFonts w:ascii="宋体" w:hAnsi="宋体" w:eastAsia="宋体" w:cs="宋体"/>
          <w:sz w:val="20"/>
          <w:shd w:val="clear" w:color="020000" w:fill="FFFFFF"/>
        </w:rPr>
        <w:t>★9、中标人应做好项目团队服务人员的日常管理工作，包括考勤制度、操作培训等，同时做好耗材的质量管理、维护保养管理、应急管理等，确保项目正常实施。</w:t>
      </w:r>
    </w:p>
    <w:p>
      <w:pPr>
        <w:pStyle w:val="3"/>
        <w:ind w:firstLine="400"/>
        <w:jc w:val="both"/>
      </w:pPr>
      <w:r>
        <w:rPr>
          <w:rFonts w:ascii="宋体" w:hAnsi="宋体" w:eastAsia="宋体" w:cs="宋体"/>
          <w:sz w:val="20"/>
          <w:shd w:val="clear" w:color="020000" w:fill="FFFFFF"/>
        </w:rPr>
        <w:t>安全与保密要求：中标人需与采购人签订安全保密协议,中标人所有参加运维人员均与采购人签订安全保密协议，并在工作中坚持保密原则，确保中标人及其员工严格规范执行各项保密制度，杜绝任何泄密事件的发生。</w:t>
      </w:r>
    </w:p>
    <w:p>
      <w:pPr>
        <w:pStyle w:val="3"/>
        <w:ind w:firstLine="400"/>
        <w:jc w:val="left"/>
      </w:pPr>
      <w:r>
        <w:rPr>
          <w:rFonts w:ascii="宋体" w:hAnsi="宋体" w:eastAsia="宋体" w:cs="宋体"/>
        </w:rPr>
        <w:t>★10、验收标准</w:t>
      </w:r>
    </w:p>
    <w:p>
      <w:pPr>
        <w:pStyle w:val="3"/>
        <w:ind w:firstLine="400"/>
        <w:jc w:val="left"/>
      </w:pPr>
      <w:r>
        <w:rPr>
          <w:rFonts w:ascii="宋体" w:hAnsi="宋体" w:eastAsia="宋体" w:cs="宋体"/>
        </w:rPr>
        <w:t>10.1采购人每月对中标人的工作进行综合考核评分，满分为100分，合格分为80分。如果当月评分不足80分，视为考核不合格，采购人正式发函通知中标人并扣除当月费用的10%，要求中标人提交服务整改方案，整改方案经采购人确认后，中标人按服务整改方案进行整改，整改后重新进行考核。</w:t>
      </w:r>
    </w:p>
    <w:p>
      <w:pPr>
        <w:pStyle w:val="3"/>
        <w:ind w:firstLine="400"/>
        <w:jc w:val="left"/>
      </w:pPr>
      <w:r>
        <w:rPr>
          <w:rFonts w:ascii="宋体" w:hAnsi="宋体" w:eastAsia="宋体" w:cs="宋体"/>
        </w:rPr>
        <w:t>10.2采购人根据月验收报告、月绩效考核表、月投诉率、运维管理软件APP与中标人提供的正式发票、验收报告与付款申请单均满足服务要求后向中标人支付前一个月费用。逐月类推，直至双方合同结束。</w:t>
      </w:r>
    </w:p>
    <w:p>
      <w:pPr>
        <w:pStyle w:val="3"/>
        <w:ind w:firstLine="400"/>
        <w:jc w:val="left"/>
      </w:pPr>
      <w:r>
        <w:rPr>
          <w:rFonts w:ascii="宋体" w:hAnsi="宋体" w:eastAsia="宋体" w:cs="宋体"/>
        </w:rPr>
        <w:t>★11、专利权</w:t>
      </w:r>
    </w:p>
    <w:p>
      <w:pPr>
        <w:pStyle w:val="3"/>
        <w:ind w:firstLine="400"/>
        <w:jc w:val="left"/>
      </w:pPr>
      <w:r>
        <w:rPr>
          <w:rFonts w:ascii="宋体" w:hAnsi="宋体" w:eastAsia="宋体" w:cs="宋体"/>
        </w:rPr>
        <w:t>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还应赔偿该损失。</w:t>
      </w:r>
    </w:p>
    <w:p>
      <w:pPr>
        <w:pStyle w:val="3"/>
        <w:ind w:firstLine="400"/>
        <w:jc w:val="left"/>
      </w:pPr>
      <w:r>
        <w:rPr>
          <w:rFonts w:ascii="宋体" w:hAnsi="宋体" w:eastAsia="宋体" w:cs="宋体"/>
        </w:rPr>
        <w:t>★12、违约责任</w:t>
      </w:r>
    </w:p>
    <w:p>
      <w:pPr>
        <w:pStyle w:val="3"/>
        <w:ind w:firstLine="400"/>
        <w:jc w:val="left"/>
      </w:pPr>
      <w:r>
        <w:rPr>
          <w:rFonts w:ascii="宋体" w:hAnsi="宋体" w:eastAsia="宋体" w:cs="宋体"/>
        </w:rPr>
        <w:t>12.1因中标人原因造成采购合同无法按时签订，视为中标人违约，中标人违约对采购人造成损失的，需另行支付相应的赔偿。</w:t>
      </w:r>
    </w:p>
    <w:p>
      <w:pPr>
        <w:pStyle w:val="3"/>
        <w:ind w:firstLine="400"/>
        <w:jc w:val="left"/>
      </w:pPr>
      <w:r>
        <w:rPr>
          <w:rFonts w:ascii="宋体" w:hAnsi="宋体" w:eastAsia="宋体" w:cs="宋体"/>
        </w:rPr>
        <w:t>12.2在签订采购合同之后，有下列情形之一的，将视为中标人违约，采购人有权要求中标人支付违约金，并直接从剩余合同价款中予以抵扣；若剩余合同价款不足，采购人有权进一步提出追索和索赔：</w:t>
      </w:r>
    </w:p>
    <w:p>
      <w:pPr>
        <w:pStyle w:val="3"/>
        <w:ind w:firstLine="400"/>
        <w:jc w:val="left"/>
      </w:pPr>
      <w:r>
        <w:rPr>
          <w:rFonts w:ascii="宋体" w:hAnsi="宋体" w:eastAsia="宋体" w:cs="宋体"/>
        </w:rPr>
        <w:t>12.2.1签订合同后，中标人未按合同规定提供货物或服务的；</w:t>
      </w:r>
    </w:p>
    <w:p>
      <w:pPr>
        <w:pStyle w:val="3"/>
        <w:ind w:firstLine="400"/>
        <w:jc w:val="left"/>
      </w:pPr>
      <w:r>
        <w:rPr>
          <w:rFonts w:ascii="宋体" w:hAnsi="宋体" w:eastAsia="宋体" w:cs="宋体"/>
        </w:rPr>
        <w:t>12.2.3中标人不能交货或不能完成合同所约定服务的（不可抗力因素造成的除外）；</w:t>
      </w:r>
    </w:p>
    <w:p>
      <w:pPr>
        <w:pStyle w:val="3"/>
        <w:ind w:firstLine="400"/>
        <w:jc w:val="left"/>
      </w:pPr>
      <w:r>
        <w:rPr>
          <w:rFonts w:ascii="宋体" w:hAnsi="宋体" w:eastAsia="宋体" w:cs="宋体"/>
        </w:rPr>
        <w:t>12.2.4中标人未能按合同规定履行其义务的；</w:t>
      </w:r>
    </w:p>
    <w:p>
      <w:pPr>
        <w:pStyle w:val="3"/>
        <w:ind w:firstLine="400"/>
        <w:jc w:val="left"/>
      </w:pPr>
      <w:r>
        <w:rPr>
          <w:rFonts w:ascii="宋体" w:hAnsi="宋体" w:eastAsia="宋体" w:cs="宋体"/>
        </w:rPr>
        <w:t>12.2.5在签订采购合同之后，中标人要求解除合同的。</w:t>
      </w:r>
    </w:p>
    <w:p>
      <w:pPr>
        <w:pStyle w:val="3"/>
        <w:ind w:firstLine="400"/>
        <w:jc w:val="left"/>
      </w:pPr>
      <w:r>
        <w:rPr>
          <w:rFonts w:ascii="宋体" w:hAnsi="宋体" w:eastAsia="宋体" w:cs="宋体"/>
        </w:rPr>
        <w:t>12.3中标人逾期完成任何一项服务内容达10日的，采购人有权委托第三方完成部分或全部工作，相关费用直接从采购人应向中标人支付的合同价款中予以扣除；同时，采购人有权选择解除合同，并要求中标人赔偿由此给采购人造成的一切损失。</w:t>
      </w:r>
    </w:p>
    <w:p>
      <w:pPr>
        <w:pStyle w:val="3"/>
        <w:ind w:firstLine="400"/>
        <w:jc w:val="left"/>
      </w:pPr>
      <w:r>
        <w:rPr>
          <w:rFonts w:ascii="宋体" w:hAnsi="宋体" w:eastAsia="宋体" w:cs="宋体"/>
        </w:rPr>
        <w:t>12.4中标人月度考核不合格经整改后考核仍不合格或累计2次月考核不合格的，采购人有权单方面终止合同，对采购人造成的损失的，需另行支付相应的赔偿。</w:t>
      </w:r>
    </w:p>
    <w:p>
      <w:pPr>
        <w:pStyle w:val="3"/>
        <w:ind w:firstLine="400"/>
        <w:jc w:val="left"/>
      </w:pPr>
      <w:r>
        <w:rPr>
          <w:rFonts w:ascii="宋体" w:hAnsi="宋体" w:eastAsia="宋体" w:cs="宋体"/>
        </w:rPr>
        <w:t>12.5在明确违约责任后，中标人应在接到书面通知书起七天内支付违约金、赔偿金等。</w:t>
      </w:r>
    </w:p>
    <w:p>
      <w:pPr>
        <w:pStyle w:val="3"/>
        <w:ind w:firstLine="400"/>
        <w:jc w:val="left"/>
      </w:pPr>
      <w:r>
        <w:rPr>
          <w:rFonts w:ascii="宋体" w:hAnsi="宋体" w:eastAsia="宋体" w:cs="宋体"/>
        </w:rPr>
        <w:t>12.6其他未尽事宜，由中标人与采购人在签订合同时进行补充。</w:t>
      </w:r>
    </w:p>
    <w:p>
      <w:pPr>
        <w:pStyle w:val="3"/>
        <w:jc w:val="both"/>
        <w:outlineLvl w:val="2"/>
      </w:pPr>
      <w:r>
        <w:rPr>
          <w:b/>
          <w:sz w:val="28"/>
        </w:rPr>
        <w:t>四、其他事项</w:t>
      </w:r>
    </w:p>
    <w:p>
      <w:pPr>
        <w:pStyle w:val="3"/>
        <w:ind w:firstLine="480"/>
        <w:jc w:val="both"/>
      </w:pPr>
      <w:r>
        <w:t>1、除招标文件另有规定外，若出现有关法律、法规和规章有强制性规定但招标文件未列明的情形，则投标人应按照有关法律、法规和规章强制性规定执行。</w:t>
      </w:r>
    </w:p>
    <w:p>
      <w:pPr>
        <w:pStyle w:val="3"/>
        <w:ind w:firstLine="480"/>
        <w:jc w:val="both"/>
      </w:pPr>
      <w:r>
        <w:t>2、其他：</w:t>
      </w:r>
    </w:p>
    <w:p>
      <w:pPr>
        <w:pStyle w:val="3"/>
        <w:rPr>
          <w:rFonts w:hint="default"/>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uiPriority w:val="0"/>
    <w:pPr>
      <w:jc w:val="both"/>
    </w:pPr>
    <w:rPr>
      <w:rFonts w:ascii="Calibri" w:hAnsi="Calibri" w:eastAsia="宋体" w:cs="黑体"/>
      <w:kern w:val="2"/>
      <w:sz w:val="21"/>
    </w:rPr>
  </w:style>
  <w:style w:type="character" w:default="1" w:styleId="2">
    <w:name w:val="Default Paragraph Font"/>
    <w:semiHidden/>
    <w:unhideWhenUsed/>
    <w:uiPriority w:val="1"/>
  </w:style>
  <w:style w:type="paragraph" w:customStyle="1" w:styleId="3">
    <w:name w:val="null3"/>
    <w:hidden/>
    <w:uiPriority w:val="0"/>
    <w:rPr>
      <w:rFonts w:hint="eastAsia" w:ascii="Calibri" w:hAnsi="Calibri" w:eastAsia="宋体" w:cs="黑体"/>
      <w:lang w:val="en-US"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10658</Words>
  <Characters>14326</Characters>
  <Lines>117</Lines>
  <Paragraphs>33</Paragraphs>
  <TotalTime>0</TotalTime>
  <ScaleCrop>false</ScaleCrop>
  <LinksUpToDate>false</LinksUpToDate>
  <CharactersWithSpaces>0</CharactersWithSpaces>
  <Application>WPS Office 个人版_9.1.0.4619_{F1E327BC-269C-435d-A152-05C5408002CA}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lenovo</cp:lastModifiedBy>
  <dcterms:modified xsi:type="dcterms:W3CDTF">2025-06-06T07:18:37Z</dcterms:modified>
  <dc:title>第五章 招标内容及要求（140万）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2052-9.1.0.4619</vt:lpwstr>
  </property>
  <property fmtid="{D5CDD505-2E9C-101B-9397-08002B2CF9AE}" pid="3" name="ICV">
    <vt:lpwstr>1DF11BE3B0614F7593793AC4C15C213C_12</vt:lpwstr>
  </property>
</Properties>
</file>