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color w:val="auto"/>
          <w:lang w:eastAsia="zh-CN"/>
        </w:rPr>
      </w:pPr>
      <w:bookmarkStart w:id="0" w:name="_GoBack"/>
      <w:bookmarkEnd w:id="0"/>
      <w:r>
        <w:rPr>
          <w:rFonts w:hint="eastAsia" w:ascii="宋体" w:hAnsi="宋体" w:eastAsia="宋体" w:cs="宋体"/>
          <w:b/>
          <w:bCs/>
          <w:color w:val="auto"/>
          <w:lang w:eastAsia="zh-CN"/>
        </w:rPr>
        <w:t>服务内容</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（一）预防性维护</w:t>
      </w:r>
      <w:r>
        <w:rPr>
          <w:rFonts w:hint="eastAsia" w:ascii="宋体" w:hAnsi="宋体" w:eastAsia="宋体" w:cs="宋体"/>
          <w:color w:val="000000"/>
        </w:rPr>
        <w:br w:type="textWrapping"/>
      </w:r>
      <w:r>
        <w:rPr>
          <w:rFonts w:hint="eastAsia" w:ascii="宋体" w:hAnsi="宋体" w:eastAsia="宋体" w:cs="宋体"/>
          <w:color w:val="000000"/>
        </w:rPr>
        <w:t>1. 分级巡检与监控服务</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 xml:space="preserve">    投标人须承诺提供分级、定期的系统巡检与监控服务，以确保系统持续健康运行：</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 xml:space="preserve">   （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巡检记录单。</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2.系统性能优化与健康报告</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（2）至少每季度进行一次系统性能数据分析，识别并解决性能瓶颈，调整系统配置，优化数据库查询，提升系统性能。根据实际情况评估是否需要定期重启服务或服务器，形成记录。。</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3.数据备份恢复保障与验证</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投标人须对系统数据的完整性与可恢复性负全责，并承诺：</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（1）日常备份监控：纳入月度远程巡检，确保备份任务按时、成功完成。定期查看数据备份记录，发现异常需立即汇报项目负责人并及时处理。执行必要的系统和数据库维护任务（如日志清理、索引重建等）。</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（2）定期恢复验证：每季度至少进行一次备份数据的恢复演练测试，并提交《备份恢复验证报告》，确保灾难发生时恢复流程有效。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维护与文档：协助监测数据库服务启动与运行状态；辅助检测数据库当前连接数、最大连接数及空闲连接数，协助排查连接数过高、连接泄露等问题，规避因连接异常影响医院业务系统正常访问的情况；协助医院监控数据库表空间、日志空间使用率，对存储空间不足情况进行辅助预警，保障医院数据存储可用；辅助核查数据备份任务执行时效、备份文件完整性及备份路径有效性，助力医院确保医疗数据可恢复、可追溯，防范数据丢失风险；必要时，协助医院排查数据库日志报错、死锁、慢查询及权限异常等运行问题，并提供《运维服务报告》。</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（二）故障响应与故障处理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1.服务热线与支持渠道</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投标人必须设立并提供7×24小时全年无休的故障报修与服务热线电话，并承诺在服务期内该热线畅通可用。同时，应提供辅助支持渠道（如指定微信、邮箱、医院运维管理软件），并确保及时响应。</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2.远程与本地支持能力、原厂服务资格承诺</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（1）投标人须承诺提供每周5天（与国家法定工作日同步）、每天不少于8小时的即时远程响应与桌面支持服务。</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（2）对于远程或电话沟通无法解决的故障，紧急故障服务人员须在2小时内到达现场，非紧急故障响应时间与医院工作时间同步。</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（3）为保障维保服务的专业性与连贯性，投标人必须承诺提供运维服务的工程师为原厂认证工程师或具备同等资质与经验的核心技术人员，需提供服务工程师简历及资质证书。</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3.故障分级响应时效（SLA）</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P1级（重大故障）：导致业务流程完全中断，影响时长超过15分钟；或对患者生命安全、医院整体诊疗业务造成重大影响的突发事件。须在15分钟内响应，1小时内到场（如需），2小时内恢复业务运行或提供有效备用方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（2）P2级（严重故障）：导致单个科室业务中断，或关键功能失效；或影响科室级别业务。须在30分钟内响应，2小时内到场（如需），4小时内恢复功能。</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4.故障处理流程与记录规范</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（1）投标人须承诺建立并遵循规范的故障处理流程。对无法立即解决的故障，应及时向采购人通报处理进展，并在必要时提供临时解决方案或备用方案。紧急或影响范围较大的故障需协调资源处理。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（2）所有故障（无论级别）的处理过程、措施及结果均须详细记录，以便进行事后分析和改进。按月对日常故障进行分类汇总，设设向项目负责人汇报并形成记录。</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（3）对于P1、P2级（或科室级别、全院级别）故障，须在解决后3个工作日内提交《故障分析报告》，内容须包括事件描述、根本原因分析、影响范围、处理步骤、预防及改进措施。</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5.应急准备与知识管理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（1）投标人须在合同签订后1个月内，制定并提交针对本系统的《重大故障应急响应预案》及《灾难恢复计划》，并承诺定期回顾更新。</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（2）投标人须建立并维护本项目的故障处理知识库，每季度对知识库进行更新和整理，并向采购人项目负责人同步更新摘要。知识库内容应作为服务期满后向采购人移交的文档之一。</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（三）需求管理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1.应用程序问题与需求处理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投标人须对所有涉及应用程序本身的问题及采购人提出的功能优化需求，按以下分级标准承诺处理时效（所有时间自请求被正式受理并书面确认之日起计算）：</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（1）应用程序缺陷（BUG）修复：所有缺陷修复均以书面形式确认，修复时限将依据具体影响范围、紧急程度及是否影响正常业务使用等因素，由双方共同商定确定，原则上修复总周期不超过3个月。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①紧急BUG：指导致业务中断或核心功能不可用的代码级缺陷。须立即启动修改，2小时内启动处理并制定临时方案，24小时内提供修复补丁或明确的修复计划。</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②一般BUG：指非紧急的功能异常或错误。须在3个工作日内提供分析报告与修复方案。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（2）需求变更处理：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①紧急需求：指采购人提出的、需立即响应的功能调整。须立即启动评估，并与采购人共同商定方案，在最短可行时间内完成。</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②简单需求：如界面字段调整、静态报表生成等，须在5个工作日内完成开发与实施。</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③中等难度需求：如涉及简单逻辑修改、动态报表开发等，须在10个工作日内完成开发与实施。</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④复杂需求：如涉及核心流程改造、数据库结构或外部接口变更等。须在20个工作日内完成开发与实施。有特殊情况应及时反馈与采购人，共同确认问题的修改计划。</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⑤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（3）主动监测与缺陷责任：</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2.升级管理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投标人须建立规范的系统升级管理流程。任何涉及应用程序，必须遵循以下规定：</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（1）事前审批：必须提前向采购人提交包含升级内容、详细实施方案、时间计划、风险评估、备份与回滚方案的《升级申请》，获得书面批准后方可在双方约定的时间窗口内实施。</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（2）现场监督与连续作业：实施时须有采购人的系统负责人或指定管理人员在场监督。安装过程应连续进行，直至确认升级成功且系统运行稳定。</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（3）事后报告与责任：实施后须提供《升级实施报告》。因投标人提供的方案错误或操作不当导致系统服务中断、数据丢失或瘫痪的，全部责任由投标人承担，并须立即无偿恢复系统至正常状态。</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3.安全管理与合规配合</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4.服务团队与沟通机制</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（1）投标人须指定一名固定的、具备同类项目2年以上经验的项目经理，作为与采购人的唯一日常对接人，负责协调处理所有服务请求。未经采购人事先书面同意，不得更换项目经理。</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（2）须建立定期（如月度或季度）服务回顾会议机制，汇报服务情况，并接受采购人的服务考核。</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5.文档管理与知识移交</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6.用户支持与培训服务</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7.驻场服务</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投标人提供一名服务工程师(具备同类项目维护工作经验满两年或以上)每周五天以上(至少五天)驻场维护，按照作息时间(工作日上午8:00-12:00，</w:t>
      </w:r>
    </w:p>
    <w:p>
      <w:pPr>
        <w:pStyle w:val="15"/>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下午14:30-17:30)上班，对日常维护问题形成周报汇报项目负责人。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136557F"/>
    <w:rsid w:val="02720839"/>
    <w:rsid w:val="043B10FF"/>
    <w:rsid w:val="066E30C6"/>
    <w:rsid w:val="06F2019A"/>
    <w:rsid w:val="080F6B2A"/>
    <w:rsid w:val="096B4234"/>
    <w:rsid w:val="098F0FA5"/>
    <w:rsid w:val="0AF37145"/>
    <w:rsid w:val="0B112BB9"/>
    <w:rsid w:val="0C831895"/>
    <w:rsid w:val="11286567"/>
    <w:rsid w:val="147E342C"/>
    <w:rsid w:val="15475B55"/>
    <w:rsid w:val="1BE73AF0"/>
    <w:rsid w:val="217A28E4"/>
    <w:rsid w:val="24BC54EC"/>
    <w:rsid w:val="28C83E24"/>
    <w:rsid w:val="2BC41856"/>
    <w:rsid w:val="2C4002BA"/>
    <w:rsid w:val="30B157A3"/>
    <w:rsid w:val="30F027A5"/>
    <w:rsid w:val="315A2315"/>
    <w:rsid w:val="3B8C3A12"/>
    <w:rsid w:val="3DCF25BA"/>
    <w:rsid w:val="3E067AAC"/>
    <w:rsid w:val="46BD6980"/>
    <w:rsid w:val="487C2259"/>
    <w:rsid w:val="4B4A5CF7"/>
    <w:rsid w:val="4C8C73CE"/>
    <w:rsid w:val="537B63EF"/>
    <w:rsid w:val="543F566E"/>
    <w:rsid w:val="581806B0"/>
    <w:rsid w:val="5827444F"/>
    <w:rsid w:val="5E29639C"/>
    <w:rsid w:val="60C70EC5"/>
    <w:rsid w:val="6650370B"/>
    <w:rsid w:val="6DF17A41"/>
    <w:rsid w:val="70117A67"/>
    <w:rsid w:val="7323696A"/>
    <w:rsid w:val="74DD616A"/>
    <w:rsid w:val="751D4E00"/>
    <w:rsid w:val="75B8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0"/>
    <w:rPr>
      <w:b/>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7"/>
    <w:link w:val="5"/>
    <w:semiHidden/>
    <w:qFormat/>
    <w:uiPriority w:val="9"/>
    <w:rPr>
      <w:rFonts w:cstheme="majorBidi"/>
      <w:color w:val="2F5597" w:themeColor="accent1" w:themeShade="BF"/>
      <w:sz w:val="28"/>
      <w:szCs w:val="28"/>
    </w:rPr>
  </w:style>
  <w:style w:type="character" w:customStyle="1" w:styleId="25">
    <w:name w:val="标题 5 字符"/>
    <w:basedOn w:val="17"/>
    <w:link w:val="6"/>
    <w:semiHidden/>
    <w:qFormat/>
    <w:uiPriority w:val="9"/>
    <w:rPr>
      <w:rFonts w:cstheme="majorBidi"/>
      <w:color w:val="2F5597" w:themeColor="accent1" w:themeShade="BF"/>
      <w:sz w:val="24"/>
    </w:rPr>
  </w:style>
  <w:style w:type="character" w:customStyle="1" w:styleId="26">
    <w:name w:val="标题 6 字符"/>
    <w:basedOn w:val="17"/>
    <w:link w:val="7"/>
    <w:semiHidden/>
    <w:qFormat/>
    <w:uiPriority w:val="9"/>
    <w:rPr>
      <w:rFonts w:cstheme="majorBidi"/>
      <w:b/>
      <w:bCs/>
      <w:color w:val="2F5597" w:themeColor="accent1" w:themeShade="BF"/>
    </w:rPr>
  </w:style>
  <w:style w:type="character" w:customStyle="1" w:styleId="27">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7"/>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7"/>
    <w:link w:val="36"/>
    <w:qFormat/>
    <w:uiPriority w:val="30"/>
    <w:rPr>
      <w:i/>
      <w:iCs/>
      <w:color w:val="2F5597" w:themeColor="accent1" w:themeShade="BF"/>
    </w:rPr>
  </w:style>
  <w:style w:type="character" w:customStyle="1" w:styleId="38">
    <w:name w:val="Intense Reference"/>
    <w:basedOn w:val="17"/>
    <w:qFormat/>
    <w:uiPriority w:val="32"/>
    <w:rPr>
      <w:b/>
      <w:bCs/>
      <w:smallCaps/>
      <w:color w:val="2F5597" w:themeColor="accent1" w:themeShade="BF"/>
      <w:spacing w:val="5"/>
    </w:rPr>
  </w:style>
  <w:style w:type="character" w:customStyle="1" w:styleId="39">
    <w:name w:val="页眉 字符"/>
    <w:basedOn w:val="17"/>
    <w:link w:val="13"/>
    <w:qFormat/>
    <w:uiPriority w:val="99"/>
    <w:rPr>
      <w:sz w:val="18"/>
      <w:szCs w:val="18"/>
    </w:rPr>
  </w:style>
  <w:style w:type="character" w:customStyle="1" w:styleId="40">
    <w:name w:val="页脚 字符"/>
    <w:basedOn w:val="17"/>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3792</Words>
  <Characters>3836</Characters>
  <Lines>14</Lines>
  <Paragraphs>3</Paragraphs>
  <TotalTime>0</TotalTime>
  <ScaleCrop>false</ScaleCrop>
  <LinksUpToDate>false</LinksUpToDate>
  <CharactersWithSpaces>3845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2026-03-31T02:39:50Z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eyJoZGlkIjoiMjU0NzA3NzU0M2Y2YzEwNTFjMWFiYzdhZGM0YjE3OTQiLCJ1c2VySWQiOiIxNzc5Nzg2ODMxIn0=</vt:lpwstr>
  </property>
  <property fmtid="{D5CDD505-2E9C-101B-9397-08002B2CF9AE}" pid="4" name="ICV">
    <vt:lpwstr>427FAE7B56DC4D76AA0796A06D319B0F_12</vt:lpwstr>
  </property>
</Properties>
</file>