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02BA">
      <w:pPr>
        <w:pStyle w:val="3"/>
        <w:jc w:val="center"/>
        <w:rPr>
          <w:rFonts w:hint="eastAsia"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highlight w:val="none"/>
          <w:lang w:eastAsia="zh-CN"/>
        </w:rPr>
        <w:t>服务内容</w:t>
      </w:r>
    </w:p>
    <w:tbl>
      <w:tblPr>
        <w:tblStyle w:val="14"/>
        <w:tblW w:w="9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60"/>
        <w:gridCol w:w="6952"/>
        <w:gridCol w:w="629"/>
        <w:gridCol w:w="496"/>
      </w:tblGrid>
      <w:tr w14:paraId="140E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6DD4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9EFE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F84A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设备参数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A3F7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AEF1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 w14:paraId="7178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D8D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76E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LED显示屏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8FE6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1、像素构成：SMD表贴三合一；</w:t>
            </w:r>
          </w:p>
          <w:p w14:paraId="6D3EADC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2、像素间距≤2.5mm，模组尺寸320*160mm，显示屏尺寸：宽10.24m，高2.08m（该尺寸为安装现场实际测量尺寸，最终以现场实测为准）；</w:t>
            </w:r>
          </w:p>
          <w:p w14:paraId="1F8E3BE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3、像素密度≥160000点/㎡；</w:t>
            </w:r>
          </w:p>
          <w:p w14:paraId="785099F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4、色温≥3000K-15000K可调，亮度≥4000nits。亮度均匀性≥97%，模组整体平衡度≤0.12mm，刷新率≥3840Hz，换帧频率50&amp;60Hz；</w:t>
            </w:r>
          </w:p>
          <w:p w14:paraId="7D6F68BD"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5、对比度≥5000:1，灰度等级≥16bit,色域覆盖率≥100%；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C61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21.3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805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㎡</w:t>
            </w:r>
          </w:p>
        </w:tc>
      </w:tr>
      <w:tr w14:paraId="6746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238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5EBD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视频接收卡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0C77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1、单卡最大带载分辨率 ≥512×512@60Hz；</w:t>
            </w:r>
          </w:p>
          <w:p w14:paraId="71EA4D8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2、采用≥12个HUB75E接口进行通讯，最多支持24组RGB并行数据；</w:t>
            </w:r>
          </w:p>
          <w:p w14:paraId="08A7E5E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3、可配合支持3D功能的独立主控，在软件或独立主控的操作面板上开启3D功能，并设置3D参数，使画面显示3D效果；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FCB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266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 w14:paraId="1299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F8B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557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视频处理器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D3F6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1、输入接口包括≥1路HDMI2.0+LOOP,≥2路HDMI1.3，≥1路USB3.0，支持选配≥1路3G-SDI（IN+LOOP），最大支持4096*2160@60HZ信号输入；</w:t>
            </w:r>
          </w:p>
          <w:p w14:paraId="2591750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2、视频输出支持≥8个千兆网口输出，≥1路10G-OPT光口，最大带载高达520万像素，最宽支持10240,最高8192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；</w:t>
            </w:r>
          </w:p>
          <w:p w14:paraId="0D2E6E0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3、最大可支持≥6个2K图层或≥1个4K图层+2个2K图层，全部图层大小和位置可单独调节。4K接口输入2K图层，按2K图层计算图层资源；</w:t>
            </w:r>
          </w:p>
          <w:p w14:paraId="5FE83EB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4、集成发送卡和视频处理器功能，连线更少，设备集成度更高，稳定性兼容性大大提升；</w:t>
            </w:r>
          </w:p>
          <w:p w14:paraId="2BCBFF6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5、支持U盘即插即播功能，最大支持4K级（3840*2160@60fps）图片和视频的流畅播放，播放列表计切换效果支持自定义编排，最多支持20余种图片切换特效；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BE8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C64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</w:t>
            </w:r>
          </w:p>
        </w:tc>
      </w:tr>
      <w:tr w14:paraId="173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55B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7A26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音柱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97C3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1、球顶高音≥4寸全频单元组成二段分频，声音清晰，频响更宽；</w:t>
            </w:r>
          </w:p>
          <w:p w14:paraId="0D82A57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2、钟形腔体结构，增加柱体强度，减少壳体谐振；</w:t>
            </w:r>
          </w:p>
          <w:p w14:paraId="056066F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3、防水设计，铝质面网，壳体材料采用耐候工程塑料ASA，长期使用不变色、不老化；</w:t>
            </w:r>
          </w:p>
          <w:p w14:paraId="215461A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4.、新颖时尚外观，使环境更具现代气息；</w:t>
            </w:r>
          </w:p>
          <w:p w14:paraId="605B448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5、全音域多功率选择，悬边阻尼处理，寿命长；</w:t>
            </w:r>
          </w:p>
          <w:p w14:paraId="30775B6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6、灵敏度高，指向性强，频率响应宽</w:t>
            </w:r>
          </w:p>
          <w:p w14:paraId="740FA0A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7、广播音箱输入电压可选70V/100V适应不同的线路选择</w:t>
            </w:r>
          </w:p>
          <w:p w14:paraId="0E2A3A0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8、单元组成：≥0.75"+≥4"*4；</w:t>
            </w:r>
          </w:p>
          <w:p w14:paraId="4331140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9、额定功率：≥60W；</w:t>
            </w:r>
          </w:p>
          <w:p w14:paraId="445742F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10、灵敏度(1m,1W) ：90dB±2dB；</w:t>
            </w:r>
          </w:p>
          <w:p w14:paraId="1624EFF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11、频率响应：100~18000Hz；</w:t>
            </w:r>
          </w:p>
          <w:p w14:paraId="19AA5CA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12、.最大声压级：≥106dB±2dB。   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E5B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444D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只</w:t>
            </w:r>
          </w:p>
        </w:tc>
      </w:tr>
      <w:tr w14:paraId="746B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D80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8553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数字功放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2D43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1、内置噪声门阀值管理机制，有效消弱信号杂音，降低输出静噪；</w:t>
            </w:r>
          </w:p>
          <w:p w14:paraId="4771CEA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2、内置智能电源管理功能，无信号自动进入待机状态，节能环保；</w:t>
            </w:r>
          </w:p>
          <w:p w14:paraId="4E970E5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3、带MP3播放器，可播放U盘、SD卡内的音频节目，最大可支持32G；</w:t>
            </w:r>
          </w:p>
          <w:p w14:paraId="455C0D6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4、带FM收音功能，可接收频率88-108MHz电台节目；</w:t>
            </w:r>
          </w:p>
          <w:p w14:paraId="455632B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5、自带蓝牙播放功能，可连接手机蓝牙播放音乐；</w:t>
            </w:r>
          </w:p>
          <w:p w14:paraId="2E47CE55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6、自带广播/背景音乐≥6分区管理控制功能，设≥6个独立按键开关并有对应状态显示灯；</w:t>
            </w:r>
          </w:p>
          <w:p w14:paraId="6D1BF63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7、具备≥1路MASTER总输出音量控制旋钮，可统一控制话筒、线路音量输出；</w:t>
            </w:r>
          </w:p>
          <w:p w14:paraId="6793216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8、具备≥2路参量均衡调节旋钮，可根据歌曲调节高、低音部分均衡，改善音乐播放质量；</w:t>
            </w:r>
          </w:p>
          <w:p w14:paraId="6D7F7DD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9、≥6路音源输入，其中≥3路标准线路输入接口，≥3路标准话筒输入接口，≥1路音源输出，可环接至下一台功放音频输入接口；</w:t>
            </w:r>
          </w:p>
          <w:p w14:paraId="7038D65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10、MIC3具最高优先权，信号输入时自动默音，结型FET进行优先级转换，保证在默音过程中信号不失真；</w:t>
            </w:r>
          </w:p>
          <w:p w14:paraId="42F50E8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11、支持线路输出，可环接到下一级信号类型设备；</w:t>
            </w:r>
          </w:p>
          <w:p w14:paraId="6765667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12、支持70V、100V、4-16Ω输出，满足不同场合使用；</w:t>
            </w:r>
          </w:p>
          <w:p w14:paraId="556E20E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13、集成多状态显示灯，包括≥5个信号指示，≥1个保护指示，≥1个CLIP失真指示，≥1个电源指；</w:t>
            </w:r>
          </w:p>
          <w:p w14:paraId="2F24E55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14、产品需集成完善的温度保护功能，当机器温度升高时，温度伺服电路会启动加速风扇，起到设备降温作用；</w:t>
            </w:r>
          </w:p>
          <w:p w14:paraId="3F93CCC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15、综合交叉音色补偿电路，对线间变压器所造成的高频损失进行修正，使线电压上的信号频谱曲线平直；</w:t>
            </w:r>
          </w:p>
          <w:p w14:paraId="031DC82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16、高倍频程低音切除电路，采用带音色补偿的低切技术；</w:t>
            </w:r>
          </w:p>
          <w:p w14:paraId="643E889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17、额定功率：≥240W。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ED1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9D9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</w:t>
            </w:r>
          </w:p>
        </w:tc>
      </w:tr>
      <w:tr w14:paraId="4498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ABAA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296D5">
            <w:pPr>
              <w:spacing w:beforeLines="0" w:afterLines="0"/>
              <w:jc w:val="center"/>
              <w:rPr>
                <w:rFonts w:hint="default" w:ascii="宋体" w:hAnsi="宋体"/>
                <w:color w:val="auto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  <w:t>控制系统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D534E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1、产品高度：≤2U；</w:t>
            </w:r>
          </w:p>
          <w:p w14:paraId="6571DD0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2、主菜单：显示屏上显示主页、电压、监测、网络、定时、遥控、延时、级联、屏保、信息；</w:t>
            </w:r>
          </w:p>
          <w:p w14:paraId="722CAD6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3、支持通道用电监测：可实时显示每一路的工作电流，整机负载耗电的功率统计；</w:t>
            </w:r>
          </w:p>
          <w:p w14:paraId="5D96588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4、童锁设置：支持童锁设置，能预防非专业人员误操作设备，童锁开启后，主页面亮起黄色锁头标志，此时面板功能被锁定；</w:t>
            </w:r>
          </w:p>
          <w:p w14:paraId="26ACC17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5、手机远程控制：可通过手机APP可远程异地同步控制开关电源，每一路负载会上传使用电流，电压，温度和湿度到服务器，用户可打开手机异地监测并控制；</w:t>
            </w:r>
          </w:p>
          <w:p w14:paraId="078609E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6、主页面：显示当前北京时间、设备当前IP地址、童锁状态、联网状态、菜单页入口、说明书和小程序二维码入口、设备当前的工作电压、耗电功率、温度和湿度、八通道的工作状态。</w:t>
            </w:r>
          </w:p>
          <w:p w14:paraId="4EF761F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7、设备设置：可根据项目地点命名设备，每通道负载也可自定义命名，更直观更方便管理设备；</w:t>
            </w:r>
          </w:p>
          <w:p w14:paraId="1D548B05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8、物联网设置功能：自动搜寻网络、选择网络、连接网络、本机IP显示，校准时间；</w:t>
            </w:r>
          </w:p>
          <w:p w14:paraId="27288AF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9、设备信息：可查看设备编号、工作时长及累计用电量；</w:t>
            </w:r>
          </w:p>
          <w:p w14:paraId="6BD6FEB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10、配置管理员：用户通过手机微信扫描二维码绑定设备，绑定后成为设备管理员，管理员可自由分配控制用户。设备绑定后二维码立即失效保证远程控制安全性；</w:t>
            </w:r>
          </w:p>
          <w:p w14:paraId="784A280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11、控制墙板：可选配触摸墙板，远程控制通道、场景编辑，多种模式切换控制，自定义编辑场景，双向数据同步，支持掉线提醒，设备连接中断会弹窗提醒；</w:t>
            </w:r>
          </w:p>
          <w:p w14:paraId="20C042F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12、USB、DATA接口：≥2路USB接口，≥2路DATA接口；提供该设备以上端口界面截图；</w:t>
            </w:r>
          </w:p>
          <w:p w14:paraId="52E6BBD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13、RJ45插座：≥1路LINKIN，≥1路LINK OUT，≥1路RS232/485，1路TCP/IP；</w:t>
            </w:r>
          </w:p>
          <w:p w14:paraId="0B9216F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14、433射频遥控：可支持射频遥控器在遮挡情况下可控制时序开启或关闭所有通道。</w:t>
            </w:r>
          </w:p>
          <w:p w14:paraId="4C28CE7E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15、红外遥控：可支持红外遥控器开启或关闭所有通道。</w:t>
            </w:r>
          </w:p>
          <w:p w14:paraId="1A3CFED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16、启动方式：支持电源开关时序启动，支持红外遥控启动、支持433射频遥控启动、支持移动终端控制启动，支持PC端控制启动；</w:t>
            </w:r>
          </w:p>
          <w:p w14:paraId="775363C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17、支持电压保护：支持高低压保护设置，当工作电压超过或低于预设值时，会自动断电并弹窗报警提示</w:t>
            </w:r>
          </w:p>
          <w:p w14:paraId="7C5D9A9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18、定位功能：设备支持定位扩展功能，可通过电脑读取到该设备所在的经纬度、海拔和工作时长等信息，以了解无线信号传输稳定性；</w:t>
            </w:r>
          </w:p>
          <w:p w14:paraId="69A17EDD">
            <w:pPr>
              <w:spacing w:beforeLines="0" w:afterLines="0"/>
              <w:jc w:val="left"/>
              <w:rPr>
                <w:rFonts w:hint="eastAsia" w:ascii="宋体" w:hAnsi="宋体" w:eastAsia="宋体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19、可通过电脑软件集中管理内网设备，可实现一键开关机，自定义编辑场景模式并快捷切换场景，可自定义编辑设备名称、通道名称、场景名称</w:t>
            </w:r>
            <w:r>
              <w:rPr>
                <w:rFonts w:hint="eastAsia" w:ascii="宋体" w:hAnsi="宋体"/>
                <w:color w:val="auto"/>
                <w:sz w:val="20"/>
                <w:szCs w:val="24"/>
                <w:lang w:eastAsia="zh-CN"/>
              </w:rPr>
              <w:t>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D022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06AE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套</w:t>
            </w:r>
          </w:p>
        </w:tc>
      </w:tr>
      <w:tr w14:paraId="0D7F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EE7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4E0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防雷系统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4AF16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1、标称工作电压(Un)：380VAC，标称放电电流(In)：≥80KA，最大通流容量(Imax)：≥160KA；</w:t>
            </w:r>
          </w:p>
          <w:p w14:paraId="70E8F234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2、最大持续运行电压(Uc)：L-N：385V，N-PE：255V；</w:t>
            </w:r>
          </w:p>
          <w:p w14:paraId="49CA1B9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3、电压保护水平(Up)：L-N：Up≤2.5KV，N-PE：Up≤1.5KV；</w:t>
            </w:r>
          </w:p>
          <w:p w14:paraId="1065D9C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4、保护方式：L1、L2、L3，N-PE；防护等级：IP20；</w:t>
            </w:r>
          </w:p>
          <w:p w14:paraId="3146DEDC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5、响应时间（Ta）:≤25ns；</w:t>
            </w:r>
          </w:p>
          <w:p w14:paraId="78589D2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6、对于仅连接至N-PE的SPD模式，将SPD的端子连接到最大持续工作电压Uc的电源，电流的阻性分量不超过1mA。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55E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CA9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 w14:paraId="5BEC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EEA02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AAA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配电箱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EFD1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1、额定功率：≥30KW，具备PLC智能控制功能，保证系统供电的便捷性与可靠性；</w:t>
            </w:r>
          </w:p>
          <w:p w14:paraId="5E6D8039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2、通讯接口：支持RJ45（以太网）和RS485通讯协议，可接入中控系统实现远程集中管控；</w:t>
            </w:r>
          </w:p>
          <w:p w14:paraId="1D12E7F5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3、电力保护：采用“分步加电”逐级上电方式，避免大负载对电网造成瞬时冲击；</w:t>
            </w:r>
          </w:p>
          <w:p w14:paraId="0CEC435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4、安全保护：具备过流、过压、短路、漏电保护功能，符合相关电气安全规范。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2E6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6EC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 w14:paraId="4754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DBD8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2D33CA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边框装饰</w:t>
            </w:r>
            <w:r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  <w:t>工程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B1F8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钢结构系统技术要求</w:t>
            </w:r>
          </w:p>
          <w:p w14:paraId="08DDEED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结构安全等级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二级</w:t>
            </w:r>
          </w:p>
          <w:p w14:paraId="00DA3058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设计使用年限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50年</w:t>
            </w:r>
          </w:p>
          <w:p w14:paraId="37E1FC5E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抗震设防烈度</w:t>
            </w:r>
            <w:r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7度</w:t>
            </w:r>
          </w:p>
          <w:p w14:paraId="1DF2D356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场地类别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Ⅱ类</w:t>
            </w:r>
          </w:p>
          <w:p w14:paraId="47836A83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基本风压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0.70kN/m²（50年一遇）</w:t>
            </w:r>
          </w:p>
          <w:p w14:paraId="7CA9AA6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荷载标准值</w:t>
            </w:r>
          </w:p>
          <w:p w14:paraId="5275038A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钢结构设计荷载须符合以下标准值：</w:t>
            </w:r>
          </w:p>
          <w:p w14:paraId="2C70CF4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主要构件规格</w:t>
            </w:r>
          </w:p>
          <w:p w14:paraId="2CF59133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钢结构主要构件规格须符合以下要求：</w:t>
            </w:r>
          </w:p>
          <w:p w14:paraId="4EC53D7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构件名称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构件代号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材料规格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材质</w:t>
            </w:r>
          </w:p>
          <w:p w14:paraId="076422A1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钢柱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GZ1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□80×6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Q235B</w:t>
            </w:r>
          </w:p>
          <w:p w14:paraId="72EC229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钢梁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GL1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□80×6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Q235B</w:t>
            </w:r>
          </w:p>
          <w:p w14:paraId="76F1143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斜撑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XC1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□80×6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Q235B</w:t>
            </w:r>
          </w:p>
          <w:p w14:paraId="1C5DFD01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钢梁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GL2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□40×60×3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Q235B</w:t>
            </w:r>
          </w:p>
          <w:p w14:paraId="5179E3F3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基础设计要求</w:t>
            </w:r>
          </w:p>
          <w:p w14:paraId="51CCE1B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基础采用钢筋混凝土独立基础，混凝土强度等级C30，钢筋采用HRB400。基础落于地下室顶板上，基础底至顶板范围采用砂石换填，压实系数不小于0.97。基础设计须满足</w:t>
            </w:r>
            <w:r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  <w:t>大于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50年设计使用年限要求。</w:t>
            </w:r>
          </w:p>
          <w:p w14:paraId="0D5855AA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柱脚设计须符合以下要求：</w:t>
            </w:r>
          </w:p>
          <w:p w14:paraId="71A97D68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项目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技术要求</w:t>
            </w:r>
          </w:p>
          <w:p w14:paraId="4AB36A8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柱脚形式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C20素砼包裹柱脚防护</w:t>
            </w:r>
          </w:p>
          <w:p w14:paraId="03D0970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锚筋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4Φ18锚筋，锚筋与锚板穿孔塞焊</w:t>
            </w:r>
          </w:p>
          <w:p w14:paraId="0A99F43F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基础混凝土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C30混凝土，钢筋HRB400</w:t>
            </w:r>
          </w:p>
          <w:p w14:paraId="0C805EEB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垫层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C20素混凝土垫层</w:t>
            </w:r>
          </w:p>
          <w:p w14:paraId="7678AAB0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钢筋配置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Φ14@150，Φ12@200</w:t>
            </w:r>
          </w:p>
          <w:p w14:paraId="211D018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焊接材料要求</w:t>
            </w:r>
          </w:p>
          <w:p w14:paraId="4FC90352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焊接材料须符合以下要求：</w:t>
            </w:r>
          </w:p>
          <w:p w14:paraId="6DB0FB51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钢材类型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焊条型号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执行标准</w:t>
            </w:r>
          </w:p>
          <w:p w14:paraId="251A0C1B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I级钢筋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E4315、E4316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GB/T5117-2012</w:t>
            </w:r>
          </w:p>
          <w:p w14:paraId="1A6BE02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II级钢筋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E5015、E5016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GB/T5117-2012</w:t>
            </w:r>
          </w:p>
          <w:p w14:paraId="748EDE7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Q235B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E43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GB/T5117-2012</w:t>
            </w:r>
          </w:p>
          <w:p w14:paraId="71ED516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Q355钢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50型焊条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GB/T5117-2012</w:t>
            </w:r>
          </w:p>
          <w:p w14:paraId="42DA4452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埋弧焊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HJ401、H08A、H08Mn2Si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GB/T5293</w:t>
            </w:r>
          </w:p>
          <w:p w14:paraId="2BE0A5F2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 xml:space="preserve"> 焊缝质量要求</w:t>
            </w:r>
          </w:p>
          <w:p w14:paraId="10882613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所有非施工图示构件拼接用对接焊缝质量应达到二级。图中未注明的焊脚尺寸均为6mm。焊缝外观应均匀、平整，不得有裂纹、夹渣、气孔等缺陷。</w:t>
            </w:r>
          </w:p>
          <w:p w14:paraId="350DC834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 xml:space="preserve"> 螺栓连接要求</w:t>
            </w:r>
          </w:p>
          <w:p w14:paraId="5BAC6A8B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钢结构与主体结构连接件需采用GB10.9级或S10T级摩擦型高强度螺栓。高强螺栓结合面不得涂漆，采用喷砂后生赤锈处理法。摩擦面抗滑移系数≥0.45（钢材为Q355）或≥0.35（钢材为Q235）。</w:t>
            </w:r>
          </w:p>
          <w:p w14:paraId="0DC01230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 xml:space="preserve"> 防腐涂装要求</w:t>
            </w:r>
          </w:p>
          <w:p w14:paraId="649CA41F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钢结构防腐涂装须满足以下要求：</w:t>
            </w:r>
          </w:p>
          <w:p w14:paraId="72138290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涂层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材料及厚度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技术要求</w:t>
            </w:r>
          </w:p>
          <w:p w14:paraId="7541636A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底漆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环氧富锌底漆二道，厚度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80μm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钢材表面除锈等级Sa2.5级</w:t>
            </w:r>
          </w:p>
          <w:p w14:paraId="081BDDA0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中间漆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环氧云铁中间漆一道，厚度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130μm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增加涂层厚度及附着力</w:t>
            </w:r>
          </w:p>
          <w:p w14:paraId="61F58BFB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面漆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聚氨酯面漆二道，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厚度70μm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应符合JT/T722-2023中JC5环境下SO3体系要求</w:t>
            </w:r>
          </w:p>
          <w:p w14:paraId="297624AD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总厚度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≥280μm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涂层厚度用磁性测厚仪测定</w:t>
            </w:r>
          </w:p>
          <w:p w14:paraId="4EA385B5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电气系统技术要求</w:t>
            </w:r>
          </w:p>
          <w:p w14:paraId="16D23A70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防雷接地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三级防雷，接地电阻≤4Ω</w:t>
            </w:r>
          </w:p>
          <w:p w14:paraId="3DE8E22D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线缆预留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强电电缆铺设到每块显示屏后部检修门内，预留</w:t>
            </w:r>
            <w:r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10米</w:t>
            </w:r>
          </w:p>
          <w:p w14:paraId="108688C1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控制系统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支持远程控制、定时开关、内容管理</w:t>
            </w:r>
          </w:p>
          <w:p w14:paraId="7BD1D531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材料规格要求</w:t>
            </w:r>
          </w:p>
          <w:p w14:paraId="14E74EC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材料名称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规格要求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性能指标</w:t>
            </w:r>
          </w:p>
          <w:p w14:paraId="36E2FD6E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不锈钢收边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304不锈钢，宽度≥50mm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表面拉丝/镜面处理</w:t>
            </w:r>
          </w:p>
          <w:p w14:paraId="7DE70536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密封胶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中性硅酮结构胶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耐候性≥20年</w:t>
            </w:r>
          </w:p>
          <w:p w14:paraId="261FB7F8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施工要求</w:t>
            </w:r>
          </w:p>
          <w:p w14:paraId="6D23E864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施工场地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位于医院心血管大楼侧边花圃区域，需保护周边绿化</w:t>
            </w:r>
          </w:p>
          <w:p w14:paraId="71AF2C06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施工时间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须避开医院重大活动时段，减少对医院正常运营影响</w:t>
            </w:r>
          </w:p>
          <w:p w14:paraId="6A3A3D36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噪音控制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施工噪音须符合GB 12523标准，昼间≤70dB，夜间≤55dB</w:t>
            </w:r>
          </w:p>
          <w:p w14:paraId="6A16E2C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交通组织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施工车辆须按医院指定路线进出，不得影响急救通道</w:t>
            </w:r>
          </w:p>
          <w:p w14:paraId="221EDC76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安全防护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须设置施工围挡，确保医患人员安全</w:t>
            </w:r>
          </w:p>
          <w:p w14:paraId="0D34D083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 xml:space="preserve"> 钢结构安装工艺</w:t>
            </w:r>
          </w:p>
          <w:p w14:paraId="25F9D218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构件加工须严格按照设计图纸进行，所有钢管均应密闭处理，未注明端部封板均为PL-6。除特殊注明外，所有构件材质均为Q235B。本工程所有尺寸及标高均应核对建筑方案效果及建筑施工图，确认满足建筑方案效果及相关要求后方可施工。</w:t>
            </w:r>
          </w:p>
          <w:p w14:paraId="4F95CCBB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 xml:space="preserve"> 安装精度要求</w:t>
            </w:r>
          </w:p>
          <w:p w14:paraId="76EA0B82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钢结构安装精度须符合以下要求：</w:t>
            </w:r>
          </w:p>
          <w:p w14:paraId="508D2FFE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检测项目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允许偏差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检测方法</w:t>
            </w:r>
          </w:p>
          <w:p w14:paraId="79D616D9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柱脚锚栓定位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±2mm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经纬仪测量</w:t>
            </w:r>
          </w:p>
          <w:p w14:paraId="708EF184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柱垂直度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H/1000且≤10mm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经纬仪或吊线测量</w:t>
            </w:r>
          </w:p>
          <w:p w14:paraId="5276DABC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梁水平度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L/1000且≤10mm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水平仪测量</w:t>
            </w:r>
          </w:p>
          <w:p w14:paraId="19EF74C7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柱顶标高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±5mm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水准仪测量</w:t>
            </w:r>
          </w:p>
          <w:p w14:paraId="62E36E0F">
            <w:pPr>
              <w:spacing w:beforeLines="0" w:afterLines="0"/>
              <w:jc w:val="left"/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轴线位移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±5mm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经纬仪测量</w:t>
            </w:r>
          </w:p>
          <w:p w14:paraId="6FD88E7B">
            <w:pPr>
              <w:spacing w:beforeLines="0" w:afterLines="0"/>
              <w:jc w:val="left"/>
              <w:rPr>
                <w:rFonts w:hint="eastAsia" w:ascii="宋体" w:hAnsi="宋体" w:eastAsia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钢结构系统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>结构安全、防腐防锈≥5年</w:t>
            </w:r>
            <w:r>
              <w:rPr>
                <w:rFonts w:hint="default" w:ascii="宋体" w:hAnsi="宋体" w:eastAsia="宋体"/>
                <w:color w:val="auto"/>
                <w:sz w:val="20"/>
                <w:szCs w:val="24"/>
                <w:lang w:val="en-US" w:eastAsia="zh-CN"/>
              </w:rPr>
              <w:tab/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C28CF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60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73F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㎡</w:t>
            </w:r>
          </w:p>
        </w:tc>
      </w:tr>
      <w:tr w14:paraId="7DA5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3731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DE781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散热系统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857A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1、‌匹数‌：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1.5匹，壁挂式，‌电源电压‌：220V；</w:t>
            </w:r>
          </w:p>
          <w:p w14:paraId="034C898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2、‌制冷量‌：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‌35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0W‌，能效等级≥2级；</w:t>
            </w:r>
          </w:p>
          <w:p w14:paraId="3F37D035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3、‌噪音水平‌：≤25dB(A)。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8A1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D6339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套</w:t>
            </w:r>
          </w:p>
        </w:tc>
      </w:tr>
      <w:tr w14:paraId="7D06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1DF9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B01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辅材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BD26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含屏幕所需的电缆、网线、视频线缆、五金件及安装所需的脚手架、安装件等辅材；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E22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C94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</w:t>
            </w:r>
          </w:p>
        </w:tc>
      </w:tr>
      <w:tr w14:paraId="28BC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C12EB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3A287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其他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1050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包括但不限于播控软件等符合网络安全等级保护2.0的3级要求及信创要求。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F251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14C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</w:t>
            </w:r>
          </w:p>
        </w:tc>
      </w:tr>
    </w:tbl>
    <w:p w14:paraId="42A27DBB">
      <w:pPr>
        <w:rPr>
          <w:rFonts w:hint="eastAsia"/>
          <w:lang w:val="en-US" w:eastAsia="zh-CN"/>
        </w:rPr>
      </w:pPr>
    </w:p>
    <w:p w14:paraId="553BFEBC">
      <w:pPr>
        <w:pStyle w:val="19"/>
        <w:spacing w:line="360" w:lineRule="auto"/>
        <w:jc w:val="both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349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B0B0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B1E2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CB1E2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c2NzgzNTY0ZGZkODYxNmE1MGI3MmJjYjkwMzgifQ=="/>
  </w:docVars>
  <w:rsids>
    <w:rsidRoot w:val="003A6FE9"/>
    <w:rsid w:val="00172E78"/>
    <w:rsid w:val="00301C5A"/>
    <w:rsid w:val="00364727"/>
    <w:rsid w:val="003A6FE9"/>
    <w:rsid w:val="003E779E"/>
    <w:rsid w:val="004F1A93"/>
    <w:rsid w:val="00522F44"/>
    <w:rsid w:val="009F3539"/>
    <w:rsid w:val="00BB79EE"/>
    <w:rsid w:val="00BF6572"/>
    <w:rsid w:val="00D51505"/>
    <w:rsid w:val="01F1594A"/>
    <w:rsid w:val="04D53301"/>
    <w:rsid w:val="0EC00B7E"/>
    <w:rsid w:val="12AE1041"/>
    <w:rsid w:val="148B7538"/>
    <w:rsid w:val="17AB1930"/>
    <w:rsid w:val="1B4A1EFB"/>
    <w:rsid w:val="1D171E50"/>
    <w:rsid w:val="1E5168F8"/>
    <w:rsid w:val="1E8314EF"/>
    <w:rsid w:val="22D03AAD"/>
    <w:rsid w:val="23F33732"/>
    <w:rsid w:val="2D650F8A"/>
    <w:rsid w:val="2EE93928"/>
    <w:rsid w:val="31636F3C"/>
    <w:rsid w:val="324059AE"/>
    <w:rsid w:val="325B1369"/>
    <w:rsid w:val="34C603ED"/>
    <w:rsid w:val="34D32B0A"/>
    <w:rsid w:val="372143CD"/>
    <w:rsid w:val="38BD1B07"/>
    <w:rsid w:val="3A143623"/>
    <w:rsid w:val="3B3A743F"/>
    <w:rsid w:val="3BF14242"/>
    <w:rsid w:val="40692574"/>
    <w:rsid w:val="45DE130F"/>
    <w:rsid w:val="4A7D4020"/>
    <w:rsid w:val="4ACC3E2B"/>
    <w:rsid w:val="4D4F1F85"/>
    <w:rsid w:val="4EFD0A57"/>
    <w:rsid w:val="4FD9320F"/>
    <w:rsid w:val="518E0B11"/>
    <w:rsid w:val="51D22043"/>
    <w:rsid w:val="563F1955"/>
    <w:rsid w:val="569021B1"/>
    <w:rsid w:val="573E7E5F"/>
    <w:rsid w:val="576F626A"/>
    <w:rsid w:val="59100F00"/>
    <w:rsid w:val="5AC16DDD"/>
    <w:rsid w:val="5C7835C7"/>
    <w:rsid w:val="5DB669A1"/>
    <w:rsid w:val="5F502014"/>
    <w:rsid w:val="619F774C"/>
    <w:rsid w:val="653A7EB8"/>
    <w:rsid w:val="6AB029CA"/>
    <w:rsid w:val="6CCF5389"/>
    <w:rsid w:val="6F156ECC"/>
    <w:rsid w:val="6FFB5039"/>
    <w:rsid w:val="71685DAD"/>
    <w:rsid w:val="79B24069"/>
    <w:rsid w:val="7C2C0985"/>
    <w:rsid w:val="7E674562"/>
    <w:rsid w:val="7FA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bCs/>
      <w:kern w:val="0"/>
      <w:sz w:val="27"/>
      <w:szCs w:val="27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1"/>
    <w:qFormat/>
    <w:uiPriority w:val="0"/>
    <w:pPr>
      <w:jc w:val="left"/>
    </w:pPr>
  </w:style>
  <w:style w:type="paragraph" w:styleId="8">
    <w:name w:val="Body Text Indent 2"/>
    <w:basedOn w:val="1"/>
    <w:semiHidden/>
    <w:qFormat/>
    <w:uiPriority w:val="0"/>
    <w:pPr>
      <w:spacing w:after="120" w:line="480" w:lineRule="auto"/>
      <w:ind w:left="420" w:leftChars="200"/>
      <w:jc w:val="left"/>
    </w:pPr>
    <w:rPr>
      <w:rFonts w:ascii="Arial" w:hAnsi="Arial"/>
      <w:color w:val="1D1B11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7"/>
    <w:next w:val="7"/>
    <w:link w:val="22"/>
    <w:qFormat/>
    <w:uiPriority w:val="0"/>
    <w:rPr>
      <w:b/>
      <w:bCs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文字 Char"/>
    <w:basedOn w:val="15"/>
    <w:link w:val="7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22">
    <w:name w:val="批注主题 Char"/>
    <w:basedOn w:val="21"/>
    <w:link w:val="13"/>
    <w:qFormat/>
    <w:uiPriority w:val="0"/>
    <w:rPr>
      <w:rFonts w:ascii="Calibri" w:hAnsi="Calibri" w:cs="黑体"/>
      <w:b/>
      <w:bCs/>
      <w:kern w:val="2"/>
      <w:sz w:val="21"/>
      <w:szCs w:val="24"/>
    </w:rPr>
  </w:style>
  <w:style w:type="character" w:customStyle="1" w:styleId="23">
    <w:name w:val="批注框文本 Char"/>
    <w:basedOn w:val="15"/>
    <w:link w:val="9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3924</Words>
  <Characters>4667</Characters>
  <Lines>174</Lines>
  <Paragraphs>49</Paragraphs>
  <TotalTime>1</TotalTime>
  <ScaleCrop>false</ScaleCrop>
  <LinksUpToDate>false</LinksUpToDate>
  <CharactersWithSpaces>4757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2024-06-03T10:59:00Z</dcterms:created>
  <dc:creator>DELL</dc:creator>
  <cp:lastModifiedBy>HQM</cp:lastModifiedBy>
  <dcterms:modified xsi:type="dcterms:W3CDTF">2026-05-08T08:34:31Z</dcterms:modified>
  <dc:title>福建省政府采购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5FAAA4DB40D642759BB239ABB9C4B8DB_13</vt:lpwstr>
  </property>
  <property fmtid="{D5CDD505-2E9C-101B-9397-08002B2CF9AE}" pid="4" name="KSOTemplateDocerSaveRecord">
    <vt:lpwstr>eyJoZGlkIjoiMjU0NzA3NzU0M2Y2YzEwNTFjMWFiYzdhZGM0YjE3OTQiLCJ1c2VySWQiOiIzNTc3Mjc5NjcifQ==</vt:lpwstr>
  </property>
</Properties>
</file>