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75" w:after="75" w:line="360" w:lineRule="auto"/>
        <w:jc w:val="both"/>
        <w:rPr>
          <w:rFonts w:hint="default" w:ascii="宋体" w:hAnsi="宋体" w:eastAsia="宋体" w:cs="宋体"/>
          <w:b/>
          <w:bCs w:val="0"/>
          <w:sz w:val="24"/>
          <w:szCs w:val="24"/>
          <w:lang w:eastAsia="zh-CN"/>
        </w:rPr>
      </w:pPr>
      <w:bookmarkStart w:id="0" w:name="_GoBack"/>
      <w:bookmarkEnd w:id="0"/>
      <w:r>
        <w:rPr>
          <w:rFonts w:ascii="宋体" w:hAnsi="宋体" w:eastAsia="宋体" w:cs="宋体"/>
          <w:b/>
          <w:bCs w:val="0"/>
          <w:sz w:val="24"/>
          <w:szCs w:val="24"/>
          <w:lang w:eastAsia="zh-CN"/>
        </w:rPr>
        <w:t>服务内容：</w:t>
      </w:r>
    </w:p>
    <w:p>
      <w:pPr>
        <w:pStyle w:val="14"/>
        <w:spacing w:before="75" w:after="75" w:line="360" w:lineRule="auto"/>
        <w:jc w:val="both"/>
        <w:rPr>
          <w:rFonts w:hint="default" w:ascii="宋体" w:hAnsi="宋体" w:eastAsia="宋体"/>
          <w:bCs/>
          <w:sz w:val="24"/>
          <w:szCs w:val="24"/>
          <w:lang w:eastAsia="zh-CN"/>
        </w:rPr>
      </w:pPr>
      <w:r>
        <w:rPr>
          <w:rFonts w:ascii="宋体" w:hAnsi="宋体" w:eastAsia="宋体" w:cs="宋体"/>
          <w:bCs/>
          <w:sz w:val="24"/>
          <w:szCs w:val="24"/>
        </w:rPr>
        <w:t>1</w:t>
      </w:r>
      <w:r>
        <w:rPr>
          <w:rFonts w:hint="default" w:ascii="宋体" w:hAnsi="宋体" w:eastAsia="宋体" w:cs="宋体"/>
          <w:bCs/>
          <w:sz w:val="24"/>
          <w:szCs w:val="24"/>
        </w:rPr>
        <w:t>.</w:t>
      </w:r>
      <w:r>
        <w:rPr>
          <w:rFonts w:ascii="宋体" w:hAnsi="宋体" w:eastAsia="宋体" w:cs="宋体"/>
          <w:bCs/>
          <w:sz w:val="24"/>
          <w:szCs w:val="24"/>
        </w:rPr>
        <w:t xml:space="preserve"> 本次项目服务需按照等保</w:t>
      </w:r>
      <w:r>
        <w:rPr>
          <w:rFonts w:ascii="宋体" w:hAnsi="宋体" w:eastAsia="宋体" w:cs="&quot;times new roman&quot;, serif"/>
          <w:bCs/>
          <w:sz w:val="24"/>
          <w:szCs w:val="24"/>
        </w:rPr>
        <w:t>2.0</w:t>
      </w:r>
      <w:r>
        <w:rPr>
          <w:rFonts w:ascii="宋体" w:hAnsi="宋体" w:eastAsia="宋体" w:cs="宋体"/>
          <w:bCs/>
          <w:sz w:val="24"/>
          <w:szCs w:val="24"/>
        </w:rPr>
        <w:t>三级要求开展。设备维保升级或软件升级后，</w:t>
      </w:r>
      <w:r>
        <w:rPr>
          <w:rFonts w:ascii="宋体" w:hAnsi="宋体" w:eastAsia="宋体" w:cs="宋体"/>
          <w:bCs/>
          <w:sz w:val="24"/>
          <w:szCs w:val="24"/>
          <w:lang w:eastAsia="zh-CN"/>
        </w:rPr>
        <w:t>供应商</w:t>
      </w:r>
      <w:r>
        <w:rPr>
          <w:rFonts w:ascii="宋体" w:hAnsi="宋体" w:eastAsia="宋体" w:cs="宋体"/>
          <w:bCs/>
          <w:sz w:val="24"/>
          <w:szCs w:val="24"/>
        </w:rPr>
        <w:t>需保证升级后的设备及软件满足等保</w:t>
      </w:r>
      <w:r>
        <w:rPr>
          <w:rFonts w:ascii="宋体" w:hAnsi="宋体" w:eastAsia="宋体" w:cs="&quot;times new roman&quot;, serif"/>
          <w:bCs/>
          <w:sz w:val="24"/>
          <w:szCs w:val="24"/>
        </w:rPr>
        <w:t>2.0</w:t>
      </w:r>
      <w:r>
        <w:rPr>
          <w:rFonts w:ascii="宋体" w:hAnsi="宋体" w:eastAsia="宋体" w:cs="宋体"/>
          <w:bCs/>
          <w:sz w:val="24"/>
          <w:szCs w:val="24"/>
        </w:rPr>
        <w:t>三级要求，针对不符合要求的高中风险项目，应及时协助完成整改（费用包含在</w:t>
      </w:r>
      <w:r>
        <w:rPr>
          <w:rFonts w:ascii="宋体" w:hAnsi="宋体" w:eastAsia="宋体" w:cs="宋体"/>
          <w:bCs/>
          <w:sz w:val="24"/>
          <w:szCs w:val="24"/>
          <w:lang w:eastAsia="zh-CN"/>
        </w:rPr>
        <w:t>成交</w:t>
      </w:r>
      <w:r>
        <w:rPr>
          <w:rFonts w:ascii="宋体" w:hAnsi="宋体" w:eastAsia="宋体" w:cs="宋体"/>
          <w:bCs/>
          <w:sz w:val="24"/>
          <w:szCs w:val="24"/>
        </w:rPr>
        <w:t>价中</w:t>
      </w:r>
      <w:r>
        <w:rPr>
          <w:rFonts w:ascii="宋体" w:hAnsi="宋体" w:eastAsia="宋体" w:cs="宋体"/>
          <w:bCs/>
          <w:sz w:val="24"/>
          <w:szCs w:val="24"/>
          <w:lang w:eastAsia="zh-CN"/>
        </w:rPr>
        <w:t>）。</w:t>
      </w:r>
    </w:p>
    <w:p>
      <w:pPr>
        <w:pStyle w:val="14"/>
        <w:spacing w:before="75" w:after="75" w:line="360" w:lineRule="auto"/>
        <w:jc w:val="both"/>
        <w:rPr>
          <w:rFonts w:hint="default" w:ascii="宋体" w:hAnsi="宋体" w:eastAsia="宋体" w:cs="宋体"/>
          <w:bCs/>
          <w:sz w:val="24"/>
          <w:szCs w:val="24"/>
          <w:lang w:eastAsia="zh-CN"/>
        </w:rPr>
      </w:pPr>
      <w:r>
        <w:rPr>
          <w:rFonts w:ascii="宋体" w:hAnsi="宋体" w:eastAsia="宋体" w:cs="宋体"/>
          <w:bCs/>
          <w:sz w:val="24"/>
          <w:szCs w:val="24"/>
        </w:rPr>
        <w:t>2</w:t>
      </w:r>
      <w:r>
        <w:rPr>
          <w:rFonts w:hint="default" w:ascii="宋体" w:hAnsi="宋体" w:eastAsia="宋体" w:cs="宋体"/>
          <w:bCs/>
          <w:sz w:val="24"/>
          <w:szCs w:val="24"/>
        </w:rPr>
        <w:t>.</w:t>
      </w:r>
      <w:r>
        <w:rPr>
          <w:rFonts w:ascii="宋体" w:hAnsi="宋体" w:eastAsia="宋体" w:cs="宋体"/>
          <w:bCs/>
          <w:sz w:val="24"/>
          <w:szCs w:val="24"/>
        </w:rPr>
        <w:t>设备维保升级后，</w:t>
      </w:r>
      <w:r>
        <w:rPr>
          <w:rFonts w:ascii="宋体" w:hAnsi="宋体" w:eastAsia="宋体" w:cs="宋体"/>
          <w:bCs/>
          <w:sz w:val="24"/>
          <w:szCs w:val="24"/>
          <w:lang w:eastAsia="zh-CN"/>
        </w:rPr>
        <w:t>供应商</w:t>
      </w:r>
      <w:r>
        <w:rPr>
          <w:rFonts w:ascii="宋体" w:hAnsi="宋体" w:eastAsia="宋体" w:cs="宋体"/>
          <w:bCs/>
          <w:sz w:val="24"/>
          <w:szCs w:val="24"/>
        </w:rPr>
        <w:t>需保证升级后的设备及软件仍支持标准协议的日志外发（如：</w:t>
      </w:r>
      <w:r>
        <w:rPr>
          <w:rFonts w:ascii="宋体" w:hAnsi="宋体" w:eastAsia="宋体" w:cs="&quot;times new roman&quot;, serif"/>
          <w:bCs/>
          <w:sz w:val="24"/>
          <w:szCs w:val="24"/>
        </w:rPr>
        <w:t>syslog</w:t>
      </w:r>
      <w:r>
        <w:rPr>
          <w:rFonts w:ascii="宋体" w:hAnsi="宋体" w:eastAsia="宋体" w:cs="宋体"/>
          <w:bCs/>
          <w:sz w:val="24"/>
          <w:szCs w:val="24"/>
        </w:rPr>
        <w:t>等）</w:t>
      </w:r>
      <w:r>
        <w:rPr>
          <w:rFonts w:ascii="宋体" w:hAnsi="宋体" w:eastAsia="宋体" w:cs="宋体"/>
          <w:bCs/>
          <w:sz w:val="24"/>
          <w:szCs w:val="24"/>
          <w:lang w:eastAsia="zh-CN"/>
        </w:rPr>
        <w:t>。</w:t>
      </w:r>
    </w:p>
    <w:p>
      <w:pPr>
        <w:pStyle w:val="14"/>
        <w:spacing w:before="75" w:after="75" w:line="360" w:lineRule="auto"/>
        <w:jc w:val="both"/>
        <w:rPr>
          <w:rFonts w:hint="default" w:ascii="宋体" w:hAnsi="宋体" w:eastAsia="宋体" w:cs="宋体"/>
          <w:bCs/>
          <w:sz w:val="24"/>
          <w:szCs w:val="24"/>
          <w:lang w:eastAsia="zh-CN"/>
        </w:rPr>
      </w:pPr>
      <w:r>
        <w:rPr>
          <w:rFonts w:ascii="宋体" w:hAnsi="宋体" w:eastAsia="宋体" w:cs="宋体"/>
          <w:bCs/>
          <w:sz w:val="24"/>
          <w:szCs w:val="24"/>
          <w:lang w:eastAsia="zh-CN"/>
        </w:rPr>
        <w:t>3.服务内容</w:t>
      </w:r>
    </w:p>
    <w:tbl>
      <w:tblPr>
        <w:tblStyle w:val="12"/>
        <w:tblW w:w="8586"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1"/>
        <w:gridCol w:w="1701"/>
        <w:gridCol w:w="1347"/>
        <w:gridCol w:w="1208"/>
        <w:gridCol w:w="2068"/>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tblCellSpacing w:w="15" w:type="dxa"/>
        </w:trPr>
        <w:tc>
          <w:tcPr>
            <w:tcW w:w="476" w:type="dxa"/>
            <w:shd w:val="clear" w:color="auto" w:fill="D0CECE"/>
            <w:tcMar>
              <w:top w:w="0" w:type="dxa"/>
              <w:left w:w="105" w:type="dxa"/>
              <w:bottom w:w="0" w:type="dxa"/>
              <w:right w:w="105" w:type="dxa"/>
            </w:tcMar>
            <w:vAlign w:val="center"/>
          </w:tcPr>
          <w:p>
            <w:pPr>
              <w:pStyle w:val="9"/>
              <w:spacing w:before="0" w:beforeAutospacing="0" w:after="0" w:afterAutospacing="0" w:line="405" w:lineRule="atLeast"/>
              <w:jc w:val="center"/>
              <w:rPr>
                <w:b/>
                <w:bCs/>
                <w:sz w:val="22"/>
                <w:szCs w:val="22"/>
              </w:rPr>
            </w:pPr>
            <w:r>
              <w:rPr>
                <w:rFonts w:hint="eastAsia"/>
                <w:b/>
                <w:bCs/>
                <w:sz w:val="22"/>
                <w:szCs w:val="22"/>
              </w:rPr>
              <w:t>序号</w:t>
            </w:r>
          </w:p>
        </w:tc>
        <w:tc>
          <w:tcPr>
            <w:tcW w:w="1671" w:type="dxa"/>
            <w:shd w:val="clear" w:color="auto" w:fill="D0CECE"/>
            <w:tcMar>
              <w:top w:w="0" w:type="dxa"/>
              <w:left w:w="105" w:type="dxa"/>
              <w:bottom w:w="0" w:type="dxa"/>
              <w:right w:w="105" w:type="dxa"/>
            </w:tcMar>
            <w:vAlign w:val="center"/>
          </w:tcPr>
          <w:p>
            <w:pPr>
              <w:pStyle w:val="9"/>
              <w:spacing w:before="0" w:beforeAutospacing="0" w:after="0" w:afterAutospacing="0" w:line="405" w:lineRule="atLeast"/>
              <w:jc w:val="center"/>
              <w:rPr>
                <w:b/>
                <w:bCs/>
                <w:sz w:val="22"/>
                <w:szCs w:val="22"/>
              </w:rPr>
            </w:pPr>
            <w:r>
              <w:rPr>
                <w:rFonts w:hint="eastAsia"/>
                <w:b/>
                <w:bCs/>
                <w:sz w:val="22"/>
                <w:szCs w:val="22"/>
              </w:rPr>
              <w:t>类别</w:t>
            </w:r>
          </w:p>
        </w:tc>
        <w:tc>
          <w:tcPr>
            <w:tcW w:w="1317" w:type="dxa"/>
            <w:shd w:val="clear" w:color="auto" w:fill="D0CECE"/>
            <w:tcMar>
              <w:top w:w="0" w:type="dxa"/>
              <w:left w:w="105" w:type="dxa"/>
              <w:bottom w:w="0" w:type="dxa"/>
              <w:right w:w="105" w:type="dxa"/>
            </w:tcMar>
            <w:vAlign w:val="center"/>
          </w:tcPr>
          <w:p>
            <w:pPr>
              <w:pStyle w:val="9"/>
              <w:spacing w:before="0" w:beforeAutospacing="0" w:after="0" w:afterAutospacing="0" w:line="405" w:lineRule="atLeast"/>
              <w:jc w:val="center"/>
              <w:rPr>
                <w:b/>
                <w:bCs/>
                <w:sz w:val="22"/>
                <w:szCs w:val="22"/>
              </w:rPr>
            </w:pPr>
            <w:r>
              <w:rPr>
                <w:rFonts w:hint="eastAsia"/>
                <w:b/>
                <w:bCs/>
                <w:sz w:val="22"/>
                <w:szCs w:val="22"/>
              </w:rPr>
              <w:t>服务项目</w:t>
            </w:r>
          </w:p>
        </w:tc>
        <w:tc>
          <w:tcPr>
            <w:tcW w:w="1178" w:type="dxa"/>
            <w:shd w:val="clear" w:color="auto" w:fill="D0CECE"/>
            <w:tcMar>
              <w:top w:w="0" w:type="dxa"/>
              <w:left w:w="105" w:type="dxa"/>
              <w:bottom w:w="0" w:type="dxa"/>
              <w:right w:w="105" w:type="dxa"/>
            </w:tcMar>
            <w:vAlign w:val="center"/>
          </w:tcPr>
          <w:p>
            <w:pPr>
              <w:pStyle w:val="9"/>
              <w:spacing w:before="0" w:beforeAutospacing="0" w:after="0" w:afterAutospacing="0" w:line="405" w:lineRule="atLeast"/>
              <w:jc w:val="center"/>
              <w:rPr>
                <w:b/>
                <w:bCs/>
                <w:sz w:val="22"/>
                <w:szCs w:val="22"/>
              </w:rPr>
            </w:pPr>
            <w:r>
              <w:rPr>
                <w:rFonts w:hint="eastAsia"/>
                <w:b/>
                <w:bCs/>
                <w:sz w:val="22"/>
                <w:szCs w:val="22"/>
              </w:rPr>
              <w:t>服务频率</w:t>
            </w:r>
          </w:p>
        </w:tc>
        <w:tc>
          <w:tcPr>
            <w:tcW w:w="2038" w:type="dxa"/>
            <w:shd w:val="clear" w:color="auto" w:fill="D0CECE"/>
            <w:tcMar>
              <w:top w:w="0" w:type="dxa"/>
              <w:left w:w="105" w:type="dxa"/>
              <w:bottom w:w="0" w:type="dxa"/>
              <w:right w:w="105" w:type="dxa"/>
            </w:tcMar>
            <w:vAlign w:val="center"/>
          </w:tcPr>
          <w:p>
            <w:pPr>
              <w:pStyle w:val="9"/>
              <w:spacing w:before="0" w:beforeAutospacing="0" w:after="0" w:afterAutospacing="0" w:line="405" w:lineRule="atLeast"/>
              <w:jc w:val="center"/>
              <w:rPr>
                <w:b/>
                <w:bCs/>
                <w:sz w:val="22"/>
                <w:szCs w:val="22"/>
              </w:rPr>
            </w:pPr>
            <w:r>
              <w:rPr>
                <w:rFonts w:hint="eastAsia"/>
                <w:b/>
                <w:bCs/>
                <w:sz w:val="22"/>
                <w:szCs w:val="22"/>
              </w:rPr>
              <w:t>服务成果</w:t>
            </w:r>
          </w:p>
        </w:tc>
        <w:tc>
          <w:tcPr>
            <w:tcW w:w="1696" w:type="dxa"/>
            <w:shd w:val="clear" w:color="auto" w:fill="D0CECE"/>
            <w:tcMar>
              <w:top w:w="0" w:type="dxa"/>
              <w:left w:w="105" w:type="dxa"/>
              <w:bottom w:w="0" w:type="dxa"/>
              <w:right w:w="105" w:type="dxa"/>
            </w:tcMar>
            <w:vAlign w:val="center"/>
          </w:tcPr>
          <w:p>
            <w:pPr>
              <w:pStyle w:val="9"/>
              <w:spacing w:before="0" w:beforeAutospacing="0" w:after="0" w:afterAutospacing="0" w:line="405" w:lineRule="atLeast"/>
              <w:jc w:val="center"/>
              <w:rPr>
                <w:b/>
                <w:bCs/>
                <w:sz w:val="22"/>
                <w:szCs w:val="22"/>
              </w:rPr>
            </w:pPr>
            <w:r>
              <w:rPr>
                <w:rFonts w:hint="eastAsia"/>
                <w:b/>
                <w:bCs/>
                <w:sz w:val="22"/>
                <w:szCs w:val="22"/>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6" w:type="dxa"/>
            <w:vMerge w:val="restart"/>
            <w:shd w:val="clear" w:color="auto" w:fill="FFFFFF"/>
            <w:tcMar>
              <w:top w:w="0" w:type="dxa"/>
              <w:left w:w="105" w:type="dxa"/>
              <w:bottom w:w="0" w:type="dxa"/>
              <w:right w:w="105" w:type="dxa"/>
            </w:tcMar>
            <w:vAlign w:val="center"/>
          </w:tcPr>
          <w:p>
            <w:pPr>
              <w:pStyle w:val="9"/>
              <w:spacing w:before="0" w:after="0" w:line="405" w:lineRule="atLeast"/>
              <w:jc w:val="both"/>
              <w:rPr>
                <w:sz w:val="22"/>
                <w:szCs w:val="22"/>
              </w:rPr>
            </w:pPr>
            <w:r>
              <w:rPr>
                <w:rFonts w:hint="eastAsia"/>
                <w:sz w:val="22"/>
                <w:szCs w:val="22"/>
              </w:rPr>
              <w:t>1</w:t>
            </w:r>
          </w:p>
        </w:tc>
        <w:tc>
          <w:tcPr>
            <w:tcW w:w="1671" w:type="dxa"/>
            <w:vMerge w:val="restart"/>
            <w:shd w:val="clear" w:color="auto" w:fill="FFFFFF"/>
            <w:tcMar>
              <w:top w:w="0" w:type="dxa"/>
              <w:left w:w="105" w:type="dxa"/>
              <w:bottom w:w="0" w:type="dxa"/>
              <w:right w:w="105" w:type="dxa"/>
            </w:tcMar>
          </w:tcPr>
          <w:p>
            <w:pPr>
              <w:pStyle w:val="14"/>
              <w:rPr>
                <w:rFonts w:hint="default"/>
                <w:sz w:val="22"/>
                <w:szCs w:val="22"/>
              </w:rPr>
            </w:pPr>
            <w:r>
              <w:rPr>
                <w:rFonts w:hint="default" w:cs="宋体"/>
                <w:b/>
                <w:bCs/>
                <w:sz w:val="24"/>
                <w:szCs w:val="24"/>
                <w:lang w:val="en-US" w:eastAsia="zh-CN"/>
              </w:rPr>
              <w:t>“</w:t>
            </w:r>
            <w:r>
              <w:rPr>
                <w:rFonts w:hint="eastAsia" w:cs="宋体"/>
                <w:b/>
                <w:bCs/>
                <w:sz w:val="24"/>
                <w:szCs w:val="24"/>
              </w:rPr>
              <w:t>集采药品精细化管理系统</w:t>
            </w:r>
            <w:r>
              <w:rPr>
                <w:rFonts w:hint="default" w:cs="宋体"/>
                <w:b/>
                <w:bCs/>
                <w:sz w:val="24"/>
                <w:szCs w:val="24"/>
                <w:lang w:val="en-US" w:eastAsia="zh-CN"/>
              </w:rPr>
              <w:t>”</w:t>
            </w:r>
            <w:r>
              <w:rPr>
                <w:rFonts w:ascii="宋体" w:hAnsi="宋体" w:eastAsia="宋体"/>
                <w:sz w:val="24"/>
                <w:szCs w:val="24"/>
                <w:lang w:eastAsia="zh-CN"/>
              </w:rPr>
              <w:t>维保服务</w:t>
            </w:r>
          </w:p>
        </w:tc>
        <w:tc>
          <w:tcPr>
            <w:tcW w:w="1317" w:type="dxa"/>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r>
              <w:rPr>
                <w:rFonts w:hint="eastAsia"/>
                <w:sz w:val="22"/>
                <w:szCs w:val="22"/>
              </w:rPr>
              <w:t>远程支持</w:t>
            </w:r>
          </w:p>
        </w:tc>
        <w:tc>
          <w:tcPr>
            <w:tcW w:w="1178" w:type="dxa"/>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r>
              <w:rPr>
                <w:rFonts w:hint="eastAsia"/>
                <w:sz w:val="22"/>
                <w:szCs w:val="22"/>
              </w:rPr>
              <w:t>不限次数</w:t>
            </w:r>
          </w:p>
        </w:tc>
        <w:tc>
          <w:tcPr>
            <w:tcW w:w="2038" w:type="dxa"/>
            <w:vMerge w:val="restart"/>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r>
              <w:rPr>
                <w:rFonts w:hint="eastAsia"/>
                <w:bCs/>
              </w:rPr>
              <w:t>原厂授权许可、</w:t>
            </w:r>
            <w:r>
              <w:rPr>
                <w:bCs/>
              </w:rPr>
              <w:t>续保升级</w:t>
            </w:r>
            <w:r>
              <w:rPr>
                <w:rFonts w:cs="&quot;times new roman&quot;, serif"/>
                <w:bCs/>
              </w:rPr>
              <w:t>license</w:t>
            </w:r>
          </w:p>
        </w:tc>
        <w:tc>
          <w:tcPr>
            <w:tcW w:w="1696" w:type="dxa"/>
            <w:vMerge w:val="restart"/>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r>
              <w:rPr>
                <w:rStyle w:val="11"/>
                <w:rFonts w:hint="eastAsia"/>
                <w:sz w:val="22"/>
                <w:szCs w:val="22"/>
              </w:rPr>
              <w:t>详见4.具体服务要求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6" w:type="dxa"/>
            <w:vMerge w:val="continue"/>
            <w:shd w:val="clear" w:color="auto" w:fill="FFFFFF"/>
            <w:tcMar>
              <w:top w:w="0" w:type="dxa"/>
              <w:left w:w="105" w:type="dxa"/>
              <w:bottom w:w="0" w:type="dxa"/>
              <w:right w:w="105" w:type="dxa"/>
            </w:tcMar>
            <w:vAlign w:val="center"/>
          </w:tcPr>
          <w:p>
            <w:pPr>
              <w:pStyle w:val="9"/>
              <w:spacing w:before="0" w:after="0" w:line="405" w:lineRule="atLeast"/>
              <w:jc w:val="both"/>
              <w:rPr>
                <w:sz w:val="22"/>
                <w:szCs w:val="22"/>
              </w:rPr>
            </w:pPr>
          </w:p>
        </w:tc>
        <w:tc>
          <w:tcPr>
            <w:tcW w:w="1671"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c>
          <w:tcPr>
            <w:tcW w:w="1317" w:type="dxa"/>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r>
              <w:rPr>
                <w:rFonts w:hint="eastAsia"/>
                <w:sz w:val="22"/>
                <w:szCs w:val="22"/>
              </w:rPr>
              <w:t>现场支持</w:t>
            </w:r>
          </w:p>
        </w:tc>
        <w:tc>
          <w:tcPr>
            <w:tcW w:w="1178" w:type="dxa"/>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r>
              <w:rPr>
                <w:rFonts w:hint="eastAsia"/>
                <w:sz w:val="22"/>
                <w:szCs w:val="22"/>
              </w:rPr>
              <w:t>不限次数</w:t>
            </w:r>
          </w:p>
        </w:tc>
        <w:tc>
          <w:tcPr>
            <w:tcW w:w="2038" w:type="dxa"/>
            <w:vMerge w:val="continue"/>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p>
        </w:tc>
        <w:tc>
          <w:tcPr>
            <w:tcW w:w="1696"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6" w:type="dxa"/>
            <w:vMerge w:val="continue"/>
            <w:shd w:val="clear" w:color="auto" w:fill="FFFFFF"/>
            <w:tcMar>
              <w:top w:w="0" w:type="dxa"/>
              <w:left w:w="105" w:type="dxa"/>
              <w:bottom w:w="0" w:type="dxa"/>
              <w:right w:w="105" w:type="dxa"/>
            </w:tcMar>
            <w:vAlign w:val="center"/>
          </w:tcPr>
          <w:p>
            <w:pPr>
              <w:pStyle w:val="9"/>
              <w:spacing w:before="0" w:after="0" w:line="405" w:lineRule="atLeast"/>
              <w:jc w:val="both"/>
              <w:rPr>
                <w:sz w:val="22"/>
                <w:szCs w:val="22"/>
              </w:rPr>
            </w:pPr>
          </w:p>
        </w:tc>
        <w:tc>
          <w:tcPr>
            <w:tcW w:w="1671"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c>
          <w:tcPr>
            <w:tcW w:w="1317" w:type="dxa"/>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r>
              <w:rPr>
                <w:rFonts w:hint="eastAsia"/>
                <w:sz w:val="22"/>
                <w:szCs w:val="22"/>
              </w:rPr>
              <w:t>同代系统版本升级服务</w:t>
            </w:r>
          </w:p>
        </w:tc>
        <w:tc>
          <w:tcPr>
            <w:tcW w:w="1178" w:type="dxa"/>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r>
              <w:rPr>
                <w:rFonts w:hint="eastAsia"/>
                <w:sz w:val="22"/>
                <w:szCs w:val="22"/>
              </w:rPr>
              <w:t>不限次数</w:t>
            </w:r>
          </w:p>
        </w:tc>
        <w:tc>
          <w:tcPr>
            <w:tcW w:w="2038" w:type="dxa"/>
            <w:vMerge w:val="continue"/>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p>
        </w:tc>
        <w:tc>
          <w:tcPr>
            <w:tcW w:w="1696"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6" w:type="dxa"/>
            <w:vMerge w:val="continue"/>
            <w:shd w:val="clear" w:color="auto" w:fill="FFFFFF"/>
            <w:tcMar>
              <w:top w:w="0" w:type="dxa"/>
              <w:left w:w="105" w:type="dxa"/>
              <w:bottom w:w="0" w:type="dxa"/>
              <w:right w:w="105" w:type="dxa"/>
            </w:tcMar>
            <w:vAlign w:val="center"/>
          </w:tcPr>
          <w:p>
            <w:pPr>
              <w:pStyle w:val="9"/>
              <w:spacing w:before="0" w:after="0" w:line="405" w:lineRule="atLeast"/>
              <w:jc w:val="both"/>
              <w:rPr>
                <w:sz w:val="22"/>
                <w:szCs w:val="22"/>
              </w:rPr>
            </w:pPr>
          </w:p>
        </w:tc>
        <w:tc>
          <w:tcPr>
            <w:tcW w:w="1671"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c>
          <w:tcPr>
            <w:tcW w:w="1317" w:type="dxa"/>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r>
              <w:rPr>
                <w:rFonts w:hint="eastAsia"/>
                <w:sz w:val="22"/>
                <w:szCs w:val="22"/>
              </w:rPr>
              <w:t>产品特征库升级服务</w:t>
            </w:r>
          </w:p>
        </w:tc>
        <w:tc>
          <w:tcPr>
            <w:tcW w:w="1178" w:type="dxa"/>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r>
              <w:rPr>
                <w:rFonts w:hint="eastAsia"/>
                <w:sz w:val="22"/>
                <w:szCs w:val="22"/>
              </w:rPr>
              <w:t>不限次数</w:t>
            </w:r>
          </w:p>
        </w:tc>
        <w:tc>
          <w:tcPr>
            <w:tcW w:w="2038" w:type="dxa"/>
            <w:vMerge w:val="continue"/>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p>
        </w:tc>
        <w:tc>
          <w:tcPr>
            <w:tcW w:w="1696"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6" w:type="dxa"/>
            <w:vMerge w:val="continue"/>
            <w:shd w:val="clear" w:color="auto" w:fill="FFFFFF"/>
            <w:tcMar>
              <w:top w:w="0" w:type="dxa"/>
              <w:left w:w="105" w:type="dxa"/>
              <w:bottom w:w="0" w:type="dxa"/>
              <w:right w:w="105" w:type="dxa"/>
            </w:tcMar>
            <w:vAlign w:val="center"/>
          </w:tcPr>
          <w:p>
            <w:pPr>
              <w:pStyle w:val="9"/>
              <w:spacing w:before="0" w:after="0" w:line="405" w:lineRule="atLeast"/>
              <w:jc w:val="both"/>
              <w:rPr>
                <w:sz w:val="22"/>
                <w:szCs w:val="22"/>
              </w:rPr>
            </w:pPr>
          </w:p>
        </w:tc>
        <w:tc>
          <w:tcPr>
            <w:tcW w:w="1671"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c>
          <w:tcPr>
            <w:tcW w:w="1317" w:type="dxa"/>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r>
              <w:rPr>
                <w:rFonts w:hint="eastAsia"/>
                <w:sz w:val="22"/>
                <w:szCs w:val="22"/>
              </w:rPr>
              <w:t>产品保修</w:t>
            </w:r>
          </w:p>
        </w:tc>
        <w:tc>
          <w:tcPr>
            <w:tcW w:w="1178" w:type="dxa"/>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r>
              <w:rPr>
                <w:rFonts w:hint="eastAsia"/>
                <w:sz w:val="22"/>
                <w:szCs w:val="22"/>
              </w:rPr>
              <w:t>不限次数</w:t>
            </w:r>
          </w:p>
        </w:tc>
        <w:tc>
          <w:tcPr>
            <w:tcW w:w="2038" w:type="dxa"/>
            <w:vMerge w:val="continue"/>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p>
        </w:tc>
        <w:tc>
          <w:tcPr>
            <w:tcW w:w="1696"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6" w:type="dxa"/>
            <w:vMerge w:val="continue"/>
            <w:shd w:val="clear" w:color="auto" w:fill="FFFFFF"/>
            <w:tcMar>
              <w:top w:w="0" w:type="dxa"/>
              <w:left w:w="105" w:type="dxa"/>
              <w:bottom w:w="0" w:type="dxa"/>
              <w:right w:w="105" w:type="dxa"/>
            </w:tcMar>
            <w:vAlign w:val="center"/>
          </w:tcPr>
          <w:p>
            <w:pPr>
              <w:pStyle w:val="9"/>
              <w:spacing w:before="0" w:beforeAutospacing="0" w:after="0" w:afterAutospacing="0" w:line="405" w:lineRule="atLeast"/>
              <w:jc w:val="both"/>
              <w:rPr>
                <w:sz w:val="22"/>
                <w:szCs w:val="22"/>
              </w:rPr>
            </w:pPr>
          </w:p>
        </w:tc>
        <w:tc>
          <w:tcPr>
            <w:tcW w:w="1671"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c>
          <w:tcPr>
            <w:tcW w:w="1317" w:type="dxa"/>
            <w:shd w:val="clear" w:color="auto" w:fill="FFFFFF"/>
            <w:tcMar>
              <w:top w:w="0" w:type="dxa"/>
              <w:left w:w="105" w:type="dxa"/>
              <w:bottom w:w="0" w:type="dxa"/>
              <w:right w:w="105" w:type="dxa"/>
            </w:tcMar>
            <w:vAlign w:val="center"/>
          </w:tcPr>
          <w:p>
            <w:pPr>
              <w:pStyle w:val="9"/>
              <w:spacing w:before="0" w:beforeAutospacing="0" w:after="0" w:afterAutospacing="0" w:line="405" w:lineRule="atLeast"/>
              <w:rPr>
                <w:sz w:val="22"/>
                <w:szCs w:val="22"/>
              </w:rPr>
            </w:pPr>
          </w:p>
        </w:tc>
        <w:tc>
          <w:tcPr>
            <w:tcW w:w="1178" w:type="dxa"/>
            <w:shd w:val="clear" w:color="auto" w:fill="FFFFFF"/>
            <w:tcMar>
              <w:top w:w="0" w:type="dxa"/>
              <w:left w:w="105" w:type="dxa"/>
              <w:bottom w:w="0" w:type="dxa"/>
              <w:right w:w="105" w:type="dxa"/>
            </w:tcMar>
          </w:tcPr>
          <w:p>
            <w:pPr>
              <w:pStyle w:val="9"/>
              <w:spacing w:before="0" w:beforeAutospacing="0" w:after="0" w:afterAutospacing="0" w:line="405" w:lineRule="atLeast"/>
              <w:rPr>
                <w:sz w:val="22"/>
                <w:szCs w:val="22"/>
              </w:rPr>
            </w:pPr>
          </w:p>
        </w:tc>
        <w:tc>
          <w:tcPr>
            <w:tcW w:w="203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c>
          <w:tcPr>
            <w:tcW w:w="1696"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bl>
    <w:p>
      <w:pPr>
        <w:pStyle w:val="14"/>
        <w:numPr>
          <w:ilvl w:val="0"/>
          <w:numId w:val="1"/>
        </w:numPr>
        <w:spacing w:before="75" w:after="75" w:line="360" w:lineRule="auto"/>
        <w:jc w:val="both"/>
        <w:rPr>
          <w:rFonts w:hint="default" w:ascii="宋体" w:hAnsi="宋体" w:eastAsia="宋体" w:cs="宋体"/>
          <w:b/>
          <w:bCs w:val="0"/>
          <w:sz w:val="24"/>
          <w:szCs w:val="24"/>
          <w:lang w:eastAsia="zh-CN"/>
        </w:rPr>
      </w:pPr>
      <w:r>
        <w:rPr>
          <w:rFonts w:ascii="宋体" w:hAnsi="宋体" w:eastAsia="宋体" w:cs="宋体"/>
          <w:b/>
          <w:bCs w:val="0"/>
          <w:sz w:val="24"/>
          <w:szCs w:val="24"/>
          <w:lang w:eastAsia="zh-CN"/>
        </w:rPr>
        <w:t>具体服务要求：</w:t>
      </w:r>
    </w:p>
    <w:p>
      <w:pPr>
        <w:pStyle w:val="14"/>
        <w:numPr>
          <w:ilvl w:val="0"/>
          <w:numId w:val="0"/>
        </w:numPr>
        <w:spacing w:before="75" w:after="75" w:line="360" w:lineRule="auto"/>
        <w:ind w:firstLine="480" w:firstLineChars="200"/>
        <w:jc w:val="both"/>
        <w:rPr>
          <w:rFonts w:hint="default" w:ascii="宋体" w:hAnsi="宋体" w:eastAsia="宋体" w:cs="宋体"/>
          <w:bCs/>
          <w:sz w:val="24"/>
          <w:szCs w:val="24"/>
          <w:lang w:eastAsia="zh-CN"/>
        </w:rPr>
      </w:pPr>
      <w:r>
        <w:rPr>
          <w:rFonts w:hint="default" w:ascii="宋体" w:hAnsi="宋体" w:eastAsia="宋体" w:cs="宋体"/>
          <w:bCs/>
          <w:sz w:val="24"/>
          <w:szCs w:val="24"/>
          <w:lang w:eastAsia="zh-CN"/>
        </w:rPr>
        <w:t>为加强集采药品合理使用管理，通过集采药品精细化管理系统，实现药品主数据治理、集采配置管理、智能任务分配、可视化监测分析、处方权限管控等功能。</w:t>
      </w:r>
    </w:p>
    <w:p>
      <w:pPr>
        <w:spacing w:line="360" w:lineRule="auto"/>
        <w:ind w:firstLine="640" w:firstLineChars="200"/>
        <w:jc w:val="left"/>
        <w:rPr>
          <w:rFonts w:hint="eastAsia" w:cs="宋体" w:asciiTheme="minorEastAsia" w:hAnsiTheme="minorEastAsia" w:eastAsiaTheme="minorEastAsia"/>
          <w:iCs/>
          <w:sz w:val="32"/>
          <w:szCs w:val="32"/>
        </w:rPr>
      </w:pPr>
      <w:r>
        <w:rPr>
          <w:rFonts w:hint="eastAsia" w:cs="宋体" w:asciiTheme="minorEastAsia" w:hAnsiTheme="minorEastAsia" w:eastAsiaTheme="minorEastAsia"/>
          <w:iCs/>
          <w:sz w:val="32"/>
          <w:szCs w:val="32"/>
        </w:rPr>
        <w:t>1.系统功能要求</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1.1具备药品主数据库更新维护功能。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1.2具备与标准数据自动化映射功能。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sz w:val="24"/>
          <w:szCs w:val="24"/>
        </w:rPr>
        <w:t>1.3集采药品专题数据</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具备国家及省、联盟的药品集中采购文件招采品种目录。</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具备国家及省、联盟的药品集中采购批次招采品种中选药品目录，支持医院药品字典自动映射。</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具备国家及其他权威机构发布的中选药品可替代药品目录，支持自动与中选药品建立关联。</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1.4</w:t>
      </w:r>
      <w:r>
        <w:rPr>
          <w:rFonts w:hint="eastAsia" w:cs="宋体" w:asciiTheme="minorEastAsia" w:hAnsiTheme="minorEastAsia" w:eastAsiaTheme="minorEastAsia"/>
          <w:sz w:val="24"/>
          <w:szCs w:val="24"/>
        </w:rPr>
        <w:t>数据采集</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具备主数据采集模板。</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具备按照规则对数据进行自动化校验的功能，并支持反馈错误报告。</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具备已成功采集的数据明细展示功能。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具备智能生成药物标化数据进行统一管理的功能。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1.5</w:t>
      </w:r>
      <w:r>
        <w:rPr>
          <w:rFonts w:hint="eastAsia" w:cs="宋体" w:asciiTheme="minorEastAsia" w:hAnsiTheme="minorEastAsia" w:eastAsiaTheme="minorEastAsia"/>
          <w:sz w:val="24"/>
          <w:szCs w:val="24"/>
        </w:rPr>
        <w:t>机构药品主数据库</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具备药品库主数据版本及知识库数据版本管理功能。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1.6</w:t>
      </w:r>
      <w:r>
        <w:rPr>
          <w:rFonts w:hint="eastAsia" w:cs="宋体" w:asciiTheme="minorEastAsia" w:hAnsiTheme="minorEastAsia" w:eastAsiaTheme="minorEastAsia"/>
          <w:sz w:val="24"/>
          <w:szCs w:val="24"/>
        </w:rPr>
        <w:t>数据更新</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具备自动化处理数据新增、数据属性更新及条目删除的功能。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具备药品原始数据智能标化的功能。</w:t>
      </w:r>
    </w:p>
    <w:p>
      <w:pPr>
        <w:spacing w:line="360" w:lineRule="auto"/>
        <w:ind w:firstLine="480" w:firstLineChars="200"/>
        <w:jc w:val="left"/>
        <w:rPr>
          <w:rFonts w:hint="eastAsia" w:cs="宋体" w:asciiTheme="minorEastAsia" w:hAnsiTheme="minorEastAsia" w:eastAsiaTheme="minorEastAsia"/>
          <w:iCs/>
          <w:sz w:val="24"/>
          <w:szCs w:val="24"/>
        </w:rPr>
      </w:pPr>
    </w:p>
    <w:p>
      <w:pPr>
        <w:spacing w:line="360" w:lineRule="auto"/>
        <w:ind w:firstLine="640" w:firstLineChars="200"/>
        <w:jc w:val="left"/>
        <w:rPr>
          <w:rFonts w:cs="宋体" w:asciiTheme="minorEastAsia" w:hAnsiTheme="minorEastAsia" w:eastAsiaTheme="minorEastAsia"/>
          <w:iCs/>
          <w:sz w:val="32"/>
          <w:szCs w:val="32"/>
        </w:rPr>
      </w:pPr>
      <w:r>
        <w:rPr>
          <w:rFonts w:hint="eastAsia" w:cs="宋体" w:asciiTheme="minorEastAsia" w:hAnsiTheme="minorEastAsia" w:eastAsiaTheme="minorEastAsia"/>
          <w:iCs/>
          <w:sz w:val="32"/>
          <w:szCs w:val="32"/>
        </w:rPr>
        <w:t>2.集采配置管理</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sz w:val="24"/>
          <w:szCs w:val="24"/>
        </w:rPr>
        <w:t>2.1集采批次管理</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具备直接选择平台维护的已发布药品集中采购文件新建批次的功能。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具备查看某个批次的药品集中采购文件的招采品种的功能。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具备通过批次名称检索批次信息及通过集采类型（国家、联盟、省级）筛选集采批次。</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2.2</w:t>
      </w:r>
      <w:r>
        <w:rPr>
          <w:rFonts w:hint="eastAsia" w:cs="宋体" w:asciiTheme="minorEastAsia" w:hAnsiTheme="minorEastAsia" w:eastAsiaTheme="minorEastAsia"/>
          <w:sz w:val="24"/>
          <w:szCs w:val="24"/>
        </w:rPr>
        <w:t>批次药品管理</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具备自动匹配某批次招采品种与医院药品字典，得到医院已有品种列表及对应品种下的医院中选、非中选、可替代药品列表的功能。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具备展示医院未采购的批次内品种的功能。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具备从院内药品查找添加同种药品及可替代药品的功能。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具备通过品种名称检索已有品种或未采购品种的功能。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2.3</w:t>
      </w:r>
      <w:r>
        <w:rPr>
          <w:rFonts w:hint="eastAsia" w:cs="宋体" w:asciiTheme="minorEastAsia" w:hAnsiTheme="minorEastAsia" w:eastAsiaTheme="minorEastAsia"/>
          <w:sz w:val="24"/>
          <w:szCs w:val="24"/>
        </w:rPr>
        <w:t>采购周期管理</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具备从集采批次新增采购周期的功能。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具备自定义采购周期名称、开始时间、结束时间以及医院采购的品种范围的功能。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具备查看采购周期对应的批次中选药品列表的功能。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具备在线录入周期中选药品的约定采购量的功能。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具备通过药品通用名检索批次中选药品列表的功能。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2.4</w:t>
      </w:r>
      <w:r>
        <w:rPr>
          <w:rFonts w:hint="eastAsia" w:cs="宋体" w:asciiTheme="minorEastAsia" w:hAnsiTheme="minorEastAsia" w:eastAsiaTheme="minorEastAsia"/>
          <w:sz w:val="24"/>
          <w:szCs w:val="24"/>
        </w:rPr>
        <w:t>约定采购量任务分配</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具备自动分配科室、医生任务到前n个月的功能。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具备查看某批次周期下各药品以科室/月份组织的任务分配表的功能。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具备同厂商同规格不同包装药品成组展示的功能。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具备修改科室月任务量的功能。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具备实时汇总查看全部分配量的功能。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具备通过通用名检索参与该采购周期任务分配的药品列表的功能。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具备重新自动计算任务分配量的功能。</w:t>
      </w:r>
    </w:p>
    <w:p>
      <w:pPr>
        <w:spacing w:line="360" w:lineRule="auto"/>
        <w:ind w:firstLine="640" w:firstLineChars="200"/>
        <w:jc w:val="left"/>
        <w:rPr>
          <w:rFonts w:hint="eastAsia" w:cs="宋体" w:asciiTheme="minorEastAsia" w:hAnsiTheme="minorEastAsia" w:eastAsiaTheme="minorEastAsia"/>
          <w:iCs/>
          <w:sz w:val="32"/>
          <w:szCs w:val="32"/>
        </w:rPr>
      </w:pPr>
    </w:p>
    <w:p>
      <w:pPr>
        <w:spacing w:line="360" w:lineRule="auto"/>
        <w:ind w:firstLine="640" w:firstLineChars="200"/>
        <w:jc w:val="left"/>
        <w:rPr>
          <w:rFonts w:cs="宋体" w:asciiTheme="minorEastAsia" w:hAnsiTheme="minorEastAsia" w:eastAsiaTheme="minorEastAsia"/>
          <w:iCs/>
          <w:sz w:val="32"/>
          <w:szCs w:val="32"/>
        </w:rPr>
      </w:pPr>
      <w:r>
        <w:rPr>
          <w:rFonts w:hint="eastAsia" w:cs="宋体" w:asciiTheme="minorEastAsia" w:hAnsiTheme="minorEastAsia" w:eastAsiaTheme="minorEastAsia"/>
          <w:iCs/>
          <w:sz w:val="32"/>
          <w:szCs w:val="32"/>
        </w:rPr>
        <w:t>3.可视化分析</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sz w:val="24"/>
          <w:szCs w:val="24"/>
        </w:rPr>
        <w:t>3.1统计分析设置</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具备设置中选药品与同种药品、可替代药品的比例警戒值并根据警戒值标识数据的功能。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3.2</w:t>
      </w:r>
      <w:r>
        <w:rPr>
          <w:rFonts w:hint="eastAsia" w:cs="宋体" w:asciiTheme="minorEastAsia" w:hAnsiTheme="minorEastAsia" w:eastAsiaTheme="minorEastAsia"/>
          <w:sz w:val="24"/>
          <w:szCs w:val="24"/>
        </w:rPr>
        <w:t>执行监测</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3.2.1全院统计</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当前全院任务完成情况统计功能，需统计的指标包括：采购量完成比例、中选药品用量达标比例、（中选药品占）同种药品用量比、（中选药品占）同种药品处方金额比、（中选药品占）同种药品采购量比、（中选药品占）同种药品采购金额比。</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展示全院进行中批次周期执行情况指标趋势的功能，指标包括：采购量完成比例、中选药品用量达标比例、（中选药品占）同种药品用量比、（中选药品占）同种药品处方金额比、（中选药品占）同种药品采购量比、（中选药品占）同种药品采购金额比。</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具备展示科室进行中批次周期当前中选药品用量完成比例、达标比例排名的功能。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具备展示药品进行中批次周期当前中选药品任务完成率排名的功能。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统计药品按照进行中批次周期分别展示当前执行情况指标的功能，指标包括：采购量完成比例、中选药品用量达标比例、（中选药品占）同种药品用量比、（中选药品占）同种药品处方金额比、（中选药品占）同种药品采购量比、（中选药品占）同种药品采购金额比。</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3.2.2科室负责人统计</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具备科室首页功能，可查看不同采购周期下中选药品的任务完成情况，需支持导出报表。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具备查看单科室该月进行的采购周期执行情况的功能，需支持导出报表。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具备查看单科室该月执行中的全部中选药品的任务完成情况的功能，需支持导出报表。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具备查看该月该科室某中选药品的同种药品用量数据的功能，需支持导出报表。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具备查看该月该科室某中选药品的可替代药品用量数据的功能，需支持导出报表。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具备查看单科室该月医生的中选药品任务完成情况的功能，需支持导出报表。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具备自动汇总分配的科室下医生任务量的功能。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具备修改科室下医生的月任务量的功能。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3.3科室统计</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具备选择月份查看各级科室该月份的完成情况总体统计的功能，需支持检索。</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具备查看单科室该月进行的采购周期的功能，并能切换查看不同采购周期下中选药品的任务完成情况，需支持导出报表。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具备查看单科室该月执行中的全部中选药品的任务完成情况的功能，需支持导出报表。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具备查看该月该科室某中选药品的同种药品用量数据的功能，需支持导出报表。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具备查看该月该科室某中选药品的可替代药品用量数据的功能，需支持导出报表。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具备查看单科室该月医生的中选药品任务完成情况的功能，需支持导出报表。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3.4药品用量统计</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具备查看该月份的中选药品用量相关统计的功能，需支持导出报表。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具备查看该月某中选药品的同种药品用量数据的功能，需支持导出报表。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具备查看该月某中选药品的可替代药品用量数据，需支持导出报表。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具备查看该月某中选药品在各级科室的任务完成情况及其同种药品、可替代药品的使用情况的功能，需支持导出报表。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3.5药品采购分析</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具备查看该月份的中选药品采购相关统计的功能，需支持导出报表。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具备查看该月某中选药品的同种药品采购数据的功能，需支持导出报表。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具备查看该月某中选药品的可替代药品采购数据的功能，需支持导出报表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3.6年度统计</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具备选择年份查看该年度中选药品总体使用情况统计的功能。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具备选择年份查看该年度中选药品总体采购情况统计的功能。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具备全屏查看年度统计明细表的功能。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具备导出年度中选药品使用统计表、年度中选药品采购统计表为表格文件的功能。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3.7</w:t>
      </w:r>
      <w:r>
        <w:rPr>
          <w:rFonts w:hint="eastAsia" w:cs="宋体" w:asciiTheme="minorEastAsia" w:hAnsiTheme="minorEastAsia" w:eastAsiaTheme="minorEastAsia"/>
          <w:sz w:val="24"/>
          <w:szCs w:val="24"/>
        </w:rPr>
        <w:t>快捷报表导出</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具备选择截至时间、执行中批次周期导出执行中周期药品分析报表的功能。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具备选择截至时间、执行中批次周期导出已完成周期药品分析报表的功能。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具备导出医院集采药品目录的功能。</w:t>
      </w:r>
    </w:p>
    <w:p>
      <w:pPr>
        <w:spacing w:line="360" w:lineRule="auto"/>
        <w:ind w:firstLine="480" w:firstLineChars="200"/>
        <w:jc w:val="left"/>
        <w:rPr>
          <w:rFonts w:hint="eastAsia" w:cs="宋体" w:asciiTheme="minorEastAsia" w:hAnsiTheme="minorEastAsia" w:eastAsiaTheme="minorEastAsia"/>
          <w:iCs/>
          <w:sz w:val="24"/>
          <w:szCs w:val="24"/>
        </w:rPr>
      </w:pPr>
    </w:p>
    <w:p>
      <w:pPr>
        <w:spacing w:line="360" w:lineRule="auto"/>
        <w:ind w:firstLine="640" w:firstLineChars="200"/>
        <w:jc w:val="left"/>
        <w:rPr>
          <w:rFonts w:cs="宋体" w:asciiTheme="minorEastAsia" w:hAnsiTheme="minorEastAsia" w:eastAsiaTheme="minorEastAsia"/>
          <w:iCs/>
          <w:sz w:val="32"/>
          <w:szCs w:val="32"/>
        </w:rPr>
      </w:pPr>
      <w:r>
        <w:rPr>
          <w:rFonts w:hint="eastAsia" w:cs="宋体" w:asciiTheme="minorEastAsia" w:hAnsiTheme="minorEastAsia" w:eastAsiaTheme="minorEastAsia"/>
          <w:iCs/>
          <w:sz w:val="32"/>
          <w:szCs w:val="32"/>
        </w:rPr>
        <w:t>4.同类药品权限管控</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sz w:val="24"/>
          <w:szCs w:val="24"/>
        </w:rPr>
        <w:t>4.1管控规则维护</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具备新增、修改、删除管控规则的功能。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具备设置达标率、用量比等阈值的方式进行用量管控的功能。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需要通过账号角色分配不同设置项的修改权限。</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4.2</w:t>
      </w:r>
      <w:r>
        <w:rPr>
          <w:rFonts w:hint="eastAsia" w:cs="宋体" w:asciiTheme="minorEastAsia" w:hAnsiTheme="minorEastAsia" w:eastAsiaTheme="minorEastAsia"/>
          <w:sz w:val="24"/>
          <w:szCs w:val="24"/>
        </w:rPr>
        <w:t>管控列表</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具备查询当前正处于管控状态的药品、科室、医生列表的功能。</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具备列表维护功能，对列表内容进行添加或删除操作。</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具备科室、医生白名单设置功能，白名单中的对象不进行用量管控。</w:t>
      </w:r>
    </w:p>
    <w:p>
      <w:pPr>
        <w:spacing w:line="360" w:lineRule="auto"/>
        <w:ind w:firstLine="480" w:firstLineChars="200"/>
        <w:jc w:val="left"/>
        <w:rPr>
          <w:rFonts w:cs="宋体" w:asciiTheme="minorEastAsia" w:hAnsiTheme="minorEastAsia" w:eastAsiaTheme="minorEastAsia"/>
          <w:iCs/>
          <w:sz w:val="24"/>
          <w:szCs w:val="24"/>
        </w:rPr>
      </w:pPr>
      <w:r>
        <w:rPr>
          <w:rFonts w:hint="eastAsia" w:cs="宋体" w:asciiTheme="minorEastAsia" w:hAnsiTheme="minorEastAsia" w:eastAsiaTheme="minorEastAsia"/>
          <w:iCs/>
          <w:sz w:val="24"/>
          <w:szCs w:val="24"/>
        </w:rPr>
        <w:t>4.3</w:t>
      </w:r>
      <w:r>
        <w:rPr>
          <w:rFonts w:hint="eastAsia" w:cs="宋体" w:asciiTheme="minorEastAsia" w:hAnsiTheme="minorEastAsia" w:eastAsiaTheme="minorEastAsia"/>
          <w:sz w:val="24"/>
          <w:szCs w:val="24"/>
        </w:rPr>
        <w:t>管控规则接口</w:t>
      </w:r>
    </w:p>
    <w:p>
      <w:pPr>
        <w:spacing w:line="360" w:lineRule="auto"/>
        <w:ind w:firstLine="480" w:firstLineChars="200"/>
        <w:jc w:val="left"/>
        <w:rPr>
          <w:rFonts w:hint="eastAsia" w:ascii="宋体" w:hAnsi="宋体" w:cs="宋体"/>
          <w:iCs/>
          <w:sz w:val="24"/>
          <w:szCs w:val="24"/>
        </w:rPr>
      </w:pPr>
      <w:r>
        <w:rPr>
          <w:rFonts w:hint="eastAsia" w:cs="宋体" w:asciiTheme="minorEastAsia" w:hAnsiTheme="minorEastAsia" w:eastAsiaTheme="minorEastAsia"/>
          <w:iCs/>
          <w:sz w:val="24"/>
          <w:szCs w:val="24"/>
        </w:rPr>
        <w:t>具备将最新的管控规则通过接口推送到合理用药系统的功</w:t>
      </w:r>
      <w:r>
        <w:rPr>
          <w:rFonts w:hint="eastAsia" w:ascii="宋体" w:hAnsi="宋体" w:cs="宋体"/>
          <w:iCs/>
          <w:sz w:val="24"/>
          <w:szCs w:val="24"/>
        </w:rPr>
        <w:t>能。</w:t>
      </w:r>
    </w:p>
    <w:p>
      <w:pPr>
        <w:spacing w:line="360" w:lineRule="auto"/>
        <w:jc w:val="left"/>
        <w:rPr>
          <w:rFonts w:hint="eastAsia" w:cs="宋体" w:asciiTheme="minorEastAsia" w:hAnsiTheme="minorEastAsia" w:eastAsiaTheme="minorEastAsia"/>
          <w:iCs/>
          <w:sz w:val="32"/>
          <w:szCs w:val="32"/>
        </w:rPr>
      </w:pPr>
      <w:r>
        <w:rPr>
          <w:rFonts w:hint="eastAsia" w:cs="宋体" w:asciiTheme="minorEastAsia" w:hAnsiTheme="minorEastAsia" w:eastAsiaTheme="minorEastAsia"/>
          <w:iCs/>
          <w:sz w:val="32"/>
          <w:szCs w:val="32"/>
        </w:rPr>
        <w:t>5.相关信息应能在HiS医生端提示</w:t>
      </w:r>
    </w:p>
    <w:p>
      <w:pPr>
        <w:pStyle w:val="14"/>
        <w:numPr>
          <w:ilvl w:val="0"/>
          <w:numId w:val="0"/>
        </w:numPr>
        <w:spacing w:before="75" w:after="75" w:line="360" w:lineRule="auto"/>
        <w:jc w:val="both"/>
        <w:rPr>
          <w:rFonts w:hint="default" w:ascii="宋体" w:hAnsi="宋体" w:eastAsia="宋体" w:cs="宋体"/>
          <w:bCs/>
          <w:sz w:val="24"/>
          <w:szCs w:val="24"/>
          <w:lang w:eastAsia="zh-CN"/>
        </w:rPr>
      </w:pPr>
    </w:p>
    <w:p>
      <w:pPr>
        <w:pStyle w:val="9"/>
        <w:spacing w:before="0" w:beforeAutospacing="0" w:after="0" w:afterAutospacing="0" w:line="405" w:lineRule="atLeast"/>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quot;times new roman&quot;, serif">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8DB966"/>
    <w:multiLevelType w:val="singleLevel"/>
    <w:tmpl w:val="FD8DB966"/>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DE2NmRmMzg5YmVlNjA0MjFhYWM0NGYyYjRlZWUifQ=="/>
  </w:docVars>
  <w:rsids>
    <w:rsidRoot w:val="53B52B8D"/>
    <w:rsid w:val="00224023"/>
    <w:rsid w:val="00235999"/>
    <w:rsid w:val="0027744B"/>
    <w:rsid w:val="00277805"/>
    <w:rsid w:val="003B2234"/>
    <w:rsid w:val="003E0AFC"/>
    <w:rsid w:val="004A2DE1"/>
    <w:rsid w:val="0058666D"/>
    <w:rsid w:val="00817BCD"/>
    <w:rsid w:val="00890F84"/>
    <w:rsid w:val="00954A17"/>
    <w:rsid w:val="00B91050"/>
    <w:rsid w:val="00CD6E77"/>
    <w:rsid w:val="00D82C95"/>
    <w:rsid w:val="00E15152"/>
    <w:rsid w:val="00F47CE3"/>
    <w:rsid w:val="103A345D"/>
    <w:rsid w:val="108D484E"/>
    <w:rsid w:val="177F50ED"/>
    <w:rsid w:val="18627A4A"/>
    <w:rsid w:val="19B57748"/>
    <w:rsid w:val="1ACD54EB"/>
    <w:rsid w:val="1D1722B1"/>
    <w:rsid w:val="2163733B"/>
    <w:rsid w:val="21702003"/>
    <w:rsid w:val="22754E6A"/>
    <w:rsid w:val="26723BAE"/>
    <w:rsid w:val="2B102802"/>
    <w:rsid w:val="2F2D5FFA"/>
    <w:rsid w:val="2F8C1E2A"/>
    <w:rsid w:val="38367C2B"/>
    <w:rsid w:val="384F0C8B"/>
    <w:rsid w:val="3A523049"/>
    <w:rsid w:val="3D4D20D4"/>
    <w:rsid w:val="3E7C6CA9"/>
    <w:rsid w:val="468819D7"/>
    <w:rsid w:val="4B317C06"/>
    <w:rsid w:val="4B8D1D61"/>
    <w:rsid w:val="4FA06318"/>
    <w:rsid w:val="53B52B8D"/>
    <w:rsid w:val="5BEF189A"/>
    <w:rsid w:val="5E365A6F"/>
    <w:rsid w:val="6039379E"/>
    <w:rsid w:val="645D6530"/>
    <w:rsid w:val="66681983"/>
    <w:rsid w:val="677550BB"/>
    <w:rsid w:val="733D23D0"/>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null3"/>
    <w:hidden/>
    <w:qFormat/>
    <w:uiPriority w:val="0"/>
    <w:rPr>
      <w:rFonts w:hint="eastAsia" w:asciiTheme="minorHAnsi" w:hAnsiTheme="minorHAnsi" w:eastAsiaTheme="minorEastAsia" w:cstheme="minorBidi"/>
      <w:lang w:val="en-US" w:eastAsia="zh-Hans" w:bidi="ar-SA"/>
    </w:rPr>
  </w:style>
  <w:style w:type="paragraph" w:customStyle="1" w:styleId="15">
    <w:name w:val="Fließtext"/>
    <w:basedOn w:val="1"/>
    <w:qFormat/>
    <w:uiPriority w:val="0"/>
    <w:pPr>
      <w:overflowPunct w:val="0"/>
      <w:autoSpaceDE w:val="0"/>
      <w:autoSpaceDN w:val="0"/>
      <w:adjustRightInd w:val="0"/>
      <w:textAlignment w:val="baseline"/>
    </w:pPr>
    <w:rPr>
      <w:kern w:val="28"/>
      <w:szCs w:val="20"/>
    </w:rPr>
  </w:style>
  <w:style w:type="paragraph" w:customStyle="1" w:styleId="16">
    <w:name w:val="列出段落1"/>
    <w:basedOn w:val="1"/>
    <w:qFormat/>
    <w:uiPriority w:val="99"/>
    <w:pPr>
      <w:ind w:firstLine="420" w:firstLineChars="200"/>
    </w:pPr>
    <w:rPr>
      <w:szCs w:val="22"/>
    </w:rPr>
  </w:style>
  <w:style w:type="character" w:customStyle="1" w:styleId="17">
    <w:name w:val="批注框文本 Char"/>
    <w:basedOn w:val="10"/>
    <w:link w:val="6"/>
    <w:qFormat/>
    <w:uiPriority w:val="0"/>
    <w:rPr>
      <w:rFonts w:ascii="Calibri" w:hAnsi="Calibri" w:eastAsia="宋体" w:cs="Times New Roman"/>
      <w:kern w:val="2"/>
      <w:sz w:val="18"/>
      <w:szCs w:val="18"/>
    </w:rPr>
  </w:style>
  <w:style w:type="character" w:customStyle="1" w:styleId="18">
    <w:name w:val="页眉 Char"/>
    <w:basedOn w:val="10"/>
    <w:link w:val="8"/>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2822</Words>
  <Characters>2896</Characters>
  <Lines>2</Lines>
  <Paragraphs>1</Paragraphs>
  <TotalTime>17</TotalTime>
  <ScaleCrop>false</ScaleCrop>
  <LinksUpToDate>false</LinksUpToDate>
  <CharactersWithSpaces>2897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2024-12-04T07:20:00Z</dcterms:created>
  <dc:creator>administrator</dc:creator>
  <cp:lastModifiedBy>lenovo</cp:lastModifiedBy>
  <dcterms:modified xsi:type="dcterms:W3CDTF">2026-06-02T01:49:21Z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547109C7CA96462A846119A879B7D276_13</vt:lpwstr>
  </property>
  <property fmtid="{D5CDD505-2E9C-101B-9397-08002B2CF9AE}" pid="4" name="KSOTemplateDocerSaveRecord">
    <vt:lpwstr>eyJoZGlkIjoiZGFhMzE5MWRlZGE4MGU0MTJkM2JhNzI2MjdmMjE2MTAiLCJ1c2VySWQiOiI0NzQyMjU0NzYifQ==</vt:lpwstr>
  </property>
</Properties>
</file>