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2F84C">
      <w:pPr>
        <w:spacing w:before="120" w:after="120" w:line="600" w:lineRule="exact"/>
        <w:ind w:left="0" w:firstLine="0"/>
        <w:jc w:val="center"/>
        <w:rPr>
          <w:rFonts w:hint="eastAsia" w:ascii="方正小标宋简体" w:hAnsi="方正小标宋简体" w:eastAsia="方正小标宋简体"/>
          <w:b/>
          <w:sz w:val="44"/>
          <w:lang w:eastAsia="zh-CN"/>
        </w:rPr>
      </w:pPr>
      <w:r>
        <w:rPr>
          <w:rFonts w:hint="eastAsia" w:ascii="方正小标宋简体" w:hAnsi="方正小标宋简体" w:eastAsia="方正小标宋简体"/>
          <w:b/>
          <w:sz w:val="44"/>
          <w:lang w:eastAsia="zh-CN"/>
        </w:rPr>
        <w:t>服务内容</w:t>
      </w:r>
    </w:p>
    <w:p w14:paraId="3D587FCA">
      <w:pPr>
        <w:spacing w:before="120" w:after="120" w:line="600" w:lineRule="exact"/>
        <w:ind w:left="0" w:firstLine="0"/>
        <w:jc w:val="left"/>
      </w:pPr>
      <w:r>
        <w:rPr>
          <w:rFonts w:ascii="黑体" w:hAnsi="黑体" w:eastAsia="黑体"/>
          <w:b/>
          <w:sz w:val="32"/>
        </w:rPr>
        <w:t>一、通用服务要求</w:t>
      </w:r>
    </w:p>
    <w:p w14:paraId="6C29E893">
      <w:pPr>
        <w:spacing w:before="0" w:after="0" w:line="600" w:lineRule="exact"/>
        <w:ind w:left="0" w:firstLine="560"/>
        <w:jc w:val="both"/>
      </w:pPr>
      <w:r>
        <w:rPr>
          <w:rFonts w:ascii="仿宋_GB2312" w:hAnsi="仿宋_GB2312" w:eastAsia="仿宋_GB2312"/>
          <w:b w:val="0"/>
          <w:sz w:val="28"/>
        </w:rPr>
        <w:t>服务方须提供7×24小时不间断技术支持，紧急故障30分钟内响应、1小时内处置完成，咨询类问题1小时内响应，日常运维管理类需求2小时内响应，数据恢复1小时内响应（紧急数据恢复需求立即响应），系统灾难及数据库崩溃等重大事件立即响应。服务方式包括电话、电子邮件、网络远程、即时通讯工具等远程服务，必要时提供现场服务。服务方须配合院方完成等保测评、安全检查等工作，所有涉及数据安全、患者隐私的服务行为须严格遵守国家相关法律法规及医疗信息安全规定。所有涉及系统重大变更的操作，须提前3个工作日提交书面方案，经院方审核批准后方可实施。</w:t>
      </w:r>
    </w:p>
    <w:p w14:paraId="6BA09370">
      <w:pPr>
        <w:spacing w:before="120" w:after="120" w:line="600" w:lineRule="exact"/>
        <w:ind w:left="0" w:firstLine="0"/>
        <w:jc w:val="left"/>
      </w:pPr>
      <w:r>
        <w:rPr>
          <w:rFonts w:hint="eastAsia" w:ascii="黑体" w:hAnsi="黑体" w:eastAsia="黑体"/>
          <w:b/>
          <w:sz w:val="32"/>
          <w:lang w:eastAsia="zh-CN"/>
        </w:rPr>
        <w:t>二</w:t>
      </w:r>
      <w:r>
        <w:rPr>
          <w:rFonts w:ascii="黑体" w:hAnsi="黑体" w:eastAsia="黑体"/>
          <w:b/>
          <w:sz w:val="32"/>
        </w:rPr>
        <w:t>、核心服务内容</w:t>
      </w:r>
    </w:p>
    <w:p w14:paraId="15F57E3C">
      <w:pPr>
        <w:spacing w:before="0" w:after="0" w:line="600" w:lineRule="exact"/>
        <w:ind w:left="560" w:firstLine="560"/>
        <w:jc w:val="both"/>
      </w:pPr>
      <w:r>
        <w:rPr>
          <w:rFonts w:ascii="仿宋_GB2312" w:hAnsi="仿宋_GB2312" w:eastAsia="仿宋_GB2312"/>
          <w:b w:val="0"/>
          <w:sz w:val="28"/>
        </w:rPr>
        <w:t>1. 基础业务承载保障：服务方须保障系统稳定支撑重症医学四科全部床位的全流程日常诊疗业务，确保与第三方系统及医疗设备的数据对接稳定、实时准确，业务无中断、数据无丢失。</w:t>
      </w:r>
    </w:p>
    <w:p w14:paraId="46C37D96">
      <w:pPr>
        <w:spacing w:before="0" w:after="0" w:line="600" w:lineRule="exact"/>
        <w:ind w:left="560" w:firstLine="560"/>
        <w:jc w:val="both"/>
      </w:pPr>
      <w:r>
        <w:rPr>
          <w:rFonts w:ascii="仿宋_GB2312" w:hAnsi="仿宋_GB2312" w:eastAsia="仿宋_GB2312"/>
          <w:b w:val="0"/>
          <w:sz w:val="28"/>
        </w:rPr>
        <w:t>2. 系统兼容性要求：与现有系统完全兼容，不得进行底层重构或流程颠覆，兼容性异常30分钟内响应、1小时内出具解决方案。</w:t>
      </w:r>
    </w:p>
    <w:p w14:paraId="2F6C8BCA">
      <w:pPr>
        <w:spacing w:before="0" w:after="0" w:line="600" w:lineRule="exact"/>
        <w:ind w:left="560" w:firstLine="560"/>
        <w:jc w:val="both"/>
      </w:pPr>
      <w:r>
        <w:rPr>
          <w:rFonts w:ascii="仿宋_GB2312" w:hAnsi="仿宋_GB2312" w:eastAsia="仿宋_GB2312"/>
          <w:b w:val="0"/>
          <w:sz w:val="28"/>
        </w:rPr>
        <w:t>3. 系统升级与历史数据保障：具备现有系统源代码维护能力，所有升级在原系统基础上进行，保障全量历史诊疗数据（病历文书、生命体征、医嘱、护理记录、质控数据等）的完整性、可用性，可正常查阅、调取、统计、导出；升级须提前3个工作日提交方案并经院方审核。</w:t>
      </w:r>
    </w:p>
    <w:p w14:paraId="57C3D176">
      <w:pPr>
        <w:spacing w:before="0" w:after="0" w:line="600" w:lineRule="exact"/>
        <w:ind w:left="560" w:firstLine="560"/>
        <w:jc w:val="both"/>
      </w:pPr>
      <w:r>
        <w:rPr>
          <w:rFonts w:ascii="仿宋_GB2312" w:hAnsi="仿宋_GB2312" w:eastAsia="仿宋_GB2312"/>
          <w:b w:val="0"/>
          <w:sz w:val="28"/>
        </w:rPr>
        <w:t>4. 咨询服务：1小时内响应。</w:t>
      </w:r>
    </w:p>
    <w:p w14:paraId="79D15DEA">
      <w:pPr>
        <w:spacing w:before="0" w:after="0" w:line="600" w:lineRule="exact"/>
        <w:ind w:left="560" w:firstLine="560"/>
        <w:jc w:val="both"/>
      </w:pPr>
      <w:r>
        <w:rPr>
          <w:rFonts w:ascii="仿宋_GB2312" w:hAnsi="仿宋_GB2312" w:eastAsia="仿宋_GB2312"/>
          <w:b w:val="0"/>
          <w:sz w:val="28"/>
        </w:rPr>
        <w:t>5. 故障排除服务：</w:t>
      </w:r>
      <w:r>
        <w:rPr>
          <w:rFonts w:hint="eastAsia" w:ascii="仿宋_GB2312" w:hAnsi="仿宋_GB2312" w:eastAsia="仿宋_GB2312"/>
          <w:b w:val="0"/>
          <w:sz w:val="28"/>
        </w:rPr>
        <w:t>30分钟内响应，</w:t>
      </w:r>
      <w:r>
        <w:rPr>
          <w:rFonts w:ascii="仿宋_GB2312" w:hAnsi="仿宋_GB2312" w:eastAsia="仿宋_GB2312"/>
          <w:b w:val="0"/>
          <w:sz w:val="28"/>
        </w:rPr>
        <w:t>紧急故障1小时内处置完成。</w:t>
      </w:r>
    </w:p>
    <w:p w14:paraId="162217CD">
      <w:pPr>
        <w:spacing w:before="0" w:after="0" w:line="600" w:lineRule="exact"/>
        <w:ind w:left="560" w:firstLine="560"/>
        <w:jc w:val="both"/>
      </w:pPr>
      <w:r>
        <w:rPr>
          <w:rFonts w:ascii="仿宋_GB2312" w:hAnsi="仿宋_GB2312" w:eastAsia="仿宋_GB2312"/>
          <w:b w:val="0"/>
          <w:sz w:val="28"/>
        </w:rPr>
        <w:t>6. 需求适配调整：2小时内响应并按约定时限完成。</w:t>
      </w:r>
    </w:p>
    <w:p w14:paraId="50A89ACC">
      <w:pPr>
        <w:spacing w:before="0" w:after="0" w:line="600" w:lineRule="exact"/>
        <w:ind w:left="560" w:firstLine="560"/>
        <w:jc w:val="both"/>
      </w:pPr>
      <w:r>
        <w:rPr>
          <w:rFonts w:ascii="仿宋_GB2312" w:hAnsi="仿宋_GB2312" w:eastAsia="仿宋_GB2312"/>
          <w:b w:val="0"/>
          <w:sz w:val="28"/>
        </w:rPr>
        <w:t>7. 日常运维管理：协助院方建立完善系统日常维护记录台账及制度，定期联合开展系统运行情况全维度检查，提供闭环解决方案。</w:t>
      </w:r>
    </w:p>
    <w:p w14:paraId="7BA8803C">
      <w:pPr>
        <w:spacing w:before="0" w:after="0" w:line="600" w:lineRule="exact"/>
        <w:ind w:left="560" w:firstLine="560"/>
        <w:jc w:val="both"/>
      </w:pPr>
      <w:r>
        <w:rPr>
          <w:rFonts w:ascii="仿宋_GB2312" w:hAnsi="仿宋_GB2312" w:eastAsia="仿宋_GB2312"/>
          <w:b w:val="0"/>
          <w:sz w:val="28"/>
        </w:rPr>
        <w:t>8. 接口运维保障：负责与EMR、LIS、PACS、手麻系统及床边医疗设备（监护仪、呼吸机、输液泵等）的集成接口全生命周期维护，确保数据实时、准确、稳定传输；按季度开展接口运行状态巡检，接口异常30分钟内响应、1小时内提供排查结果及解决方案；全程配合接口联调、适配优化等相关工作，必要时联合第三方厂商现场调试。</w:t>
      </w:r>
    </w:p>
    <w:p w14:paraId="5D2268AB">
      <w:pPr>
        <w:spacing w:before="0" w:after="0" w:line="600" w:lineRule="exact"/>
        <w:ind w:left="560" w:firstLine="560"/>
        <w:jc w:val="both"/>
      </w:pPr>
      <w:r>
        <w:rPr>
          <w:rFonts w:ascii="仿宋_GB2312" w:hAnsi="仿宋_GB2312" w:eastAsia="仿宋_GB2312"/>
          <w:b w:val="0"/>
          <w:sz w:val="28"/>
        </w:rPr>
        <w:t>9. 数据恢复服务：因院方操作不当或其他意外原因导致患者病历数据丢失（包括入院记录、病程记录、护理文书、医嘱记录、生命体征数据等全量病历数据），提供全流程数据恢复技术支持，协助院方运维人员完成数据恢复，保障数据完整性；1小时内响应，紧急需求立即响应。</w:t>
      </w:r>
    </w:p>
    <w:p w14:paraId="5C538840">
      <w:pPr>
        <w:spacing w:before="0" w:after="0" w:line="600" w:lineRule="exact"/>
        <w:ind w:left="560" w:firstLine="560"/>
        <w:jc w:val="both"/>
      </w:pPr>
      <w:r>
        <w:rPr>
          <w:rFonts w:ascii="仿宋_GB2312" w:hAnsi="仿宋_GB2312" w:eastAsia="仿宋_GB2312"/>
          <w:b w:val="0"/>
          <w:sz w:val="28"/>
        </w:rPr>
        <w:t>10. 数据校准调整：因院方操作不当或其他原因造成患者诊疗数据出现部分或全部错误、数据异常（包括患者信息匹配异常、病历信息无法编辑、数据统计错误等），提供专业技术支持，协助完成数据校准、调整与修正；1小时内响应。</w:t>
      </w:r>
    </w:p>
    <w:p w14:paraId="0082F962">
      <w:pPr>
        <w:spacing w:before="0" w:after="0" w:line="600" w:lineRule="exact"/>
        <w:ind w:left="560" w:firstLine="560"/>
        <w:jc w:val="both"/>
      </w:pPr>
      <w:r>
        <w:rPr>
          <w:rFonts w:ascii="仿宋_GB2312" w:hAnsi="仿宋_GB2312" w:eastAsia="仿宋_GB2312"/>
          <w:b w:val="0"/>
          <w:sz w:val="28"/>
        </w:rPr>
        <w:t>11. 系统灾难应急处置：当发生系统宕机、数据库崩溃、大规模数据丢失等系统灾难事件时，立即启动应急响应机制，提供应急处置技术支持，最大限度减少数据损失，快速恢复系统正常运行；立即响应，7×24小时应急保障。</w:t>
      </w:r>
    </w:p>
    <w:p w14:paraId="2DD8C3B2">
      <w:pPr>
        <w:spacing w:before="0" w:after="0" w:line="600" w:lineRule="exact"/>
        <w:ind w:left="560" w:firstLine="560"/>
        <w:jc w:val="both"/>
      </w:pPr>
      <w:r>
        <w:rPr>
          <w:rFonts w:ascii="仿宋_GB2312" w:hAnsi="仿宋_GB2312" w:eastAsia="仿宋_GB2312"/>
          <w:b w:val="0"/>
          <w:sz w:val="28"/>
        </w:rPr>
        <w:t>12. 系统管理培训：针对院方系统管理人员、科室负责人等，开展系统管理理念、管理流程、运维操作规范、风险防控等专项培训；按需开展，提前预约。</w:t>
      </w:r>
    </w:p>
    <w:p w14:paraId="78A43D8B">
      <w:pPr>
        <w:spacing w:before="0" w:after="0" w:line="600" w:lineRule="exact"/>
        <w:ind w:left="560" w:firstLine="560"/>
        <w:jc w:val="both"/>
      </w:pPr>
      <w:r>
        <w:rPr>
          <w:rFonts w:ascii="仿宋_GB2312" w:hAnsi="仿宋_GB2312" w:eastAsia="仿宋_GB2312"/>
          <w:b w:val="0"/>
          <w:sz w:val="28"/>
        </w:rPr>
        <w:t>13. 运维操作培训：针对院方人员岗位变动、离职交接等场景，为新任系统运维人员、临床使用人员提供系统全功能操作、基础故障排查、日常运维规范等专项培训；按需开展，提前预约。</w:t>
      </w:r>
    </w:p>
    <w:p w14:paraId="243FFC9B">
      <w:pPr>
        <w:spacing w:before="0" w:after="0" w:line="600" w:lineRule="exact"/>
        <w:ind w:left="560" w:firstLine="560"/>
        <w:jc w:val="both"/>
      </w:pPr>
      <w:r>
        <w:rPr>
          <w:rFonts w:ascii="仿宋_GB2312" w:hAnsi="仿宋_GB2312" w:eastAsia="仿宋_GB2312"/>
          <w:b w:val="0"/>
          <w:sz w:val="28"/>
        </w:rPr>
        <w:t>14. 现场巡检服务：每年不少于2次</w:t>
      </w:r>
      <w:r>
        <w:rPr>
          <w:rFonts w:hint="eastAsia" w:ascii="仿宋_GB2312" w:hAnsi="仿宋_GB2312" w:eastAsia="仿宋_GB2312"/>
          <w:b w:val="0"/>
          <w:sz w:val="28"/>
        </w:rPr>
        <w:t>（法定工作日提前预约，按年度计划执行）</w:t>
      </w:r>
      <w:r>
        <w:rPr>
          <w:rFonts w:ascii="仿宋_GB2312" w:hAnsi="仿宋_GB2312" w:eastAsia="仿宋_GB2312"/>
          <w:b w:val="0"/>
          <w:sz w:val="28"/>
        </w:rPr>
        <w:t>，现场核查系统各模块运行情况、接口运行状态、数据安全情况，与院方人员沟通系统使用问题并提供解决方案；巡检完成后5个工作日内向院方提交正式巡检报告及优化建议。</w:t>
      </w:r>
    </w:p>
    <w:p w14:paraId="7968A51A">
      <w:pPr>
        <w:spacing w:before="0" w:after="0" w:line="600" w:lineRule="exact"/>
        <w:ind w:left="560" w:firstLine="560"/>
        <w:jc w:val="both"/>
      </w:pPr>
      <w:r>
        <w:rPr>
          <w:rFonts w:ascii="仿宋_GB2312" w:hAnsi="仿宋_GB2312" w:eastAsia="仿宋_GB2312"/>
          <w:b w:val="0"/>
          <w:sz w:val="28"/>
        </w:rPr>
        <w:t>15. 专属热线服务：提供7×24小时专属维护热线，建立完整系统维护档案，全流程记录维保服务事项；协助院方完善日常维护记录制度与系统管理规范；法定工作日全时段值守，非工作日紧急需求30分钟内响应。</w:t>
      </w:r>
    </w:p>
    <w:p w14:paraId="687D295B">
      <w:pPr>
        <w:spacing w:before="0" w:after="0" w:line="600" w:lineRule="exact"/>
        <w:ind w:left="560" w:firstLine="560"/>
        <w:jc w:val="both"/>
      </w:pPr>
      <w:r>
        <w:rPr>
          <w:rFonts w:ascii="仿宋_GB2312" w:hAnsi="仿宋_GB2312" w:eastAsia="仿宋_GB2312"/>
          <w:b w:val="0"/>
          <w:sz w:val="28"/>
        </w:rPr>
        <w:t>16. 技术疑难问题解答：解答院方关于系统应用、数据库管理、运维操作等各类疑难问题，针对数据库操作、数据统计、系统优化等场景提供专业、可落地的技术解决方案；法定工作日1小时内响应。</w:t>
      </w:r>
    </w:p>
    <w:p w14:paraId="3C7C1B13">
      <w:pPr>
        <w:spacing w:before="0" w:after="0" w:line="600" w:lineRule="exact"/>
        <w:ind w:left="560" w:firstLine="560"/>
        <w:jc w:val="both"/>
      </w:pPr>
      <w:r>
        <w:rPr>
          <w:rFonts w:ascii="仿宋_GB2312" w:hAnsi="仿宋_GB2312" w:eastAsia="仿宋_GB2312"/>
          <w:b w:val="0"/>
          <w:sz w:val="28"/>
        </w:rPr>
        <w:t>17. 系统版本升级优化：提供系统各模块同版本内的功能升级、漏洞修复、性能优化服务，提升系统运行稳定性与安全性，适配临床业务需求；按需实施，法定工作日提前预约。</w:t>
      </w:r>
    </w:p>
    <w:p w14:paraId="6B1F33C7">
      <w:pPr>
        <w:spacing w:before="0" w:after="0" w:line="600" w:lineRule="exact"/>
        <w:ind w:left="560" w:firstLine="560"/>
        <w:jc w:val="both"/>
      </w:pPr>
      <w:r>
        <w:rPr>
          <w:rFonts w:ascii="仿宋_GB2312" w:hAnsi="仿宋_GB2312" w:eastAsia="仿宋_GB2312"/>
          <w:b w:val="0"/>
          <w:sz w:val="28"/>
        </w:rPr>
        <w:t>18. 服务质量回访监督：针对每一次报修请求、服务事项，安排专属专员进行全量回访，征询问题解决情况及服务满意度，收集优化建议，全流程监督服务质量，形成服务闭环管理；报修问题闭环解决后3个工作日内完成回访。</w:t>
      </w:r>
    </w:p>
    <w:p w14:paraId="6AF0EC8A">
      <w:pPr>
        <w:spacing w:before="120" w:after="120" w:line="600" w:lineRule="exact"/>
        <w:ind w:left="0" w:firstLine="0"/>
        <w:jc w:val="left"/>
      </w:pPr>
      <w:r>
        <w:rPr>
          <w:rFonts w:hint="eastAsia" w:ascii="黑体" w:hAnsi="黑体" w:eastAsia="黑体"/>
          <w:b/>
          <w:sz w:val="32"/>
          <w:lang w:eastAsia="zh-CN"/>
        </w:rPr>
        <w:t>三</w:t>
      </w:r>
      <w:r>
        <w:rPr>
          <w:rFonts w:ascii="黑体" w:hAnsi="黑体" w:eastAsia="黑体"/>
          <w:b/>
          <w:sz w:val="32"/>
        </w:rPr>
        <w:t>、验收标准</w:t>
      </w:r>
    </w:p>
    <w:p w14:paraId="67E8E7A5">
      <w:pPr>
        <w:spacing w:before="0" w:after="0" w:line="600" w:lineRule="exact"/>
        <w:ind w:left="0" w:firstLine="560"/>
        <w:jc w:val="both"/>
      </w:pPr>
      <w:r>
        <w:rPr>
          <w:rFonts w:ascii="仿宋_GB2312" w:hAnsi="仿宋_GB2312" w:eastAsia="仿宋_GB2312"/>
          <w:b w:val="0"/>
          <w:sz w:val="28"/>
        </w:rPr>
        <w:t>服务期满后，服务方须向院方提交以下交付物，经院方审核通过后签署验收报告：</w:t>
      </w:r>
    </w:p>
    <w:p w14:paraId="6FD01449">
      <w:pPr>
        <w:spacing w:before="0" w:after="0" w:line="600" w:lineRule="exact"/>
        <w:ind w:left="560" w:firstLine="560"/>
        <w:jc w:val="both"/>
      </w:pPr>
      <w:r>
        <w:rPr>
          <w:rFonts w:ascii="仿宋_GB2312" w:hAnsi="仿宋_GB2312" w:eastAsia="仿宋_GB2312"/>
          <w:b w:val="0"/>
          <w:sz w:val="28"/>
        </w:rPr>
        <w:t>1. 年度服务总结报告（含服务次数、故障处理记录、响应达成情况）</w:t>
      </w:r>
    </w:p>
    <w:p w14:paraId="1AC999A3">
      <w:pPr>
        <w:spacing w:before="0" w:after="0" w:line="600" w:lineRule="exact"/>
        <w:ind w:left="560" w:firstLine="560"/>
        <w:jc w:val="both"/>
      </w:pPr>
      <w:r>
        <w:rPr>
          <w:rFonts w:ascii="仿宋_GB2312" w:hAnsi="仿宋_GB2312" w:eastAsia="仿宋_GB2312"/>
          <w:b w:val="0"/>
          <w:sz w:val="28"/>
        </w:rPr>
        <w:t>2. 系统运行状态评估报告</w:t>
      </w:r>
    </w:p>
    <w:p w14:paraId="2049AB35">
      <w:pPr>
        <w:spacing w:before="0" w:after="0" w:line="600" w:lineRule="exact"/>
        <w:ind w:left="560" w:firstLine="560"/>
        <w:jc w:val="both"/>
      </w:pPr>
      <w:r>
        <w:rPr>
          <w:rFonts w:ascii="仿宋_GB2312" w:hAnsi="仿宋_GB2312" w:eastAsia="仿宋_GB2312"/>
          <w:b w:val="0"/>
          <w:sz w:val="28"/>
        </w:rPr>
        <w:t>3. 全部现场巡检报告（每年不少于2次，每次巡检完成后5个工作日内提交）</w:t>
      </w:r>
    </w:p>
    <w:p w14:paraId="3D2089C3">
      <w:pPr>
        <w:spacing w:before="0" w:after="0" w:line="600" w:lineRule="exact"/>
        <w:ind w:left="560" w:firstLine="560"/>
        <w:jc w:val="both"/>
      </w:pPr>
      <w:r>
        <w:rPr>
          <w:rFonts w:ascii="仿宋_GB2312" w:hAnsi="仿宋_GB2312" w:eastAsia="仿宋_GB2312"/>
          <w:b w:val="0"/>
          <w:sz w:val="28"/>
        </w:rPr>
        <w:t>4. 培训记录材料（含签到表、培训内容、考核结果）</w:t>
      </w:r>
    </w:p>
    <w:p w14:paraId="0A1BE31E">
      <w:pPr>
        <w:spacing w:before="0" w:after="0" w:line="600" w:lineRule="exact"/>
        <w:ind w:left="560" w:firstLine="560"/>
        <w:jc w:val="both"/>
      </w:pPr>
      <w:r>
        <w:rPr>
          <w:rFonts w:ascii="仿宋_GB2312" w:hAnsi="仿宋_GB2312" w:eastAsia="仿宋_GB2312"/>
          <w:b w:val="0"/>
          <w:sz w:val="28"/>
        </w:rPr>
        <w:t>5. 服务质量回访记录汇总</w:t>
      </w:r>
    </w:p>
    <w:p w14:paraId="25E4D50A">
      <w:pPr>
        <w:spacing w:before="0" w:after="0" w:line="600" w:lineRule="exact"/>
        <w:ind w:left="560" w:firstLine="560"/>
        <w:jc w:val="both"/>
      </w:pPr>
      <w:r>
        <w:rPr>
          <w:rFonts w:ascii="仿宋_GB2312" w:hAnsi="仿宋_GB2312" w:eastAsia="仿宋_GB2312"/>
          <w:b w:val="0"/>
          <w:sz w:val="28"/>
        </w:rPr>
        <w:t>6. 数据完整性核验证明（确认历史数据无丢失、可正常查阅调取）</w:t>
      </w:r>
    </w:p>
    <w:p w14:paraId="7FDBD06C">
      <w:pPr>
        <w:spacing w:before="120" w:after="120" w:line="600" w:lineRule="exact"/>
        <w:ind w:left="0" w:firstLine="0"/>
        <w:jc w:val="left"/>
      </w:pPr>
      <w:r>
        <w:rPr>
          <w:rFonts w:hint="eastAsia" w:ascii="黑体" w:hAnsi="黑体" w:eastAsia="黑体"/>
          <w:b/>
          <w:sz w:val="32"/>
          <w:lang w:eastAsia="zh-CN"/>
        </w:rPr>
        <w:t>四</w:t>
      </w:r>
      <w:bookmarkStart w:id="0" w:name="_GoBack"/>
      <w:bookmarkEnd w:id="0"/>
      <w:r>
        <w:rPr>
          <w:rFonts w:ascii="黑体" w:hAnsi="黑体" w:eastAsia="黑体"/>
          <w:b/>
          <w:sz w:val="32"/>
        </w:rPr>
        <w:t>、服务资质要求</w:t>
      </w:r>
    </w:p>
    <w:p w14:paraId="665DD277">
      <w:pPr>
        <w:spacing w:before="0" w:after="0" w:line="600" w:lineRule="exact"/>
        <w:ind w:left="560" w:firstLine="560"/>
        <w:jc w:val="both"/>
      </w:pPr>
      <w:r>
        <w:rPr>
          <w:rFonts w:ascii="仿宋_GB2312" w:hAnsi="仿宋_GB2312" w:eastAsia="仿宋_GB2312"/>
          <w:b w:val="0"/>
          <w:sz w:val="28"/>
        </w:rPr>
        <w:t>1. 服务方须具备重症临床信息管理系统原厂维保资质或经原厂授权的维保服务资格。</w:t>
      </w:r>
    </w:p>
    <w:p w14:paraId="7B39E646">
      <w:pPr>
        <w:spacing w:before="0" w:after="0" w:line="600" w:lineRule="exact"/>
        <w:ind w:left="560" w:firstLine="560"/>
        <w:jc w:val="both"/>
      </w:pPr>
      <w:r>
        <w:rPr>
          <w:rFonts w:ascii="仿宋_GB2312" w:hAnsi="仿宋_GB2312" w:eastAsia="仿宋_GB2312"/>
          <w:b w:val="0"/>
          <w:sz w:val="28"/>
        </w:rPr>
        <w:t>2. 服务方须具备现有系统源代码维护能力，确保版本升级、数据保障等技术工作可独立完成。</w:t>
      </w:r>
    </w:p>
    <w:p w14:paraId="7087A3F4">
      <w:pPr>
        <w:spacing w:before="0" w:after="0" w:line="600" w:lineRule="exact"/>
        <w:ind w:left="560" w:firstLine="560"/>
        <w:jc w:val="both"/>
      </w:pPr>
      <w:r>
        <w:rPr>
          <w:rFonts w:ascii="仿宋_GB2312" w:hAnsi="仿宋_GB2312" w:eastAsia="仿宋_GB2312"/>
          <w:b w:val="0"/>
          <w:sz w:val="28"/>
        </w:rPr>
        <w:t>3. 服务方须保守院方工作秘密，不得泄露患者诊疗信息及医院业务数据。</w:t>
      </w:r>
    </w:p>
    <w:sectPr>
      <w:pgSz w:w="11906" w:h="16838"/>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仪仿宋简">
    <w:panose1 w:val="02010600000101010101"/>
    <w:charset w:val="80"/>
    <w:family w:val="auto"/>
    <w:pitch w:val="default"/>
    <w:sig w:usb0="800002BF" w:usb1="184F6CF8" w:usb2="00000012" w:usb3="00000000" w:csb0="00020001" w:csb1="00000000"/>
  </w:font>
  <w:font w:name="Segoe UI">
    <w:panose1 w:val="020B0502040204020203"/>
    <w:charset w:val="00"/>
    <w:family w:val="auto"/>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9805DDF"/>
    <w:rsid w:val="293146FB"/>
    <w:rsid w:val="294A36FB"/>
    <w:rsid w:val="473F3F69"/>
    <w:rsid w:val="67F51E74"/>
    <w:rsid w:val="73BA35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2200</Words>
  <Characters>2252</Characters>
  <Lines>0</Lines>
  <Paragraphs>0</Paragraphs>
  <TotalTime>1</TotalTime>
  <ScaleCrop>false</ScaleCrop>
  <LinksUpToDate>false</LinksUpToDate>
  <CharactersWithSpaces>2279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HQM</cp:lastModifiedBy>
  <dcterms:modified xsi:type="dcterms:W3CDTF">2026-06-02T02:15:05Z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eyJoZGlkIjoiMjU0NzA3NzU0M2Y2YzEwNTFjMWFiYzdhZGM0YjE3OTQiLCJ1c2VySWQiOiIzNTc3Mjc5NjcifQ==</vt:lpwstr>
  </property>
  <property fmtid="{D5CDD505-2E9C-101B-9397-08002B2CF9AE}" pid="3" name="KSOProductBuildVer">
    <vt:lpwstr>2052-12.1.0.26375</vt:lpwstr>
  </property>
  <property fmtid="{D5CDD505-2E9C-101B-9397-08002B2CF9AE}" pid="4" name="ICV">
    <vt:lpwstr>688C863A56C543598ECA518456D735D6_12</vt:lpwstr>
  </property>
</Properties>
</file>