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8C8E3">
      <w:pPr>
        <w:pStyle w:val="5"/>
        <w:numPr>
          <w:ilvl w:val="0"/>
          <w:numId w:val="0"/>
        </w:numPr>
        <w:spacing w:before="156" w:after="156"/>
        <w:ind w:leftChars="0"/>
        <w:jc w:val="center"/>
      </w:pPr>
      <w:r>
        <w:rPr>
          <w:rFonts w:hint="eastAsia" w:ascii="黑体" w:hAnsi="黑体"/>
          <w:sz w:val="36"/>
          <w:szCs w:val="36"/>
        </w:rPr>
        <w:t>应急物资管理平台功能清单</w:t>
      </w:r>
    </w:p>
    <w:p w14:paraId="50DB7768">
      <w:pPr>
        <w:pStyle w:val="14"/>
        <w:rPr>
          <w:rFonts w:hint="eastAsia"/>
        </w:rPr>
      </w:pPr>
      <w:bookmarkStart w:id="0" w:name="_Hlk180056958"/>
      <w:bookmarkStart w:id="1" w:name="_Toc150521457"/>
      <w:bookmarkStart w:id="2" w:name="_Toc190852800"/>
      <w:r>
        <w:rPr>
          <w:rFonts w:hint="eastAsia"/>
        </w:rPr>
        <w:t>应急物资管理平台通过信息化手段融合、物联网、大数据分析等前沿技术，搭配RFID射频识别设备自动化硬件，构建智能化物资管理体系。实现物资全生命周期精准管控，涵盖入库、存储、调配及报废全流程数字化管理；建立平战无缝切换机制，日常精细化运营与战时快速响应兼顾。该系统将颠覆传统模式，打造智慧仓储新范式，为应急救援提供坚实物资保障。</w:t>
      </w:r>
      <w:bookmarkStart w:id="7" w:name="_GoBack"/>
      <w:bookmarkEnd w:id="7"/>
    </w:p>
    <w:p w14:paraId="697B8BAB">
      <w:pPr>
        <w:pStyle w:val="14"/>
        <w:rPr>
          <w:rFonts w:hint="eastAsia"/>
        </w:rPr>
      </w:pPr>
      <w:r>
        <w:rPr>
          <w:rFonts w:hint="eastAsia"/>
        </w:rPr>
        <w:t>具体建设内容如下：</w:t>
      </w:r>
    </w:p>
    <w:p w14:paraId="4AB2A957">
      <w:pPr>
        <w:pStyle w:val="6"/>
        <w:keepNext/>
        <w:keepLines/>
        <w:pageBreakBefore w:val="0"/>
        <w:widowControl w:val="0"/>
        <w:kinsoku/>
        <w:wordWrap/>
        <w:overflowPunct/>
        <w:topLinePunct w:val="0"/>
        <w:autoSpaceDE/>
        <w:autoSpaceDN/>
        <w:bidi w:val="0"/>
        <w:adjustRightInd/>
        <w:snapToGrid w:val="0"/>
        <w:spacing w:before="240" w:after="240"/>
        <w:textAlignment w:val="auto"/>
        <w:outlineLvl w:val="1"/>
      </w:pPr>
      <w:r>
        <w:rPr>
          <w:rFonts w:hint="eastAsia"/>
        </w:rPr>
        <w:t>PC端</w:t>
      </w:r>
    </w:p>
    <w:p w14:paraId="733B08C7">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首页</w:t>
      </w:r>
    </w:p>
    <w:p w14:paraId="0B5142C3">
      <w:pPr>
        <w:pStyle w:val="14"/>
      </w:pPr>
      <w:r>
        <w:rPr>
          <w:rFonts w:hint="eastAsia"/>
        </w:rPr>
        <w:t>首页展示出入库数据统计，通过图表直观呈现物资动态；提供物资保养及有效期预警，确保物资随时可用；列出待归还清单，方便跟进借用物资；记录人员进出仓库情况，保障仓储安全。</w:t>
      </w:r>
    </w:p>
    <w:p w14:paraId="11EB281F">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出入库管理</w:t>
      </w:r>
    </w:p>
    <w:p w14:paraId="0751F74C">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入库管理</w:t>
      </w:r>
    </w:p>
    <w:p w14:paraId="431C9446">
      <w:pPr>
        <w:pStyle w:val="14"/>
      </w:pPr>
      <w:r>
        <w:rPr>
          <w:rFonts w:hint="eastAsia"/>
        </w:rPr>
        <w:t>库管员在物资入库前先进行条码打印，打印完成后借助系统提供的物资入库功能，实现物资的快速扫码入库。入库完成后，系统会自动生成详细的入库记录，确保库存数据实时更新，为库房管理提供精准的入库信息，确保库存数据的准确性和可追溯性。</w:t>
      </w:r>
    </w:p>
    <w:p w14:paraId="506A64C8">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ascii="Times New Roman" w:hAnsi="Times New Roman" w:cstheme="majorBidi"/>
          <w:b/>
        </w:rPr>
        <w:t>条码打印</w:t>
      </w:r>
    </w:p>
    <w:p w14:paraId="29BC9859">
      <w:pPr>
        <w:pStyle w:val="14"/>
      </w:pPr>
      <w:r>
        <w:rPr>
          <w:rFonts w:hint="eastAsia"/>
        </w:rPr>
        <w:t>支持入库前不同类型物资条码的打印，如耗材，箱组，设备，以及箱组内对应物资条码的打印；</w:t>
      </w:r>
    </w:p>
    <w:p w14:paraId="5E6CE043">
      <w:pPr>
        <w:pStyle w:val="14"/>
      </w:pPr>
      <w:r>
        <w:rPr>
          <w:rFonts w:hint="eastAsia"/>
        </w:rPr>
        <w:t>支持打印条码时候定义条码打印数量，条码打印开始编号及结束编号。</w:t>
      </w:r>
    </w:p>
    <w:p w14:paraId="6AF24A23">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ascii="Times New Roman" w:hAnsi="Times New Roman" w:cstheme="majorBidi"/>
          <w:b/>
        </w:rPr>
      </w:pPr>
      <w:r>
        <w:rPr>
          <w:rFonts w:hint="eastAsia" w:ascii="Times New Roman" w:hAnsi="Times New Roman" w:cstheme="majorBidi"/>
          <w:b/>
        </w:rPr>
        <w:t>物资入库</w:t>
      </w:r>
    </w:p>
    <w:p w14:paraId="71B4A984">
      <w:pPr>
        <w:pStyle w:val="14"/>
        <w:pageBreakBefore w:val="0"/>
        <w:widowControl w:val="0"/>
        <w:kinsoku/>
        <w:wordWrap/>
        <w:overflowPunct/>
        <w:topLinePunct w:val="0"/>
        <w:autoSpaceDE/>
        <w:autoSpaceDN/>
        <w:bidi w:val="0"/>
        <w:textAlignment w:val="auto"/>
      </w:pPr>
      <w:r>
        <w:t>（1）</w:t>
      </w:r>
      <w:r>
        <w:rPr>
          <w:rFonts w:hint="eastAsia"/>
        </w:rPr>
        <w:t>物资在入库前需要对条码进行打印，通过选择普通入库或快速入库的方式可以对物资实现快速入库；</w:t>
      </w:r>
    </w:p>
    <w:p w14:paraId="71C647D8">
      <w:pPr>
        <w:pStyle w:val="14"/>
      </w:pPr>
      <w:r>
        <w:rPr>
          <w:rFonts w:hint="eastAsia"/>
        </w:rPr>
        <w:t>（2）支持用户选择库位或者扫描库位条码后，同时扫描物资条码继续 物资的快速出库；</w:t>
      </w:r>
    </w:p>
    <w:p w14:paraId="409EBF18">
      <w:pPr>
        <w:pStyle w:val="14"/>
      </w:pPr>
      <w:r>
        <w:rPr>
          <w:rFonts w:hint="eastAsia"/>
        </w:rPr>
        <w:t>（3）支持用户根据扫描物资条码信息，填写入库数量以及相应的开始结束流水号，同时选择入库位置对物资进行快速入库。</w:t>
      </w:r>
    </w:p>
    <w:p w14:paraId="4B68EC6E">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ascii="Times New Roman" w:hAnsi="Times New Roman" w:cstheme="majorBidi"/>
          <w:b/>
        </w:rPr>
      </w:pPr>
      <w:r>
        <w:rPr>
          <w:rFonts w:hint="eastAsia" w:ascii="Times New Roman" w:hAnsi="Times New Roman" w:cstheme="majorBidi"/>
          <w:b/>
        </w:rPr>
        <w:t>入库记录</w:t>
      </w:r>
    </w:p>
    <w:p w14:paraId="7647EF3A">
      <w:pPr>
        <w:pStyle w:val="14"/>
      </w:pPr>
      <w:r>
        <w:rPr>
          <w:rFonts w:hint="eastAsia"/>
        </w:rPr>
        <w:t>（1）支持按照清单编号，入库类型，仓库名称筛选</w:t>
      </w:r>
    </w:p>
    <w:p w14:paraId="7B8B4DA1">
      <w:pPr>
        <w:pStyle w:val="14"/>
      </w:pPr>
      <w:r>
        <w:rPr>
          <w:rFonts w:hint="eastAsia"/>
        </w:rPr>
        <w:t>（2）支持入库记录数据导出；</w:t>
      </w:r>
    </w:p>
    <w:p w14:paraId="3C3CBC8C">
      <w:pPr>
        <w:pStyle w:val="14"/>
      </w:pPr>
      <w:r>
        <w:rPr>
          <w:rFonts w:hint="eastAsia"/>
        </w:rPr>
        <w:t>（3）支持选择入库物资条码数据对其进行打印，此打印可以展示对应库位信息；</w:t>
      </w:r>
    </w:p>
    <w:p w14:paraId="1EB47170">
      <w:pPr>
        <w:pStyle w:val="14"/>
      </w:pPr>
      <w:r>
        <w:rPr>
          <w:rFonts w:hint="eastAsia"/>
        </w:rPr>
        <w:t>（4）支持物资条码打印。</w:t>
      </w:r>
    </w:p>
    <w:p w14:paraId="7813FE01">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出库清单</w:t>
      </w:r>
    </w:p>
    <w:p w14:paraId="152A14EA">
      <w:pPr>
        <w:pStyle w:val="14"/>
      </w:pPr>
      <w:r>
        <w:rPr>
          <w:rFonts w:hint="eastAsia"/>
        </w:rPr>
        <w:t>该模块专注于优化库管员在创建出库清单时的操作体验，通过提供多样化的出库类型选择，全面满足不同出库场景的需求。库管员可根据具体业务场景，灵活选择应急出库、预案出库、报废出库等出库类型，系统将根据不同出库类型的特点，提供相应的操作指引和流程支持。</w:t>
      </w:r>
    </w:p>
    <w:p w14:paraId="16621615">
      <w:pPr>
        <w:pStyle w:val="14"/>
      </w:pPr>
      <w:r>
        <w:rPr>
          <w:rFonts w:hint="eastAsia"/>
        </w:rPr>
        <w:t>在紧急情况下，应急出库可快速响应物资调配需求；而借用出库则适用于临时借用物资的场景，便于后续归还管理。通过这种方式，该模块有效提升了出库管理的精细化水平，为库房的高效运营提供了有力保障。</w:t>
      </w:r>
    </w:p>
    <w:p w14:paraId="05D9090F">
      <w:pPr>
        <w:pStyle w:val="14"/>
      </w:pPr>
      <w:r>
        <w:rPr>
          <w:rFonts w:hint="eastAsia"/>
        </w:rPr>
        <w:t>（1）支持清单编号，出库类型，库管员，制单时间，出库方式，领取人，事件，出库状态查询；</w:t>
      </w:r>
    </w:p>
    <w:p w14:paraId="2D4CD37F">
      <w:pPr>
        <w:pStyle w:val="14"/>
      </w:pPr>
      <w:r>
        <w:rPr>
          <w:rFonts w:hint="eastAsia"/>
        </w:rPr>
        <w:t>（2）支持用户在出库前按照不同的出库类型创建相应的出库单据进行物资出库；</w:t>
      </w:r>
    </w:p>
    <w:p w14:paraId="75C475FD">
      <w:pPr>
        <w:pStyle w:val="14"/>
      </w:pPr>
      <w:r>
        <w:rPr>
          <w:rFonts w:hint="eastAsia"/>
        </w:rPr>
        <w:t>（3）支持出库单关联事件进行出库；</w:t>
      </w:r>
    </w:p>
    <w:p w14:paraId="3F8BA38E">
      <w:pPr>
        <w:pStyle w:val="14"/>
      </w:pPr>
      <w:r>
        <w:rPr>
          <w:rFonts w:hint="eastAsia"/>
        </w:rPr>
        <w:t>（4）支持在创建出库单时填写不同的物资信息；</w:t>
      </w:r>
    </w:p>
    <w:p w14:paraId="1C57335F">
      <w:pPr>
        <w:pStyle w:val="14"/>
      </w:pPr>
      <w:r>
        <w:rPr>
          <w:rFonts w:hint="eastAsia"/>
        </w:rPr>
        <w:t>（5）支持按照系统根据提前预置预案进行物资的快速响应出库；</w:t>
      </w:r>
    </w:p>
    <w:p w14:paraId="336DCD7E">
      <w:pPr>
        <w:pStyle w:val="14"/>
      </w:pPr>
      <w:r>
        <w:rPr>
          <w:rFonts w:hint="eastAsia"/>
        </w:rPr>
        <w:t>（6）应急出库功能可让工作人员通过直接扫描物资条码的方式快速完成出库操作；</w:t>
      </w:r>
    </w:p>
    <w:p w14:paraId="7580F61B">
      <w:pPr>
        <w:pStyle w:val="14"/>
      </w:pPr>
      <w:r>
        <w:rPr>
          <w:rFonts w:hint="eastAsia"/>
        </w:rPr>
        <w:t>（7）支持对已存在的出库清单进行删除；</w:t>
      </w:r>
    </w:p>
    <w:p w14:paraId="1506B765">
      <w:pPr>
        <w:pStyle w:val="14"/>
      </w:pPr>
      <w:r>
        <w:t>（8）</w:t>
      </w:r>
      <w:r>
        <w:rPr>
          <w:rFonts w:hint="eastAsia"/>
        </w:rPr>
        <w:t>支持出库清单查看、编辑、导出。</w:t>
      </w:r>
    </w:p>
    <w:p w14:paraId="30E68283">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出库记录</w:t>
      </w:r>
    </w:p>
    <w:p w14:paraId="15026A8A">
      <w:pPr>
        <w:pStyle w:val="14"/>
      </w:pPr>
      <w:r>
        <w:rPr>
          <w:rFonts w:hint="eastAsia"/>
        </w:rPr>
        <w:t>（1）物资在出库完成后，系统自动生成相应的出库记录，方便后期物资出库后进行物资追溯从而满足库管员管理需要；</w:t>
      </w:r>
    </w:p>
    <w:p w14:paraId="670D213E">
      <w:pPr>
        <w:pStyle w:val="14"/>
      </w:pPr>
      <w:r>
        <w:rPr>
          <w:rFonts w:hint="eastAsia"/>
        </w:rPr>
        <w:t>（2）支持出库清单按照单编号、出库类型、仓库名称、区域、货架、库位条码、物资条码、物资编码、物资类型、物资分类的功能筛选条件查询；</w:t>
      </w:r>
    </w:p>
    <w:p w14:paraId="67D322C0">
      <w:pPr>
        <w:pStyle w:val="14"/>
      </w:pPr>
      <w:r>
        <w:t>（3）</w:t>
      </w:r>
      <w:r>
        <w:rPr>
          <w:rFonts w:hint="eastAsia"/>
        </w:rPr>
        <w:t>支持出库记录查导出、查看方便溯源。</w:t>
      </w:r>
    </w:p>
    <w:p w14:paraId="190FBE59">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移库管理</w:t>
      </w:r>
    </w:p>
    <w:p w14:paraId="4189D816">
      <w:pPr>
        <w:pStyle w:val="14"/>
      </w:pPr>
      <w:r>
        <w:rPr>
          <w:rFonts w:hint="eastAsia"/>
        </w:rPr>
        <w:t>库管员可根据实际需求，对物资进行位置移动操作，确保物资布局的合理性和高效性。通过调整物资位置，不仅便于日常管理和盘点，还能为后续的物资出入库、库存整理等操作提供便利，提升仓库整体运营效率。</w:t>
      </w:r>
    </w:p>
    <w:p w14:paraId="47DE152C">
      <w:pPr>
        <w:pStyle w:val="14"/>
      </w:pPr>
      <w:r>
        <w:rPr>
          <w:rFonts w:hint="eastAsia"/>
        </w:rPr>
        <w:t>（1）支持按照移库单号、制单时间、库管员、经办人、移库状态、移除仓库、移库日期筛选；</w:t>
      </w:r>
    </w:p>
    <w:p w14:paraId="780DA297">
      <w:pPr>
        <w:pStyle w:val="14"/>
      </w:pPr>
      <w:r>
        <w:rPr>
          <w:rFonts w:hint="eastAsia"/>
        </w:rPr>
        <w:t>（2）支持移库单新增、移库、删除、查看、编辑操作。</w:t>
      </w:r>
    </w:p>
    <w:p w14:paraId="76AF6C95">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cstheme="minorBidi"/>
          <w:b/>
          <w:bCs/>
          <w:sz w:val="24"/>
        </w:rPr>
        <w:t>演练管理</w:t>
      </w:r>
    </w:p>
    <w:p w14:paraId="5DDAAE80">
      <w:pPr>
        <w:pStyle w:val="14"/>
      </w:pPr>
      <w:r>
        <w:rPr>
          <w:rFonts w:hint="eastAsia"/>
        </w:rPr>
        <w:t>（1）支持演练数据管理，如演练名称，演练时间，演练地点，演练人数，演练队伍等基本演练信息的展示；</w:t>
      </w:r>
    </w:p>
    <w:p w14:paraId="2D6A1489">
      <w:pPr>
        <w:pStyle w:val="14"/>
      </w:pPr>
      <w:r>
        <w:rPr>
          <w:rFonts w:hint="eastAsia"/>
        </w:rPr>
        <w:t>（2）支持演练数据新增，查看，编辑，删除，提交审批操作；</w:t>
      </w:r>
    </w:p>
    <w:p w14:paraId="1DA42E70">
      <w:pPr>
        <w:pStyle w:val="14"/>
      </w:pPr>
      <w:r>
        <w:rPr>
          <w:rFonts w:hint="eastAsia"/>
        </w:rPr>
        <w:t>（3）演练新增：</w:t>
      </w:r>
    </w:p>
    <w:p w14:paraId="29E75D82">
      <w:pPr>
        <w:pStyle w:val="14"/>
      </w:pPr>
      <w:r>
        <w:rPr>
          <w:rFonts w:hint="eastAsia"/>
        </w:rPr>
        <w:t>（4）演练时填写演练基本信息，物资信息，审批信息；</w:t>
      </w:r>
    </w:p>
    <w:p w14:paraId="056E7F5B">
      <w:pPr>
        <w:pStyle w:val="14"/>
      </w:pPr>
      <w:r>
        <w:rPr>
          <w:rFonts w:hint="eastAsia"/>
        </w:rPr>
        <w:t>（5）支持演练基本信息填写</w:t>
      </w:r>
      <w:r>
        <w:rPr>
          <w:rFonts w:hint="eastAsia"/>
          <w:lang w:eastAsia="zh-CN"/>
        </w:rPr>
        <w:t>，</w:t>
      </w:r>
      <w:r>
        <w:rPr>
          <w:rFonts w:hint="eastAsia"/>
        </w:rPr>
        <w:t>主要包含演练名称，演练地点，演练时间，演练人数信息的填写；</w:t>
      </w:r>
    </w:p>
    <w:p w14:paraId="10C1A7E2">
      <w:pPr>
        <w:pStyle w:val="14"/>
      </w:pPr>
      <w:r>
        <w:t>（6）</w:t>
      </w:r>
      <w:r>
        <w:rPr>
          <w:rFonts w:hint="eastAsia"/>
        </w:rPr>
        <w:t>支持演物资信息填写时，通过物资的选择和对应数量编辑和修改；</w:t>
      </w:r>
    </w:p>
    <w:p w14:paraId="71BDDE77">
      <w:pPr>
        <w:pStyle w:val="14"/>
      </w:pPr>
      <w:r>
        <w:t>（7）</w:t>
      </w:r>
      <w:r>
        <w:rPr>
          <w:rFonts w:hint="eastAsia"/>
        </w:rPr>
        <w:t>支持演练创建后提交审批，审批通过后自动生成出库单。</w:t>
      </w:r>
    </w:p>
    <w:p w14:paraId="3DD5DC37">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hAnsiTheme="minorHAnsi" w:cstheme="minorBidi"/>
          <w:b/>
          <w:bCs/>
          <w:sz w:val="24"/>
        </w:rPr>
      </w:pPr>
      <w:r>
        <w:rPr>
          <w:rFonts w:hint="eastAsia" w:cstheme="minorBidi"/>
          <w:b/>
          <w:bCs/>
          <w:sz w:val="24"/>
        </w:rPr>
        <w:t>审批管理</w:t>
      </w:r>
    </w:p>
    <w:p w14:paraId="243089EA">
      <w:pPr>
        <w:pStyle w:val="14"/>
      </w:pPr>
      <w:r>
        <w:rPr>
          <w:rFonts w:hint="eastAsia"/>
        </w:rPr>
        <w:t>（1）支持演练事件审批操作，可对演练事件进行审批，驳回操作；</w:t>
      </w:r>
    </w:p>
    <w:p w14:paraId="6917E73F">
      <w:pPr>
        <w:pStyle w:val="14"/>
      </w:pPr>
      <w:r>
        <w:rPr>
          <w:rFonts w:hint="eastAsia"/>
        </w:rPr>
        <w:t>（2）支物资领用，借用单据的审批操作，可对其进行审批，驳回操作。</w:t>
      </w:r>
    </w:p>
    <w:p w14:paraId="1D97E01A">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基础数据</w:t>
      </w:r>
    </w:p>
    <w:p w14:paraId="50428D55">
      <w:pPr>
        <w:pStyle w:val="14"/>
      </w:pPr>
      <w:r>
        <w:t>该模块涵盖了仓库、货架、仓位、托盘、供应商及预案等核心数据的分类管理，明确各数据的关键属性与信息维度，为精准管理提供基础支撑。同时，深入梳理各数据间的关联关系，如仓库、货架、仓位的层级关系，托盘与仓位的动态对应，供应商与物资</w:t>
      </w:r>
      <w:r>
        <w:rPr>
          <w:rFonts w:hint="eastAsia"/>
          <w:lang w:eastAsia="zh-CN"/>
        </w:rPr>
        <w:t>，以及</w:t>
      </w:r>
      <w:r>
        <w:t>预案与物资、仓库的协同作用，构建起一个</w:t>
      </w:r>
      <w:r>
        <w:rPr>
          <w:rFonts w:hint="eastAsia"/>
        </w:rPr>
        <w:t>强大</w:t>
      </w:r>
      <w:r>
        <w:t>的数据体系。</w:t>
      </w:r>
    </w:p>
    <w:p w14:paraId="5B578F85">
      <w:pPr>
        <w:pStyle w:val="14"/>
      </w:pPr>
      <w:r>
        <w:rPr>
          <w:rFonts w:hint="eastAsia"/>
        </w:rPr>
        <w:t>支持仓库数据新增、编辑、删除操作，确保仓库数据的准确性，为应急物资管理工作提供可靠支撑。</w:t>
      </w:r>
    </w:p>
    <w:p w14:paraId="39147781">
      <w:pPr>
        <w:pStyle w:val="14"/>
      </w:pPr>
      <w:r>
        <w:rPr>
          <w:rFonts w:hint="eastAsia"/>
        </w:rPr>
        <w:t>支持依据仓库名称和创建时间进行筛选。</w:t>
      </w:r>
    </w:p>
    <w:p w14:paraId="4792D58F">
      <w:pPr>
        <w:pStyle w:val="14"/>
      </w:pPr>
      <w:r>
        <w:rPr>
          <w:rFonts w:hint="eastAsia"/>
        </w:rPr>
        <w:t>支持仓库对应分区数据维护，通过合理分区为物资出入库提供清晰指引，提升应急物资管理的效率与准确性。</w:t>
      </w:r>
    </w:p>
    <w:p w14:paraId="4EE5358F">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货架配置</w:t>
      </w:r>
    </w:p>
    <w:p w14:paraId="7C806ED0">
      <w:pPr>
        <w:pStyle w:val="14"/>
      </w:pPr>
      <w:r>
        <w:rPr>
          <w:rFonts w:hint="eastAsia"/>
        </w:rPr>
        <w:t>该模块专注于货架基础数据的全面配置管理。库管员可执行货架数据的新增、编辑、删除等操作，满足不同管理需求。系统支持多层货架每层高度的灵活配置，适应多样化仓储布局。配置完成后，系统自动根据货架参数生成对应的仓位明细，实现仓位信息的精准管理，提高仓储空间利用率，为库房日常运营提供高效、准确的货架及仓位数据支持。</w:t>
      </w:r>
    </w:p>
    <w:p w14:paraId="2E6E5AF1">
      <w:pPr>
        <w:pStyle w:val="14"/>
      </w:pPr>
      <w:r>
        <w:rPr>
          <w:rFonts w:hint="eastAsia"/>
        </w:rPr>
        <w:t>支持依据所属仓库、货架编号、创建时间进行筛选。</w:t>
      </w:r>
    </w:p>
    <w:p w14:paraId="4DC497E6">
      <w:pPr>
        <w:pStyle w:val="14"/>
      </w:pPr>
      <w:r>
        <w:rPr>
          <w:rFonts w:hint="eastAsia"/>
        </w:rPr>
        <w:t>支持货架数据新增、导出、禁用、删除，查看功能操作。</w:t>
      </w:r>
    </w:p>
    <w:p w14:paraId="08C1404C">
      <w:pPr>
        <w:pStyle w:val="8"/>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托盘管理</w:t>
      </w:r>
    </w:p>
    <w:p w14:paraId="3A935958">
      <w:pPr>
        <w:pStyle w:val="14"/>
        <w:keepNext w:val="0"/>
        <w:keepLines w:val="0"/>
        <w:pageBreakBefore w:val="0"/>
        <w:widowControl w:val="0"/>
        <w:kinsoku/>
        <w:wordWrap/>
        <w:overflowPunct/>
        <w:topLinePunct w:val="0"/>
        <w:autoSpaceDE/>
        <w:autoSpaceDN/>
        <w:bidi w:val="0"/>
        <w:textAlignment w:val="auto"/>
      </w:pPr>
      <w:r>
        <w:rPr>
          <w:rFonts w:hint="eastAsia"/>
        </w:rPr>
        <w:t>系统支持托盘的新增、编辑与删除操作，确保托盘信息的准确性和实时性。托盘维护完成后，系统通过分析货架尺寸与托盘规格之间的关系，自动计算出可用库位数量，优化仓储空间利用率，为库房布局和库存管理提供科学依据。</w:t>
      </w:r>
    </w:p>
    <w:p w14:paraId="782372D9">
      <w:pPr>
        <w:pStyle w:val="14"/>
      </w:pPr>
      <w:r>
        <w:rPr>
          <w:rFonts w:hint="eastAsia"/>
        </w:rPr>
        <w:t>支持托盘数据录入、导出、编辑、删除操作。</w:t>
      </w:r>
    </w:p>
    <w:p w14:paraId="5E70E70C">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供应商管理</w:t>
      </w:r>
    </w:p>
    <w:p w14:paraId="3353B5B0">
      <w:pPr>
        <w:pStyle w:val="14"/>
      </w:pPr>
      <w:r>
        <w:rPr>
          <w:rFonts w:hint="eastAsia"/>
        </w:rPr>
        <w:t>该模块致力于供应商数据的高效管理。系统支持供应商数据的新增、编辑与删除操作，方便用户及时更新和维护供应商信息，确保数据的准确性和时效性。同时，具备数据导出功能，便于用户进行数据备份或与其他系统进行数据集成，满足多样化管理需求。</w:t>
      </w:r>
    </w:p>
    <w:p w14:paraId="0DF7FF02">
      <w:pPr>
        <w:pStyle w:val="14"/>
      </w:pPr>
      <w:r>
        <w:rPr>
          <w:rFonts w:hint="eastAsia"/>
        </w:rPr>
        <w:t>支持供应商新增、导出、编辑、删除操作，保障供应商管理数据的合理性与有效性。</w:t>
      </w:r>
    </w:p>
    <w:p w14:paraId="3BC4B0D5">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预案管理</w:t>
      </w:r>
    </w:p>
    <w:p w14:paraId="52F63BA2">
      <w:pPr>
        <w:pStyle w:val="14"/>
      </w:pPr>
      <w:r>
        <w:rPr>
          <w:rFonts w:hint="eastAsia"/>
        </w:rPr>
        <w:t>该模块专注于预案数据的全方位管理，支持预案数据的新增、编辑与删除操作，确保预案信息的动态维护和实时更新。同时，可维护预案关联的物资数据，并上传对应的预案文件，方便用户在线预览文件内容，实现预案与物资信息的高效整合。在物资出库时，已创建的预案可供快速选择，通过预案出库方式直接调用相应物资清单，显著提升应急出库效率，增强对突发事件的快速响应能力。</w:t>
      </w:r>
    </w:p>
    <w:p w14:paraId="3E90A1D4">
      <w:pPr>
        <w:pStyle w:val="14"/>
      </w:pPr>
      <w:r>
        <w:rPr>
          <w:rFonts w:hint="eastAsia"/>
        </w:rPr>
        <w:t>支持新增、预览、下载、删除功能。</w:t>
      </w:r>
    </w:p>
    <w:p w14:paraId="6A1BB4A2">
      <w:pPr>
        <w:pStyle w:val="14"/>
      </w:pPr>
      <w:r>
        <w:rPr>
          <w:rFonts w:hint="eastAsia"/>
        </w:rPr>
        <w:t>支持按预案名称、发文机关、发文日期、上传人等字段进行信息筛选。</w:t>
      </w:r>
    </w:p>
    <w:p w14:paraId="78D6BEE3">
      <w:pPr>
        <w:pStyle w:val="14"/>
      </w:pPr>
      <w:r>
        <w:rPr>
          <w:rFonts w:hint="eastAsia"/>
        </w:rPr>
        <w:t>支持预案涉及</w:t>
      </w:r>
      <w:r>
        <w:rPr>
          <w:rFonts w:hint="eastAsia"/>
          <w:lang w:val="en-US" w:eastAsia="zh-CN"/>
        </w:rPr>
        <w:t>的</w:t>
      </w:r>
      <w:r>
        <w:rPr>
          <w:rFonts w:hint="eastAsia"/>
        </w:rPr>
        <w:t>物资信息及物资数量维护，后期可以通过预案出库完成物资的快速出库。</w:t>
      </w:r>
    </w:p>
    <w:p w14:paraId="75CAEF39">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物资管理</w:t>
      </w:r>
    </w:p>
    <w:p w14:paraId="2CF29D02">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应急物资</w:t>
      </w:r>
    </w:p>
    <w:p w14:paraId="4020076D">
      <w:pPr>
        <w:pStyle w:val="14"/>
      </w:pPr>
      <w:r>
        <w:rPr>
          <w:rFonts w:hint="eastAsia"/>
        </w:rPr>
        <w:t>该模块专注于物资与车辆数据的全面维护管理。系统支持耗材、设备、箱组、药品等不同物资类型的详细数据维护，涵盖耗材的规格、安全库存、有效期预警，设备的负责人、保养周期及安全库存等关键信息，确保物资管理的精细化与规范化。同时，实现车辆数据的维护管理，满足库房运营中的车辆调配与使用需求。</w:t>
      </w:r>
    </w:p>
    <w:p w14:paraId="6D129D59">
      <w:pPr>
        <w:pStyle w:val="14"/>
      </w:pPr>
      <w:r>
        <w:rPr>
          <w:rFonts w:hint="eastAsia"/>
        </w:rPr>
        <w:t>支持物资下载模板、批量导入功能。</w:t>
      </w:r>
    </w:p>
    <w:p w14:paraId="36675E02">
      <w:pPr>
        <w:pStyle w:val="14"/>
      </w:pPr>
      <w:r>
        <w:rPr>
          <w:rFonts w:hint="eastAsia"/>
        </w:rPr>
        <w:t>支持耗材，设备，箱组、药</w:t>
      </w:r>
      <w:r>
        <w:rPr>
          <w:rFonts w:hint="eastAsia"/>
          <w:lang w:eastAsia="zh-CN"/>
        </w:rPr>
        <w:t>品等</w:t>
      </w:r>
      <w:r>
        <w:rPr>
          <w:rFonts w:hint="eastAsia"/>
        </w:rPr>
        <w:t>不同类物资的信息的维护。</w:t>
      </w:r>
    </w:p>
    <w:p w14:paraId="12997C31">
      <w:pPr>
        <w:pStyle w:val="14"/>
      </w:pPr>
      <w:r>
        <w:rPr>
          <w:rFonts w:hint="eastAsia"/>
        </w:rPr>
        <w:t>如耗材需要维护不同规格，品牌，有效期等相关信息，系统会根据有效期发送相应的预警信息，从而实现库房的智能化管理。</w:t>
      </w:r>
    </w:p>
    <w:p w14:paraId="36735F0C">
      <w:pPr>
        <w:pStyle w:val="14"/>
      </w:pPr>
      <w:r>
        <w:rPr>
          <w:rFonts w:hint="eastAsia"/>
        </w:rPr>
        <w:t>如设备需要维护不同设备类型对应的不同保养周期，在保养到期前系统会给相应的设备负责人发送对应的保养信息，确保设备在突发事件时候可以正常使用。</w:t>
      </w:r>
    </w:p>
    <w:p w14:paraId="0520CBF0">
      <w:pPr>
        <w:pStyle w:val="14"/>
      </w:pPr>
      <w:r>
        <w:rPr>
          <w:rFonts w:hint="eastAsia"/>
        </w:rPr>
        <w:t>支持药品对应批准文号，用量系数，药品规格（最小单位维护如一箱多少盒，一盒瓶）对应的最小单位维护，使用方式(外用，口服，注射，输液)，单次用量维护，库存预警，过期预警的功能相关数据提醒。</w:t>
      </w:r>
    </w:p>
    <w:p w14:paraId="17D7D31A">
      <w:pPr>
        <w:pStyle w:val="14"/>
      </w:pPr>
      <w:r>
        <w:rPr>
          <w:rFonts w:hint="eastAsia"/>
        </w:rPr>
        <w:t>支持物资对应责任人数据维护，主要包含责任人及联系方式，物资和设备维护方便找责任人进行追溯。</w:t>
      </w:r>
    </w:p>
    <w:p w14:paraId="4FA8F6E4">
      <w:pPr>
        <w:pStyle w:val="14"/>
      </w:pPr>
      <w:r>
        <w:rPr>
          <w:rFonts w:hint="eastAsia"/>
        </w:rPr>
        <w:t>支持物资的维保说明维护。</w:t>
      </w:r>
    </w:p>
    <w:p w14:paraId="0D68AAED">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车辆管理</w:t>
      </w:r>
    </w:p>
    <w:p w14:paraId="4214D769">
      <w:pPr>
        <w:pStyle w:val="14"/>
      </w:pPr>
      <w:r>
        <w:rPr>
          <w:rFonts w:hint="eastAsia"/>
        </w:rPr>
        <w:t>该模块专注于车辆的全面管理，涵盖车辆新增及基础数据维护，确保车辆信息的准确性和完整性。系统支持车辆年审和保养提醒功能，及时预警以保障车辆合规与良好运行。此外，模块详细记录车辆的出库和归库情况，便于查询车辆的使用历史和当前状态，实现对车辆全程的有效监控与管理。</w:t>
      </w:r>
    </w:p>
    <w:p w14:paraId="70B95355">
      <w:pPr>
        <w:pStyle w:val="14"/>
      </w:pPr>
      <w:r>
        <w:rPr>
          <w:rFonts w:hint="eastAsia"/>
        </w:rPr>
        <w:t>支持车辆名称、车牌号、车辆分类、车辆状态以及车辆位置查询。</w:t>
      </w:r>
    </w:p>
    <w:p w14:paraId="5CF9EA7A">
      <w:pPr>
        <w:pStyle w:val="14"/>
      </w:pPr>
      <w:r>
        <w:rPr>
          <w:rFonts w:hint="eastAsia"/>
        </w:rPr>
        <w:t>支持车辆新增、编辑、删除、出库及导出功能。</w:t>
      </w:r>
    </w:p>
    <w:p w14:paraId="442DABD7">
      <w:pPr>
        <w:pStyle w:val="14"/>
      </w:pPr>
      <w:r>
        <w:rPr>
          <w:rFonts w:hint="eastAsia"/>
        </w:rPr>
        <w:t>支持年审提醒、保养提醒，助力车辆管理工作有序开展。</w:t>
      </w:r>
    </w:p>
    <w:p w14:paraId="35F1A5A6">
      <w:pPr>
        <w:pStyle w:val="14"/>
      </w:pPr>
      <w:r>
        <w:rPr>
          <w:rFonts w:hint="eastAsia"/>
        </w:rPr>
        <w:t>支持车辆的责任人进行数据维护，主要包含责任人及联系方式。</w:t>
      </w:r>
    </w:p>
    <w:p w14:paraId="08C4E8BE">
      <w:pPr>
        <w:pStyle w:val="14"/>
      </w:pPr>
      <w:r>
        <w:rPr>
          <w:rFonts w:hint="eastAsia"/>
        </w:rPr>
        <w:t>支持车辆的维保说明维护，便于车辆及时保养和年审。</w:t>
      </w:r>
    </w:p>
    <w:p w14:paraId="474A23DB">
      <w:pPr>
        <w:pStyle w:val="14"/>
      </w:pPr>
      <w:r>
        <w:rPr>
          <w:rFonts w:hint="eastAsia"/>
        </w:rPr>
        <w:t>车辆行驶记录：支持车辆行驶记录维护，如选择事件或者任务，驾驶员，出发里程数，回程里程数，总行驶里程。</w:t>
      </w:r>
    </w:p>
    <w:p w14:paraId="11717AA6">
      <w:pPr>
        <w:pStyle w:val="14"/>
      </w:pPr>
      <w:r>
        <w:rPr>
          <w:rFonts w:hint="eastAsia"/>
        </w:rPr>
        <w:t>支持行驶</w:t>
      </w:r>
      <w:r>
        <w:rPr>
          <w:rFonts w:hint="eastAsia"/>
          <w:lang w:eastAsia="zh-CN"/>
        </w:rPr>
        <w:t>记录</w:t>
      </w:r>
      <w:r>
        <w:rPr>
          <w:rFonts w:hint="eastAsia"/>
        </w:rPr>
        <w:t>预留北斗定位接口，对接完成后，可以查看车辆相应的</w:t>
      </w:r>
      <w:r>
        <w:rPr>
          <w:rFonts w:hint="eastAsia"/>
          <w:lang w:eastAsia="zh-CN"/>
        </w:rPr>
        <w:t>行驶</w:t>
      </w:r>
      <w:r>
        <w:rPr>
          <w:rFonts w:hint="eastAsia"/>
        </w:rPr>
        <w:t>轨迹记录。</w:t>
      </w:r>
    </w:p>
    <w:p w14:paraId="7C84E1C3">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库存管理</w:t>
      </w:r>
    </w:p>
    <w:p w14:paraId="5D2BDC20">
      <w:pPr>
        <w:pStyle w:val="14"/>
      </w:pPr>
      <w:r>
        <w:rPr>
          <w:rFonts w:hint="eastAsia"/>
        </w:rPr>
        <w:t>系统支持用户进行物资库存数据的查询，提供实时的库存状况信息。具备库存预警功能，当物资低于安全库存或临近过期时，系统自动发送预警通知，确保库存的合理性和物资的有效性。同时，提供库存盘点功能，支持按物资类型和仓库区域进行盘点，提升库存数据的准确性，确保账实相符，优化库存管理流程。</w:t>
      </w:r>
    </w:p>
    <w:p w14:paraId="0AF2B7B9">
      <w:pPr>
        <w:pStyle w:val="14"/>
      </w:pPr>
      <w:r>
        <w:rPr>
          <w:rFonts w:hint="eastAsia"/>
        </w:rPr>
        <w:t>耗材及药品支持库存预警、过期预警查看。</w:t>
      </w:r>
    </w:p>
    <w:p w14:paraId="7AAA1C4A">
      <w:pPr>
        <w:pStyle w:val="14"/>
      </w:pPr>
      <w:r>
        <w:rPr>
          <w:rFonts w:hint="eastAsia"/>
        </w:rPr>
        <w:t>箱组及设备支持库存预警查看。</w:t>
      </w:r>
    </w:p>
    <w:p w14:paraId="583C704D">
      <w:pPr>
        <w:pStyle w:val="14"/>
      </w:pPr>
      <w:r>
        <w:rPr>
          <w:rFonts w:hint="eastAsia"/>
        </w:rPr>
        <w:t>支持按照名称、设备分类、物资编码、状态查询。</w:t>
      </w:r>
    </w:p>
    <w:p w14:paraId="2F7BB598">
      <w:pPr>
        <w:pStyle w:val="14"/>
      </w:pPr>
      <w:r>
        <w:rPr>
          <w:rFonts w:hint="eastAsia"/>
        </w:rPr>
        <w:t>支持物资对应出入库记录和明细查看。</w:t>
      </w:r>
    </w:p>
    <w:p w14:paraId="404CC483">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cstheme="minorBidi"/>
          <w:b/>
          <w:sz w:val="24"/>
        </w:rPr>
        <w:t>物资盘点</w:t>
      </w:r>
    </w:p>
    <w:p w14:paraId="5C96968E">
      <w:pPr>
        <w:pStyle w:val="14"/>
      </w:pPr>
      <w:r>
        <w:rPr>
          <w:rFonts w:hint="eastAsia"/>
        </w:rPr>
        <w:t>系统支持用户对物资进行盘点操作，通过对现有库存与系统记录的对比，及时发现并调整库存差异，确保账实相符。盘点完成后，系统更新库存数据，提高物资管理的准确性，同时记录盘点详情以便查询和追溯，为仓库的精细化管理提供可靠的数据支持。</w:t>
      </w:r>
    </w:p>
    <w:p w14:paraId="2A6C5B45">
      <w:pPr>
        <w:pStyle w:val="14"/>
      </w:pPr>
      <w:r>
        <w:rPr>
          <w:rFonts w:hint="eastAsia"/>
        </w:rPr>
        <w:t>支持盘点类型、盘点日期、盘点单号、仓库条件进行筛选。</w:t>
      </w:r>
    </w:p>
    <w:p w14:paraId="007E6600">
      <w:pPr>
        <w:pStyle w:val="14"/>
      </w:pPr>
      <w:r>
        <w:rPr>
          <w:rFonts w:hint="eastAsia"/>
        </w:rPr>
        <w:t>支持盘点单创建、导出、查看、删除功能、盘点单创建后</w:t>
      </w:r>
      <w:r>
        <w:rPr>
          <w:rFonts w:hint="eastAsia"/>
          <w:lang w:eastAsia="zh-CN"/>
        </w:rPr>
        <w:t>在</w:t>
      </w:r>
      <w:r>
        <w:rPr>
          <w:rFonts w:hint="eastAsia"/>
        </w:rPr>
        <w:t>移动端进行盘点。</w:t>
      </w:r>
    </w:p>
    <w:p w14:paraId="4DFE2AD8">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维保管理</w:t>
      </w:r>
    </w:p>
    <w:p w14:paraId="707120A7">
      <w:pPr>
        <w:pStyle w:val="14"/>
      </w:pPr>
      <w:r>
        <w:rPr>
          <w:rFonts w:hint="eastAsia"/>
        </w:rPr>
        <w:t>该模块专注于设备与车辆的维护管理。系统支持设备的保养和维修记录管理，方便查看设备的保养历史和明细，确保设备的正常运行和维护需求得到及时响应。同时，系统具备车辆年审和保养提醒功能，能够及时预警，保障车辆的合规性和良好运行状态。此外，模块还详细记录车辆的出库和归库情况，使用户能够轻松查询车辆的使用历史和实时状态，从而实现对车辆的全程有效监控和管理。</w:t>
      </w:r>
    </w:p>
    <w:p w14:paraId="2896BBCD">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设备保养</w:t>
      </w:r>
    </w:p>
    <w:p w14:paraId="3AC28072">
      <w:pPr>
        <w:pStyle w:val="14"/>
      </w:pPr>
      <w:r>
        <w:rPr>
          <w:rFonts w:hint="eastAsia"/>
        </w:rPr>
        <w:t>该模块专注于设备保养记录的管理和导出。用户可以方便地查看设备的保养历史，确保设备维护工作的透明化和可追溯性。同时，系统支持保养记录的导出功能，方便用户进行数据备份或与其他系统共享，满足设备管理的多样化需求。</w:t>
      </w:r>
    </w:p>
    <w:p w14:paraId="0630EA38">
      <w:pPr>
        <w:pStyle w:val="14"/>
      </w:pPr>
      <w:r>
        <w:rPr>
          <w:rFonts w:hint="eastAsia"/>
        </w:rPr>
        <w:t>系统自动生成保养任务，同时支持设备保养、导出操作。</w:t>
      </w:r>
    </w:p>
    <w:p w14:paraId="2908DF57">
      <w:pPr>
        <w:pStyle w:val="14"/>
      </w:pPr>
      <w:r>
        <w:rPr>
          <w:rFonts w:hint="eastAsia"/>
        </w:rPr>
        <w:t>支持依据设备名称、设备分类、下次保养时间、品牌进行筛选。</w:t>
      </w:r>
    </w:p>
    <w:p w14:paraId="453C6BA5">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设备维修</w:t>
      </w:r>
    </w:p>
    <w:p w14:paraId="50EDAD1B">
      <w:pPr>
        <w:pStyle w:val="14"/>
      </w:pPr>
      <w:r>
        <w:rPr>
          <w:rFonts w:hint="eastAsia"/>
        </w:rPr>
        <w:t>该模块专注于设备维修记录的高效管理。支持用户手动创建设备维修记录，详细记录维修时间、内容、负责人等关键信息，确保维修过程的透明化和可追溯性。设备维修完成后，系统自动生成相应的维修记录，方便后期查询和分析，为设备的维护保养提供有力支持。</w:t>
      </w:r>
    </w:p>
    <w:p w14:paraId="0DB31388">
      <w:pPr>
        <w:pStyle w:val="14"/>
      </w:pPr>
      <w:r>
        <w:rPr>
          <w:rFonts w:hint="eastAsia"/>
        </w:rPr>
        <w:t>支持设备维修新增功能。</w:t>
      </w:r>
    </w:p>
    <w:p w14:paraId="4ACF537A">
      <w:pPr>
        <w:pStyle w:val="14"/>
      </w:pPr>
      <w:r>
        <w:rPr>
          <w:rFonts w:hint="eastAsia"/>
        </w:rPr>
        <w:t>支持设备维修记录查看。</w:t>
      </w:r>
    </w:p>
    <w:p w14:paraId="0FA7EA80">
      <w:pPr>
        <w:pStyle w:val="14"/>
      </w:pPr>
      <w:r>
        <w:rPr>
          <w:rFonts w:hint="eastAsia"/>
        </w:rPr>
        <w:t>支持设备维修记录按照设备名称、设备分类、品牌等条件进行筛选。</w:t>
      </w:r>
    </w:p>
    <w:p w14:paraId="53A77307">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保养记录</w:t>
      </w:r>
    </w:p>
    <w:p w14:paraId="1528D40A">
      <w:pPr>
        <w:pStyle w:val="14"/>
      </w:pPr>
      <w:r>
        <w:rPr>
          <w:rFonts w:hint="eastAsia"/>
        </w:rPr>
        <w:t>用户可以通过简单操作查看详细的保养历史，包括保养时间、项目、负责人及结果等关键信息。这一功能便于用户及时了解设备或车辆的维护状况，为科学安排后续保养计划、追溯保养过程及评估设备健康状态提供有力支持，从而确保设备的可靠运行和车辆的安全使用。</w:t>
      </w:r>
    </w:p>
    <w:p w14:paraId="401929F7">
      <w:pPr>
        <w:pStyle w:val="14"/>
      </w:pPr>
      <w:r>
        <w:rPr>
          <w:rFonts w:hint="eastAsia"/>
        </w:rPr>
        <w:t>支持依据设备名称、下次保养时间、品牌等进行筛选。</w:t>
      </w:r>
    </w:p>
    <w:p w14:paraId="215BF84B">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借用管理</w:t>
      </w:r>
    </w:p>
    <w:p w14:paraId="50AFAC85">
      <w:pPr>
        <w:pStyle w:val="14"/>
      </w:pPr>
      <w:r>
        <w:rPr>
          <w:rFonts w:hint="eastAsia"/>
        </w:rPr>
        <w:t>物资在借用出库后，系统会自动生成详细的借用明细，记录借用时长、借用时间、物资信息、借用人等关键数据，确保借用过程的可追溯性。</w:t>
      </w:r>
    </w:p>
    <w:p w14:paraId="75B6E360">
      <w:pPr>
        <w:pStyle w:val="14"/>
      </w:pPr>
      <w:r>
        <w:rPr>
          <w:rFonts w:hint="eastAsia"/>
        </w:rPr>
        <w:t>物资在借用时，需填写借用人，借用时长，手机号码等信息，提交后系统自动生成相应的借用明细，同时当借用到期，系统自动给管理员和借用人发送消息提醒，借用人可选择到期后归还或者延期操作，延期借用也需要进行审批，方便后期进行追溯。</w:t>
      </w:r>
    </w:p>
    <w:p w14:paraId="02562544">
      <w:pPr>
        <w:pStyle w:val="14"/>
      </w:pPr>
      <w:r>
        <w:rPr>
          <w:rFonts w:hint="eastAsia"/>
        </w:rPr>
        <w:t>支持单个物资条码对应的借用记录查看主要包含，申请人，申请时间，借用时长，审批人，审批时间信息。</w:t>
      </w:r>
    </w:p>
    <w:p w14:paraId="29B13A53">
      <w:pPr>
        <w:pStyle w:val="14"/>
      </w:pPr>
      <w:r>
        <w:rPr>
          <w:rFonts w:hint="eastAsia"/>
        </w:rPr>
        <w:t>通过借用明细，用户可以方便地进行物资归还操作，并能随时查看物资的借用历史和当前状态，有效提升物资管理的效率和准确性。</w:t>
      </w:r>
    </w:p>
    <w:p w14:paraId="0EDF2E70">
      <w:pPr>
        <w:pStyle w:val="14"/>
      </w:pPr>
      <w:r>
        <w:rPr>
          <w:rFonts w:hint="eastAsia"/>
        </w:rPr>
        <w:t>支持依据借用状态、物资类型、物资分类、物资条码、借用人、借用时间、借出管理员进行筛选。</w:t>
      </w:r>
    </w:p>
    <w:p w14:paraId="21C66D53">
      <w:pPr>
        <w:pStyle w:val="14"/>
      </w:pPr>
      <w:r>
        <w:rPr>
          <w:rFonts w:hint="eastAsia"/>
        </w:rPr>
        <w:t>支持设备借用归还、导出操作。</w:t>
      </w:r>
    </w:p>
    <w:p w14:paraId="2CEBB129">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统计报表</w:t>
      </w:r>
    </w:p>
    <w:p w14:paraId="09A14CB4">
      <w:pPr>
        <w:pStyle w:val="14"/>
      </w:pPr>
      <w:r>
        <w:rPr>
          <w:rFonts w:hint="eastAsia"/>
        </w:rPr>
        <w:t>系统支持用户依据盘点、库存及出入库类型等不同统计维度，灵活查询和分析物资存放数据，提供全面的数据视图。用户可据此实时掌握物资动态，优化库存管理策略，提升决策的科学性和精准性。</w:t>
      </w:r>
    </w:p>
    <w:p w14:paraId="13A0D4FE">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盘点数据统计</w:t>
      </w:r>
    </w:p>
    <w:p w14:paraId="7B98EA8D">
      <w:pPr>
        <w:pStyle w:val="14"/>
      </w:pPr>
      <w:r>
        <w:rPr>
          <w:rFonts w:hint="eastAsia"/>
        </w:rPr>
        <w:t>该模块提供灵活的库存盘点查询功能。用户可按盘点单号、盘点类型、仓库名称、区域、货架、库位、物资条码、名称、类型或分类等条件查看数据，便于精准定位和核对库存信息，确保盘点准确高效。</w:t>
      </w:r>
    </w:p>
    <w:p w14:paraId="0B1872AC">
      <w:pPr>
        <w:pStyle w:val="14"/>
      </w:pPr>
      <w:r>
        <w:rPr>
          <w:rFonts w:hint="eastAsia"/>
        </w:rPr>
        <w:t>支持按照盘点单号、盘点类型、仓库名称、区域、货架、库位、物资条码、名称、类型或分类等条件查看数据。</w:t>
      </w:r>
    </w:p>
    <w:p w14:paraId="4711492F">
      <w:pPr>
        <w:pStyle w:val="14"/>
      </w:pPr>
      <w:r>
        <w:rPr>
          <w:rFonts w:hint="eastAsia"/>
        </w:rPr>
        <w:t>支持按照时间进行筛选查看数据和导出。</w:t>
      </w:r>
    </w:p>
    <w:p w14:paraId="1CA1E343">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cstheme="minorBidi"/>
          <w:b/>
          <w:sz w:val="24"/>
        </w:rPr>
        <w:t>库存分布</w:t>
      </w:r>
    </w:p>
    <w:p w14:paraId="7FEF9930">
      <w:pPr>
        <w:pStyle w:val="14"/>
      </w:pPr>
      <w:r>
        <w:rPr>
          <w:rFonts w:hint="eastAsia"/>
        </w:rPr>
        <w:t>支持按设备、箱组、耗材等物资类型入库，出库，盘盈，盘亏数据查看。</w:t>
      </w:r>
    </w:p>
    <w:p w14:paraId="29E8DD20">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cstheme="minorBidi"/>
          <w:b/>
          <w:sz w:val="24"/>
        </w:rPr>
        <w:t>出入库类型分布</w:t>
      </w:r>
    </w:p>
    <w:p w14:paraId="4D16C21B">
      <w:pPr>
        <w:pStyle w:val="14"/>
      </w:pPr>
      <w:r>
        <w:rPr>
          <w:rFonts w:hint="eastAsia"/>
        </w:rPr>
        <w:t>支持设备、箱组、耗材等物资类型查询不同出入库类型对应的数量。</w:t>
      </w:r>
    </w:p>
    <w:p w14:paraId="3A23BE53">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系统设置</w:t>
      </w:r>
    </w:p>
    <w:p w14:paraId="79A6691A">
      <w:pPr>
        <w:pStyle w:val="14"/>
      </w:pPr>
      <w:r>
        <w:rPr>
          <w:rFonts w:hint="eastAsia"/>
        </w:rPr>
        <w:t>该模块专注于系统的配置与管理功能，提供一站式的系统维护解决方案。用户可以通过简洁直观的界面，对系统菜单、字典项、定时任务、打印机、APP管理以及系统配置等关键参数进行灵活配置和高效管理。这个模块不仅确保了系统的高度定制化，以适应不同用户的具体需求，还简化了日常运维工作，提升了整体操作效率。</w:t>
      </w:r>
    </w:p>
    <w:p w14:paraId="4482C5BD">
      <w:pPr>
        <w:pStyle w:val="14"/>
        <w:keepNext/>
      </w:pPr>
      <w:r>
        <w:rPr>
          <w:rFonts w:hint="eastAsia"/>
        </w:rPr>
        <w:t>1.菜单管理</w:t>
      </w:r>
    </w:p>
    <w:p w14:paraId="6F2090DA">
      <w:pPr>
        <w:pStyle w:val="14"/>
      </w:pPr>
      <w:r>
        <w:rPr>
          <w:rFonts w:hint="eastAsia"/>
        </w:rPr>
        <w:t>该模块专注于系统的跨平台配置管理，支持PC端和移动端的灵活配置。配置完成后，用户可以便捷地调整系统菜单，优化访问体验，确保不同设备上的操作一致性与高效性。</w:t>
      </w:r>
    </w:p>
    <w:p w14:paraId="77E04A1C">
      <w:pPr>
        <w:pStyle w:val="14"/>
      </w:pPr>
      <w:r>
        <w:rPr>
          <w:rFonts w:hint="eastAsia"/>
        </w:rPr>
        <w:t>支持PC菜单，PAD菜单编辑，删除，新增操作。</w:t>
      </w:r>
    </w:p>
    <w:p w14:paraId="78085C3C">
      <w:pPr>
        <w:pStyle w:val="14"/>
      </w:pPr>
      <w:r>
        <w:rPr>
          <w:rFonts w:hint="eastAsia"/>
        </w:rPr>
        <w:t>2.字典</w:t>
      </w:r>
    </w:p>
    <w:p w14:paraId="1DAB118C">
      <w:pPr>
        <w:pStyle w:val="14"/>
      </w:pPr>
      <w:r>
        <w:rPr>
          <w:rFonts w:hint="eastAsia"/>
        </w:rPr>
        <w:t>该模块专注于系统字典的创建与管理。用户可以轻松创建字典名称及其对应的字段数值，这些字典在系统内部广泛应用，为各项功能提供数据支持。通过灵活的字典管理，确保系统数据的一致性和准确性，提升整体操作效率。</w:t>
      </w:r>
    </w:p>
    <w:p w14:paraId="1134D1D0">
      <w:pPr>
        <w:pStyle w:val="14"/>
      </w:pPr>
      <w:r>
        <w:rPr>
          <w:rFonts w:hint="eastAsia"/>
        </w:rPr>
        <w:t>支持字典值数据新增，编辑，删除操作。</w:t>
      </w:r>
    </w:p>
    <w:p w14:paraId="713928A5">
      <w:pPr>
        <w:pStyle w:val="14"/>
      </w:pPr>
      <w:r>
        <w:rPr>
          <w:rFonts w:hint="eastAsia"/>
        </w:rPr>
        <w:t>支持多级字段值数据新增，编辑，删除操作。</w:t>
      </w:r>
    </w:p>
    <w:p w14:paraId="598E4328">
      <w:pPr>
        <w:pStyle w:val="14"/>
      </w:pPr>
      <w:r>
        <w:rPr>
          <w:rFonts w:hint="eastAsia"/>
        </w:rPr>
        <w:t>3.定时任务</w:t>
      </w:r>
    </w:p>
    <w:p w14:paraId="5EE167C1">
      <w:pPr>
        <w:pStyle w:val="14"/>
      </w:pPr>
      <w:r>
        <w:rPr>
          <w:rFonts w:hint="eastAsia"/>
        </w:rPr>
        <w:t>该专注于定时任务的全面管理。用户可以便捷地进行定时任务的新增、删除、修改、暂停、恢复及执行等操作，确保任务调度的灵活性和高效性。通过这个模块，系统能够按照预设时间自动执行任务，提升自动化管理水平。</w:t>
      </w:r>
    </w:p>
    <w:p w14:paraId="5A49D893">
      <w:pPr>
        <w:pStyle w:val="14"/>
      </w:pPr>
      <w:r>
        <w:rPr>
          <w:rFonts w:hint="eastAsia"/>
        </w:rPr>
        <w:t>支持定时任务新增，删除，暂停，回复，执行操作。</w:t>
      </w:r>
    </w:p>
    <w:p w14:paraId="4DB54F70">
      <w:pPr>
        <w:pStyle w:val="14"/>
      </w:pPr>
      <w:r>
        <w:rPr>
          <w:rFonts w:hint="eastAsia"/>
        </w:rPr>
        <w:t>支持查看定时任务的日志列表。</w:t>
      </w:r>
    </w:p>
    <w:p w14:paraId="7753A0DC">
      <w:pPr>
        <w:pStyle w:val="14"/>
      </w:pPr>
      <w:r>
        <w:rPr>
          <w:rFonts w:hint="eastAsia"/>
        </w:rPr>
        <w:t>4.打印机管理</w:t>
      </w:r>
    </w:p>
    <w:p w14:paraId="7EF2222C">
      <w:pPr>
        <w:pStyle w:val="14"/>
      </w:pPr>
      <w:r>
        <w:rPr>
          <w:rFonts w:hint="eastAsia"/>
        </w:rPr>
        <w:t>该模块专注于打印机设备的管理。用户可以便捷地进行打印机的新增、编辑与删除操作，确保打印机设备信息的准确性和时效性。通过灵活的设备管理功能，提高打印任务的执行效率，满足库房日常运营中的多样化打印需求。</w:t>
      </w:r>
    </w:p>
    <w:p w14:paraId="5E28713B">
      <w:pPr>
        <w:pStyle w:val="14"/>
      </w:pPr>
      <w:r>
        <w:rPr>
          <w:rFonts w:hint="eastAsia"/>
        </w:rPr>
        <w:t>支持打印机新增，编辑，删除操作。</w:t>
      </w:r>
    </w:p>
    <w:p w14:paraId="11FA733D">
      <w:pPr>
        <w:pStyle w:val="14"/>
      </w:pPr>
      <w:r>
        <w:rPr>
          <w:rFonts w:hint="eastAsia"/>
        </w:rPr>
        <w:t>支持按照打印机别名，打印机类型筛选。</w:t>
      </w:r>
    </w:p>
    <w:p w14:paraId="467B9342">
      <w:pPr>
        <w:pStyle w:val="14"/>
      </w:pPr>
      <w:r>
        <w:rPr>
          <w:rFonts w:hint="eastAsia"/>
        </w:rPr>
        <w:t>5.用户管理</w:t>
      </w:r>
    </w:p>
    <w:p w14:paraId="7135F4F6">
      <w:pPr>
        <w:pStyle w:val="14"/>
      </w:pPr>
      <w:r>
        <w:rPr>
          <w:rFonts w:hint="eastAsia"/>
        </w:rPr>
        <w:t>（1）基础构建与整合</w:t>
      </w:r>
    </w:p>
    <w:p w14:paraId="5EE43647">
      <w:pPr>
        <w:pStyle w:val="14"/>
      </w:pPr>
      <w:r>
        <w:rPr>
          <w:rFonts w:hint="eastAsia"/>
        </w:rPr>
        <w:t>用户管理功能支持多维度筛选，可按姓名、状态及角色快速定位目标用户。支持新增系统用户，需填写姓名、手机号、角色、所属组织、登录密码等必填信息，创建完成后即可登录使用。同时支持对系统用户进行删除操作，通过全面的用户管理能力，保障系统用户体系清晰有序，满足不同场景下的用户管理需求。</w:t>
      </w:r>
    </w:p>
    <w:p w14:paraId="1887E573">
      <w:pPr>
        <w:pStyle w:val="14"/>
      </w:pPr>
      <w:r>
        <w:rPr>
          <w:rFonts w:hint="eastAsia"/>
        </w:rPr>
        <w:t>支持用户下载模板，批量导出操作，提升用户录入效率。</w:t>
      </w:r>
    </w:p>
    <w:p w14:paraId="39FAA069">
      <w:pPr>
        <w:pStyle w:val="14"/>
      </w:pPr>
      <w:r>
        <w:rPr>
          <w:rFonts w:hint="eastAsia"/>
        </w:rPr>
        <w:t>支持用户新增，删除，编辑，重置密码，停用操作。</w:t>
      </w:r>
    </w:p>
    <w:p w14:paraId="4D7CC332">
      <w:pPr>
        <w:pStyle w:val="14"/>
      </w:pPr>
      <w:r>
        <w:rPr>
          <w:rFonts w:hint="eastAsia"/>
        </w:rPr>
        <w:t>（2）角色管理</w:t>
      </w:r>
    </w:p>
    <w:p w14:paraId="3E545114">
      <w:pPr>
        <w:pStyle w:val="14"/>
      </w:pPr>
      <w:r>
        <w:rPr>
          <w:rFonts w:hint="eastAsia"/>
        </w:rPr>
        <w:t>该模块专注于系统角色的权限配置。管理员可以针对不同角色配置相应的菜单和按钮权限，确保每个角色仅能访问其职责范围内的功能。通过这种精细化的权限设置，模块有效提升了系统的安全性，同时满足了不同角色在操作上的个性化需求。</w:t>
      </w:r>
    </w:p>
    <w:p w14:paraId="7B24B5D0">
      <w:pPr>
        <w:pStyle w:val="14"/>
      </w:pPr>
      <w:r>
        <w:rPr>
          <w:rFonts w:hint="eastAsia"/>
        </w:rPr>
        <w:t>支持角色新增，编辑，删除操作。</w:t>
      </w:r>
    </w:p>
    <w:p w14:paraId="62B6F3FF">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消息通知</w:t>
      </w:r>
    </w:p>
    <w:p w14:paraId="2EFD9D57">
      <w:pPr>
        <w:pStyle w:val="14"/>
      </w:pPr>
      <w:r>
        <w:rPr>
          <w:rFonts w:hint="eastAsia"/>
        </w:rPr>
        <w:t>系统支持生成设备保养、车辆保养、物资过期及安全库存预警等多类型通知，确保重要信息及时提醒。生成的通知会在消息列表中清晰展示，方便用户随时查看和处理，保障设备与物资管理的高效性和及时性。</w:t>
      </w:r>
    </w:p>
    <w:p w14:paraId="5A6110A7">
      <w:pPr>
        <w:pStyle w:val="14"/>
      </w:pPr>
      <w:r>
        <w:rPr>
          <w:rFonts w:hint="eastAsia"/>
        </w:rPr>
        <w:t>系统支持设备保养，车辆保养，物资过期，安全库存等不同类型的消息通知生成，生成完成后可以在消息通知列表内进行查看。</w:t>
      </w:r>
    </w:p>
    <w:p w14:paraId="196E202E">
      <w:pPr>
        <w:pStyle w:val="14"/>
      </w:pPr>
      <w:r>
        <w:rPr>
          <w:rFonts w:hint="eastAsia"/>
        </w:rPr>
        <w:t>支持消息通知查看及删除。</w:t>
      </w:r>
    </w:p>
    <w:p w14:paraId="5FB665C3">
      <w:pPr>
        <w:pStyle w:val="6"/>
        <w:keepNext/>
        <w:keepLines/>
        <w:pageBreakBefore w:val="0"/>
        <w:widowControl w:val="0"/>
        <w:kinsoku/>
        <w:wordWrap/>
        <w:overflowPunct/>
        <w:topLinePunct w:val="0"/>
        <w:autoSpaceDE/>
        <w:autoSpaceDN/>
        <w:bidi w:val="0"/>
        <w:adjustRightInd/>
        <w:snapToGrid w:val="0"/>
        <w:spacing w:before="240" w:after="240"/>
        <w:textAlignment w:val="auto"/>
        <w:outlineLvl w:val="1"/>
      </w:pPr>
      <w:r>
        <w:rPr>
          <w:rFonts w:hint="eastAsia"/>
        </w:rPr>
        <w:t>手持端</w:t>
      </w:r>
    </w:p>
    <w:p w14:paraId="1BF09BFD">
      <w:pPr>
        <w:pStyle w:val="14"/>
      </w:pPr>
      <w:r>
        <w:rPr>
          <w:rFonts w:hint="eastAsia"/>
        </w:rPr>
        <w:t>提供全面的物资管理功能，涵盖物资的入库、应急出库、借用、返库、库存查询以及箱组、设备、耗材等物资数据的管理。同时，手机端支持物资盘点、数据统计和密码修改等操作，确保用户可以随时随地进行高效的物资管理。</w:t>
      </w:r>
    </w:p>
    <w:p w14:paraId="7B847652">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首页</w:t>
      </w:r>
    </w:p>
    <w:p w14:paraId="2A7B6CD2">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物资入库</w:t>
      </w:r>
    </w:p>
    <w:p w14:paraId="4325F3C2">
      <w:pPr>
        <w:pStyle w:val="14"/>
      </w:pPr>
      <w:r>
        <w:rPr>
          <w:rFonts w:hint="eastAsia"/>
        </w:rPr>
        <w:t>系统具备便捷高效的入库功能，支持物资通过扫码入库或者采用快速入库的方式完成入库操作，并且在入库流程结束后，系统能够自动生成与之对应的入库记录，实现入库信息的及时、准确留存，为物资管理工作提供可靠的数据支撑，助力整体仓储管理更加科学有序。</w:t>
      </w:r>
    </w:p>
    <w:p w14:paraId="7BC977CD">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物资出库管控</w:t>
      </w:r>
    </w:p>
    <w:p w14:paraId="458F7D28">
      <w:pPr>
        <w:pStyle w:val="14"/>
      </w:pPr>
      <w:r>
        <w:rPr>
          <w:rFonts w:hint="eastAsia"/>
        </w:rPr>
        <w:t>支持查看出入出库清单并对相应未完成的出库清单进行完成出库，出库清单完成后，系统会生成相应的出库记录。</w:t>
      </w:r>
    </w:p>
    <w:p w14:paraId="14C2B99F">
      <w:pPr>
        <w:pStyle w:val="14"/>
      </w:pPr>
      <w:r>
        <w:rPr>
          <w:rFonts w:hint="eastAsia"/>
        </w:rPr>
        <w:t>支持用户扫描物资条码进行物资借用，物资借用后，系统自动生成相应的借用记录。</w:t>
      </w:r>
    </w:p>
    <w:p w14:paraId="737631CF">
      <w:pPr>
        <w:pStyle w:val="14"/>
      </w:pPr>
      <w:r>
        <w:rPr>
          <w:rFonts w:hint="eastAsia"/>
        </w:rPr>
        <w:t>支持用户对物资进行返库，返库时可对库位进行修改。</w:t>
      </w:r>
    </w:p>
    <w:p w14:paraId="6A1AC241">
      <w:pPr>
        <w:pStyle w:val="14"/>
      </w:pPr>
      <w:r>
        <w:rPr>
          <w:rFonts w:hint="eastAsia"/>
        </w:rPr>
        <w:t>支持用户查看物资的出入库明细，通过出入库明细更好的能够完成相关物资的溯源工作。</w:t>
      </w:r>
    </w:p>
    <w:p w14:paraId="74A4ACDC">
      <w:pPr>
        <w:pStyle w:val="14"/>
      </w:pPr>
      <w:r>
        <w:rPr>
          <w:rFonts w:hint="eastAsia"/>
        </w:rPr>
        <w:t>支持入库记录，出库记录对应数据查看。</w:t>
      </w:r>
    </w:p>
    <w:p w14:paraId="215CEC8F">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库存查询与监控</w:t>
      </w:r>
    </w:p>
    <w:p w14:paraId="3208B961">
      <w:pPr>
        <w:pStyle w:val="14"/>
      </w:pPr>
      <w:r>
        <w:rPr>
          <w:rFonts w:hint="eastAsia"/>
        </w:rPr>
        <w:t>系统具备强大的查询功能，支持用户轻松查询不同物资所对应的库存数量以及具体存放位置，使得用户能够实时、精准地掌握物资情况，对物资储备及分布做到心中有数，进而为日常的物资管理、调配等工作提供有力的数据支撑，保障相关工作科学、有序地开展。</w:t>
      </w:r>
    </w:p>
    <w:p w14:paraId="16F6964A">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物资专项管理</w:t>
      </w:r>
    </w:p>
    <w:p w14:paraId="2DE571BA">
      <w:pPr>
        <w:pStyle w:val="14"/>
      </w:pPr>
      <w:r>
        <w:rPr>
          <w:rFonts w:hint="eastAsia"/>
        </w:rPr>
        <w:t>系统针对不同类型的物资提供了全面且实用的管理功能，其中，对于耗材及药品物资，支持对其进行查看、编辑、新增以及删除操作，方便根据实际使用及管理需求灵活调整相关信息；对于设备物资，支持箱组物资的查看、编辑、新增和删除操作，助力精准把控箱组物资情况；而针对箱组物资，同样支持设备物资的查看、编辑、新增与删除操作，以此保障各类物资管理工作有序开展，满足多样化的物资管理需求。</w:t>
      </w:r>
    </w:p>
    <w:p w14:paraId="3DF6138C">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现场物资领用</w:t>
      </w:r>
    </w:p>
    <w:p w14:paraId="77E7D763">
      <w:pPr>
        <w:pStyle w:val="14"/>
      </w:pPr>
      <w:r>
        <w:rPr>
          <w:rFonts w:hint="eastAsia"/>
        </w:rPr>
        <w:t>支持通过扫描物资条码或者手动检索快速定位目标物资，领用后系统自动生成领用单据，便于后期进行物资追溯。</w:t>
      </w:r>
    </w:p>
    <w:p w14:paraId="250A4B22">
      <w:pPr>
        <w:pStyle w:val="8"/>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现场物资归还</w:t>
      </w:r>
    </w:p>
    <w:p w14:paraId="46BE1BAA">
      <w:pPr>
        <w:pStyle w:val="14"/>
        <w:keepNext w:val="0"/>
        <w:keepLines w:val="0"/>
        <w:pageBreakBefore w:val="0"/>
        <w:widowControl w:val="0"/>
        <w:kinsoku/>
        <w:wordWrap/>
        <w:overflowPunct/>
        <w:topLinePunct w:val="0"/>
        <w:autoSpaceDE/>
        <w:autoSpaceDN/>
        <w:bidi w:val="0"/>
        <w:textAlignment w:val="auto"/>
      </w:pPr>
      <w:r>
        <w:rPr>
          <w:rFonts w:hint="eastAsia"/>
        </w:rPr>
        <w:t>演练现场物资归还主要分为两种情况，分别为队员</w:t>
      </w:r>
      <w:r>
        <w:rPr>
          <w:rFonts w:hint="eastAsia"/>
          <w:lang w:eastAsia="zh-CN"/>
        </w:rPr>
        <w:t>把</w:t>
      </w:r>
      <w:r>
        <w:rPr>
          <w:rFonts w:hint="eastAsia"/>
        </w:rPr>
        <w:t>物资归还至队长手中，队长对归还物资进行确认；另外一种是演练结束后队员归还物资至库管员手中，库管员对物资进行确认，确认完成后，系统自动计算并生成演练对应的物资消耗记录，方便后续进行追溯。</w:t>
      </w:r>
    </w:p>
    <w:p w14:paraId="663C07AC">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物资移库</w:t>
      </w:r>
    </w:p>
    <w:p w14:paraId="778F4465">
      <w:pPr>
        <w:pStyle w:val="14"/>
      </w:pPr>
      <w:r>
        <w:rPr>
          <w:rFonts w:hint="eastAsia"/>
        </w:rPr>
        <w:t>支持扫描物资条码，点击移库操作同时扫描仓位条码，确认移库即可完成物资的移库操作，移库完成后系统支持移库记录查看。</w:t>
      </w:r>
    </w:p>
    <w:p w14:paraId="6DC1FA6C">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审批管理</w:t>
      </w:r>
    </w:p>
    <w:p w14:paraId="43AAED39">
      <w:pPr>
        <w:pStyle w:val="14"/>
      </w:pPr>
      <w:r>
        <w:rPr>
          <w:rFonts w:hint="eastAsia"/>
        </w:rPr>
        <w:t>支持演练事件审批操作，可对演练事件进行审批，驳回操作。</w:t>
      </w:r>
    </w:p>
    <w:p w14:paraId="6A6DFF50">
      <w:pPr>
        <w:pStyle w:val="14"/>
      </w:pPr>
      <w:r>
        <w:rPr>
          <w:rFonts w:hint="eastAsia"/>
        </w:rPr>
        <w:t>支物资领用，借用单据的审批操作，可对其进行审批，驳回操作。</w:t>
      </w:r>
    </w:p>
    <w:p w14:paraId="5D4792D1">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cstheme="minorBidi"/>
        </w:rPr>
        <w:t>盘点</w:t>
      </w:r>
    </w:p>
    <w:p w14:paraId="7523F65A">
      <w:pPr>
        <w:pStyle w:val="14"/>
      </w:pPr>
      <w:r>
        <w:rPr>
          <w:rFonts w:hint="eastAsia"/>
        </w:rPr>
        <w:t>用户可在电脑端创建盘点单据，并通过移动端进行现场盘点。盘点结束后，系统自动根据实际盘点数据生成盘盈盘亏记录，提高库存管理的效率和准确性。</w:t>
      </w:r>
    </w:p>
    <w:p w14:paraId="2DAF10A0">
      <w:pPr>
        <w:pStyle w:val="14"/>
      </w:pPr>
      <w:r>
        <w:rPr>
          <w:rFonts w:hint="eastAsia"/>
        </w:rPr>
        <w:t>支持用户在电脑端创建盘点单据后，在移动端进行盘点，盘点完成后系统生成相应的盘盈盘亏记录。</w:t>
      </w:r>
    </w:p>
    <w:p w14:paraId="103F2F9C">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ascii="Times New Roman" w:hAnsi="Times New Roman" w:cstheme="majorBidi"/>
          <w:b/>
          <w:bCs/>
          <w:sz w:val="24"/>
          <w:szCs w:val="24"/>
        </w:rPr>
      </w:pPr>
      <w:r>
        <w:rPr>
          <w:rFonts w:hint="eastAsia" w:cstheme="majorBidi"/>
          <w:b/>
          <w:bCs/>
          <w:sz w:val="24"/>
          <w:szCs w:val="24"/>
        </w:rPr>
        <w:t>消息通知</w:t>
      </w:r>
    </w:p>
    <w:p w14:paraId="75D80149">
      <w:pPr>
        <w:pStyle w:val="14"/>
      </w:pPr>
      <w:r>
        <w:rPr>
          <w:rFonts w:hint="eastAsia"/>
        </w:rPr>
        <w:t>系统支持生成设备保养、车辆保养、物资过期及安全库存预警等多类型通知，确保重要信息及时提醒。生成的通知会在消息列表中清晰展示，方便用户随时查看和处理，保障设备与物资管理的高效性和及时性。</w:t>
      </w:r>
    </w:p>
    <w:p w14:paraId="49D125B2">
      <w:pPr>
        <w:pStyle w:val="14"/>
      </w:pPr>
      <w:r>
        <w:rPr>
          <w:rFonts w:hint="eastAsia"/>
        </w:rPr>
        <w:t>系统支持设备保养，车辆保养，物资过期，安全库存等不同类型的消息通知生成，生成完成后可以在消息通知列表内进行查看。</w:t>
      </w:r>
    </w:p>
    <w:p w14:paraId="663D911F">
      <w:pPr>
        <w:pStyle w:val="7"/>
        <w:keepNext w:val="0"/>
        <w:keepLines w:val="0"/>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cstheme="minorBidi"/>
        </w:rPr>
        <w:t>统计</w:t>
      </w:r>
    </w:p>
    <w:p w14:paraId="7B657029">
      <w:pPr>
        <w:pStyle w:val="8"/>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物资流转数据分析</w:t>
      </w:r>
    </w:p>
    <w:p w14:paraId="57108F86">
      <w:pPr>
        <w:pStyle w:val="14"/>
        <w:keepNext w:val="0"/>
        <w:keepLines w:val="0"/>
        <w:pageBreakBefore w:val="0"/>
        <w:widowControl w:val="0"/>
        <w:kinsoku/>
        <w:wordWrap/>
        <w:overflowPunct/>
        <w:topLinePunct w:val="0"/>
        <w:autoSpaceDE/>
        <w:autoSpaceDN/>
        <w:bidi w:val="0"/>
        <w:textAlignment w:val="auto"/>
      </w:pPr>
      <w:r>
        <w:rPr>
          <w:rFonts w:hint="eastAsia"/>
        </w:rPr>
        <w:t>系统具备强大的物资流转数据分析功能，其中尤为突出的是支持对物资的出入库次数进行统计，通过精准统计相关数据，能清晰呈现物资的流转频次情况，为进一步分析物资流动规律、把控物资管理动态以及合理规划后续物资调配等工作提供极具价值的数据支撑，助力物资管理工作更加科学、高效地开展。</w:t>
      </w:r>
    </w:p>
    <w:p w14:paraId="5CD2478E">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物资数据统计</w:t>
      </w:r>
    </w:p>
    <w:p w14:paraId="4E43AAD3">
      <w:pPr>
        <w:pStyle w:val="14"/>
      </w:pPr>
      <w:r>
        <w:rPr>
          <w:rFonts w:hint="eastAsia"/>
        </w:rPr>
        <w:t>系统的物资数据统计功能十分完善，特别支持按照出入库类型进行统计，无论是入库的不同细分类型，还是出库的各类具体情况，都能实现精准统计，借此可以清晰地洞察物资在不同业务场景下的流动走向，为深入分析物资流转规律、优化物资管理策略以及科学调配物资等工作提供有力的数据依据，保障物资管理工作高效且有序地推进。</w:t>
      </w:r>
    </w:p>
    <w:p w14:paraId="3CD7E6A6">
      <w:pPr>
        <w:pStyle w:val="8"/>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hAnsiTheme="minorHAnsi" w:cstheme="minorBidi"/>
          <w:b/>
          <w:sz w:val="24"/>
        </w:rPr>
      </w:pPr>
      <w:r>
        <w:rPr>
          <w:rFonts w:hint="eastAsia" w:hAnsiTheme="minorHAnsi" w:cstheme="minorBidi"/>
          <w:b/>
          <w:sz w:val="24"/>
        </w:rPr>
        <w:t>物资风险预警</w:t>
      </w:r>
    </w:p>
    <w:p w14:paraId="4A4579B3">
      <w:pPr>
        <w:pStyle w:val="14"/>
      </w:pPr>
      <w:r>
        <w:rPr>
          <w:rFonts w:hint="eastAsia"/>
        </w:rPr>
        <w:t>系统配备了实用的物资风险预警功能，能够针对物资有效期、设备保养情况、安全库存水平以及车辆保养需求等关键方面及时发送消息通知，让相关管理人员可以第一时间掌握重要信息，提前做好应对措施，有效规避因物资过期、设备缺乏保养、库存不足或车辆未按时保养等问题带来的风险，切实保障物资管理及相关业务工作的平稳、有序开展。</w:t>
      </w:r>
    </w:p>
    <w:p w14:paraId="6E64F315">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cstheme="minorBidi"/>
        </w:rPr>
        <w:t>我的</w:t>
      </w:r>
    </w:p>
    <w:p w14:paraId="72509240">
      <w:pPr>
        <w:pStyle w:val="14"/>
      </w:pPr>
      <w:r>
        <w:rPr>
          <w:rFonts w:hint="eastAsia"/>
        </w:rPr>
        <w:t>系统充分考虑移动端使用的便利性与实用性，全面支持移动端的用户个人设置与管理工作。在此基础上，为用户提供了多项实用功能，包含可自主修改密码以保障账户安全，能够查看当前移动端版本以便了解应用详情，可实时监测更新从而及时获取最新功能与优化内容，还支持便捷地退出登录操作。通过这些功能的协同配合，切实确保用户能轻松、便捷地管理好个人账户，并始终让应用保持在最新状态，为用户带来优质、高效的移动端使用体验。</w:t>
      </w:r>
    </w:p>
    <w:p w14:paraId="6049CDA6">
      <w:pPr>
        <w:pStyle w:val="14"/>
      </w:pPr>
      <w:r>
        <w:rPr>
          <w:rFonts w:hint="eastAsia"/>
        </w:rPr>
        <w:t>1.账号安全与维护</w:t>
      </w:r>
    </w:p>
    <w:p w14:paraId="150372C7">
      <w:pPr>
        <w:pStyle w:val="14"/>
      </w:pPr>
      <w:r>
        <w:rPr>
          <w:rFonts w:hint="eastAsia"/>
        </w:rPr>
        <w:t>在账号安全与维护板块，系统贴心地为用户提供了修改密码的功能</w:t>
      </w:r>
      <w:r>
        <w:rPr>
          <w:rFonts w:hint="eastAsia"/>
          <w:lang w:eastAsia="zh-CN"/>
        </w:rPr>
        <w:t>，</w:t>
      </w:r>
      <w:r>
        <w:rPr>
          <w:rFonts w:hint="eastAsia"/>
        </w:rPr>
        <w:t>用户</w:t>
      </w:r>
      <w:r>
        <w:rPr>
          <w:rFonts w:hint="eastAsia"/>
          <w:lang w:eastAsia="zh-CN"/>
        </w:rPr>
        <w:t>可以</w:t>
      </w:r>
      <w:r>
        <w:rPr>
          <w:rFonts w:hint="eastAsia"/>
        </w:rPr>
        <w:t>依据自身需求随时对密码进行更新，以此增强账号的安全性，有效避免因密码泄露等情况带来的安全隐患，确保账号使用的安全可靠。</w:t>
      </w:r>
    </w:p>
    <w:p w14:paraId="6B1D9C0E">
      <w:pPr>
        <w:pStyle w:val="14"/>
        <w:keepNext/>
        <w:keepLines w:val="0"/>
        <w:pageBreakBefore w:val="0"/>
        <w:widowControl/>
        <w:kinsoku/>
        <w:wordWrap/>
        <w:overflowPunct/>
        <w:topLinePunct w:val="0"/>
        <w:autoSpaceDE/>
        <w:autoSpaceDN/>
        <w:bidi w:val="0"/>
        <w:adjustRightInd/>
        <w:snapToGrid/>
        <w:textAlignment w:val="auto"/>
      </w:pPr>
      <w:r>
        <w:rPr>
          <w:rFonts w:hint="eastAsia"/>
        </w:rPr>
        <w:t>2.应用版本管理与监测</w:t>
      </w:r>
    </w:p>
    <w:p w14:paraId="15BD80F1">
      <w:pPr>
        <w:pStyle w:val="14"/>
      </w:pPr>
      <w:r>
        <w:rPr>
          <w:rFonts w:hint="eastAsia"/>
        </w:rPr>
        <w:t>应用版本管理与监测功能在系统中有着重要作用，其中支持用户便捷地查看当前移动端版本，让用户能够清</w:t>
      </w:r>
      <w:r>
        <w:rPr>
          <w:rFonts w:hint="eastAsia"/>
          <w:lang w:eastAsia="zh-CN"/>
        </w:rPr>
        <w:t>晰地</w:t>
      </w:r>
      <w:r>
        <w:rPr>
          <w:rFonts w:hint="eastAsia"/>
        </w:rPr>
        <w:t>知晓所使用应用的具体版本情况，以便更好地结合版本特性开展相应操作，同时也为后续及时跟进版本更新、保障应用使用体验的连贯性提供了有力支撑。</w:t>
      </w:r>
    </w:p>
    <w:p w14:paraId="4259F16E">
      <w:pPr>
        <w:pStyle w:val="6"/>
        <w:keepNext/>
        <w:keepLines/>
        <w:pageBreakBefore w:val="0"/>
        <w:widowControl w:val="0"/>
        <w:kinsoku/>
        <w:wordWrap/>
        <w:overflowPunct/>
        <w:topLinePunct w:val="0"/>
        <w:autoSpaceDE/>
        <w:autoSpaceDN/>
        <w:bidi w:val="0"/>
        <w:adjustRightInd/>
        <w:snapToGrid w:val="0"/>
        <w:spacing w:before="240" w:after="240"/>
        <w:textAlignment w:val="auto"/>
        <w:outlineLvl w:val="1"/>
      </w:pPr>
      <w:r>
        <w:rPr>
          <w:rFonts w:hint="eastAsia"/>
        </w:rPr>
        <w:t>自助终端</w:t>
      </w:r>
    </w:p>
    <w:p w14:paraId="7627B2F7">
      <w:pPr>
        <w:pStyle w:val="14"/>
      </w:pPr>
      <w:r>
        <w:rPr>
          <w:rFonts w:hint="eastAsia"/>
        </w:rPr>
        <w:t>自助终端涵盖了多个核心功能，其中包括用户登录功能，方便用户进入系统；还有用户退出功能，便于用户在使用完毕后顺利退出。同时，具备重要的物资流转相关功能，像借用出库功能，在此过程中支持物资搜索、提供搜索推荐、展示待取物资以及需要用户签名确认；领用出库功能也不可或缺，涵盖物资搜索、搜索推荐以及用户签名环节；此外，设有物资归还功能，支持用户扫码操作，可处理物资借用及物资归还相关事宜，全方位满足用户在物资借还、领用等方面的使用需求。</w:t>
      </w:r>
    </w:p>
    <w:p w14:paraId="66B7B5DD">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身份认证</w:t>
      </w:r>
    </w:p>
    <w:p w14:paraId="1AB4212C">
      <w:pPr>
        <w:pStyle w:val="14"/>
      </w:pPr>
      <w:r>
        <w:rPr>
          <w:rFonts w:hint="eastAsia"/>
        </w:rPr>
        <w:t>1.身份认证与访问管控</w:t>
      </w:r>
    </w:p>
    <w:p w14:paraId="339FB24E">
      <w:pPr>
        <w:pStyle w:val="14"/>
      </w:pPr>
      <w:r>
        <w:rPr>
          <w:rFonts w:hint="eastAsia"/>
        </w:rPr>
        <w:t>系统具备完善且便捷的用户操作功能，涵盖用户登录与用户退出两方面，既支持用户顺畅登录，保障其能快速进入系统开展相应业务操作，又支持用户便捷退出，使用户可在结束使用时轻松完成退出操作，以此满足用户日常使用中正常的进出系统需求，提升整体使用体验。</w:t>
      </w:r>
    </w:p>
    <w:p w14:paraId="2CFC2C2E">
      <w:pPr>
        <w:pStyle w:val="14"/>
      </w:pPr>
      <w:r>
        <w:rPr>
          <w:rFonts w:hint="eastAsia"/>
        </w:rPr>
        <w:t>支持用户登录和退出功能。</w:t>
      </w:r>
    </w:p>
    <w:p w14:paraId="324C0483">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借用出库</w:t>
      </w:r>
    </w:p>
    <w:p w14:paraId="6A0024E1">
      <w:pPr>
        <w:pStyle w:val="14"/>
      </w:pPr>
      <w:r>
        <w:rPr>
          <w:rFonts w:hint="eastAsia"/>
        </w:rPr>
        <w:t>支持物资查询，查询后可以点亮货架指示灯和电子标签引导用户拿取物资。</w:t>
      </w:r>
    </w:p>
    <w:p w14:paraId="4F378300">
      <w:pPr>
        <w:pStyle w:val="14"/>
      </w:pPr>
      <w:r>
        <w:rPr>
          <w:rFonts w:hint="eastAsia"/>
        </w:rPr>
        <w:t>支持通过签名完成物资借用出库操作。</w:t>
      </w:r>
    </w:p>
    <w:p w14:paraId="46709625">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领用出库</w:t>
      </w:r>
    </w:p>
    <w:p w14:paraId="0B2F48A2">
      <w:pPr>
        <w:pStyle w:val="14"/>
      </w:pPr>
      <w:r>
        <w:rPr>
          <w:rFonts w:hint="eastAsia"/>
        </w:rPr>
        <w:t>支持物资查询，查询后可以点亮货架指示灯和电子标签引导用户拿取物资。</w:t>
      </w:r>
    </w:p>
    <w:p w14:paraId="444632DF">
      <w:pPr>
        <w:pStyle w:val="14"/>
      </w:pPr>
      <w:r>
        <w:rPr>
          <w:rFonts w:hint="eastAsia"/>
        </w:rPr>
        <w:t>支持通过签名完成物资借用出库操作。</w:t>
      </w:r>
    </w:p>
    <w:p w14:paraId="5C4C83CB">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物资归还</w:t>
      </w:r>
    </w:p>
    <w:p w14:paraId="10358479">
      <w:pPr>
        <w:pStyle w:val="14"/>
      </w:pPr>
      <w:r>
        <w:rPr>
          <w:rFonts w:hint="eastAsia"/>
        </w:rPr>
        <w:t>支持物资归还，扫描物资条码完成后系统自动显示原物资所在位置。</w:t>
      </w:r>
    </w:p>
    <w:p w14:paraId="3AE39671">
      <w:pPr>
        <w:pStyle w:val="14"/>
      </w:pPr>
      <w:r>
        <w:rPr>
          <w:rFonts w:hint="eastAsia"/>
        </w:rPr>
        <w:t>支持通过点亮库位操作，点击提交后物资即可归还成功。</w:t>
      </w:r>
    </w:p>
    <w:p w14:paraId="052D9FB4">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cstheme="minorBidi"/>
          <w:b/>
          <w:bCs/>
          <w:sz w:val="24"/>
        </w:rPr>
        <w:t>安灯系统</w:t>
      </w:r>
    </w:p>
    <w:p w14:paraId="38C03FAD">
      <w:pPr>
        <w:pStyle w:val="14"/>
      </w:pPr>
      <w:r>
        <w:rPr>
          <w:rFonts w:hint="eastAsia"/>
        </w:rPr>
        <w:t>系统对接安装在货架、货位的货架指示灯和电子标签牌，支持软硬件联动，物资查询、领用、物资归还等应用场景时提供声光提示功能，便于快速定位物资位置，便于库位查找。</w:t>
      </w:r>
    </w:p>
    <w:p w14:paraId="5A3ED9B8">
      <w:pPr>
        <w:pStyle w:val="6"/>
        <w:keepNext/>
        <w:keepLines/>
        <w:pageBreakBefore w:val="0"/>
        <w:widowControl w:val="0"/>
        <w:kinsoku/>
        <w:wordWrap/>
        <w:overflowPunct/>
        <w:topLinePunct w:val="0"/>
        <w:autoSpaceDE/>
        <w:autoSpaceDN/>
        <w:bidi w:val="0"/>
        <w:adjustRightInd/>
        <w:snapToGrid w:val="0"/>
        <w:spacing w:before="240" w:after="240"/>
        <w:textAlignment w:val="auto"/>
        <w:outlineLvl w:val="1"/>
      </w:pPr>
      <w:r>
        <w:rPr>
          <w:rFonts w:hint="eastAsia"/>
        </w:rPr>
        <w:t>大屏端（可视化展示）</w:t>
      </w:r>
    </w:p>
    <w:p w14:paraId="77C7777C">
      <w:pPr>
        <w:pStyle w:val="14"/>
      </w:pPr>
      <w:r>
        <w:rPr>
          <w:rFonts w:hint="eastAsia"/>
        </w:rPr>
        <w:t>该模块为应急物资智慧仓储大屏，提供直观的物资出入库情况展示实时展示。系统通过颜色高亮显示需保养设备，并展示借用物资的借用人、时长等信息。结合温湿度监测，全方位守护仓库安全，异常时大屏红色预警并发送保养通知，确保库管员及时跟进。支持物资数据多维度统计分析，生成报表供决策参考，提升物资管理的智能化水平。</w:t>
      </w:r>
    </w:p>
    <w:p w14:paraId="2E4C2315">
      <w:pPr>
        <w:pStyle w:val="14"/>
      </w:pPr>
      <w:r>
        <w:rPr>
          <w:rFonts w:hint="eastAsia"/>
        </w:rPr>
        <w:t>支持物资出入库汇总统计，出入库类型占比，库存分布数据统计。</w:t>
      </w:r>
    </w:p>
    <w:p w14:paraId="415CBDCC">
      <w:pPr>
        <w:pStyle w:val="14"/>
      </w:pPr>
      <w:r>
        <w:rPr>
          <w:rFonts w:hint="eastAsia"/>
        </w:rPr>
        <w:t>支持待归还清单，预警数据统计分析，出入库统计。</w:t>
      </w:r>
    </w:p>
    <w:p w14:paraId="60D46265">
      <w:pPr>
        <w:pStyle w:val="14"/>
      </w:pPr>
      <w:r>
        <w:rPr>
          <w:rFonts w:hint="eastAsia"/>
        </w:rPr>
        <w:t>支持货架上物资出库或者入库后，数字孪生模型数据会进行相应数据更新。</w:t>
      </w:r>
    </w:p>
    <w:p w14:paraId="26CD4434">
      <w:pPr>
        <w:pStyle w:val="6"/>
        <w:keepNext/>
        <w:keepLines/>
        <w:pageBreakBefore w:val="0"/>
        <w:widowControl w:val="0"/>
        <w:kinsoku/>
        <w:wordWrap/>
        <w:overflowPunct/>
        <w:topLinePunct w:val="0"/>
        <w:autoSpaceDE/>
        <w:autoSpaceDN/>
        <w:bidi w:val="0"/>
        <w:adjustRightInd/>
        <w:snapToGrid w:val="0"/>
        <w:spacing w:before="240" w:after="240"/>
        <w:textAlignment w:val="auto"/>
        <w:outlineLvl w:val="1"/>
      </w:pPr>
      <w:r>
        <w:rPr>
          <w:rFonts w:hint="eastAsia"/>
        </w:rPr>
        <w:t>外部系统对接</w:t>
      </w:r>
    </w:p>
    <w:p w14:paraId="26C10BB6">
      <w:pPr>
        <w:pStyle w:val="14"/>
      </w:pPr>
      <w:r>
        <w:rPr>
          <w:rFonts w:hint="eastAsia"/>
        </w:rPr>
        <w:t>为实现“国家基地统筹、省级救援队库房响应”的应急物资协同模式，应急物资管理平台将提供标准化对接接口，国家救援基地应急库房与省级救援队库房通过该接口完成物资信息互通。省级救援队库房调用平台标准接口，可将本地库房的物资库存动态（如物资品类、实时数量、效期状态、维保记录）等信息推送共享给系统。</w:t>
      </w:r>
      <w:r>
        <w:rPr>
          <w:rFonts w:hint="eastAsia" w:ascii="MS Gothic" w:hAnsi="MS Gothic" w:eastAsia="MS Gothic" w:cs="MS Gothic"/>
        </w:rPr>
        <w:t>​</w:t>
      </w:r>
    </w:p>
    <w:p w14:paraId="147F7F63">
      <w:pPr>
        <w:pStyle w:val="14"/>
      </w:pPr>
      <w:r>
        <w:rPr>
          <w:rFonts w:hint="eastAsia"/>
        </w:rPr>
        <w:t>接入应急物资管理平台的具体流程为：地市级库房通过标准接口，将本地物资库存更新数据、推送给国家紧急医学救援（福建）基地的应急物资管理系统。系统接收数据后，生成唯一数据流转，随后根据预设规则，将上报物资信息数据推送给救援基地应急物资管理系统。形成“地市上传-平台中转-基地同步”的闭环对接流程。</w:t>
      </w:r>
    </w:p>
    <w:p w14:paraId="4B2559E0">
      <w:pPr>
        <w:pStyle w:val="14"/>
      </w:pPr>
      <w:r>
        <w:rPr>
          <w:rFonts w:hint="eastAsia"/>
        </w:rPr>
        <w:t>本系统的外部系统对接主要从多个方面着手，一是标准接口开发：针对外部物资管理系统的对接需求，本系统优先开发标准化接口，确保外部系统按统一规范改造后即可快速接入，减少对接适配成本，本项目将提供系统标准接口文档及参数，让外部系统开发人员快速理解接口规则、减少沟通成本。二是提供相应的WEB填报页面，采用定期填报的方式上报物资数量，以满足不同使用场景下的数据录入需求。</w:t>
      </w:r>
    </w:p>
    <w:p w14:paraId="3D6486BE">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标准接口开发</w:t>
      </w:r>
    </w:p>
    <w:p w14:paraId="3FA7D6A6">
      <w:pPr>
        <w:pStyle w:val="14"/>
      </w:pPr>
      <w:r>
        <w:rPr>
          <w:rFonts w:hint="eastAsia"/>
        </w:rPr>
        <w:t>为实现物资管理相关的协同工作模式，本系统将提供标准化接口，针对外部地市应急物资仓库、救援队物资管理系统等外部系统对接时，外部系统可调用该接口，将物资相关信息推送给本系统，本系统会积极配合完成联调工作。通过此标准接口，外部系统先把物资相关数据传输至本系统，系统接收并记录信息后，可依据实际业务需求进行后续的数据处理与交互，保障物资管理工作的协同开展。</w:t>
      </w:r>
    </w:p>
    <w:p w14:paraId="10937D03">
      <w:pPr>
        <w:pStyle w:val="14"/>
      </w:pPr>
      <w:r>
        <w:rPr>
          <w:rFonts w:hint="eastAsia"/>
        </w:rPr>
        <w:t>1.交互数据内容</w:t>
      </w:r>
    </w:p>
    <w:p w14:paraId="283EB057">
      <w:pPr>
        <w:pStyle w:val="14"/>
      </w:pPr>
      <w:r>
        <w:rPr>
          <w:rFonts w:hint="eastAsia"/>
        </w:rPr>
        <w:t>外部系统通过调用本平台的标准接口，需写入以下核心物资信息：</w:t>
      </w:r>
    </w:p>
    <w:p w14:paraId="518DCE37">
      <w:pPr>
        <w:pStyle w:val="14"/>
      </w:pPr>
      <w:r>
        <w:rPr>
          <w:rFonts w:hint="eastAsia"/>
        </w:rPr>
        <w:t>物资基础数据：涵盖物资名称、规格、型号等基础描述内容。</w:t>
      </w:r>
    </w:p>
    <w:p w14:paraId="46064694">
      <w:pPr>
        <w:pStyle w:val="14"/>
      </w:pPr>
      <w:r>
        <w:rPr>
          <w:rFonts w:hint="eastAsia"/>
        </w:rPr>
        <w:t>物资编码数据：以唯一编码来精准定位各物资，确保物资在整个管理流程中的准确性与唯一性。</w:t>
      </w:r>
    </w:p>
    <w:p w14:paraId="0480AC19">
      <w:pPr>
        <w:pStyle w:val="14"/>
      </w:pPr>
      <w:r>
        <w:rPr>
          <w:rFonts w:hint="eastAsia"/>
        </w:rPr>
        <w:t>物资存储位置：明确物资存放的具体地点，例如仓库编号、库位分区等。</w:t>
      </w:r>
    </w:p>
    <w:p w14:paraId="5AD845B7">
      <w:pPr>
        <w:pStyle w:val="14"/>
      </w:pPr>
      <w:r>
        <w:rPr>
          <w:rFonts w:hint="eastAsia"/>
        </w:rPr>
        <w:t>物资入库数据：包含入库时间、入库数量、入库批次等关键入库详情。</w:t>
      </w:r>
    </w:p>
    <w:p w14:paraId="00820577">
      <w:pPr>
        <w:pStyle w:val="14"/>
      </w:pPr>
      <w:r>
        <w:rPr>
          <w:rFonts w:hint="eastAsia"/>
        </w:rPr>
        <w:t>物资库存数据：实时反映物资当前的库存余量，为物资调配等决策提供数据支撑。</w:t>
      </w:r>
    </w:p>
    <w:p w14:paraId="04BD4EF1">
      <w:pPr>
        <w:pStyle w:val="14"/>
      </w:pPr>
      <w:r>
        <w:rPr>
          <w:rFonts w:hint="eastAsia"/>
        </w:rPr>
        <w:t>物资出库调拨数据：记录物资出库时间、出库数量、调拨去向等信息，确保物资流转过程清晰可查。</w:t>
      </w:r>
    </w:p>
    <w:p w14:paraId="526FA531">
      <w:pPr>
        <w:pStyle w:val="14"/>
      </w:pPr>
      <w:r>
        <w:rPr>
          <w:rFonts w:hint="eastAsia"/>
        </w:rPr>
        <w:t>2.接口调用方式</w:t>
      </w:r>
    </w:p>
    <w:p w14:paraId="4AB72677">
      <w:pPr>
        <w:pStyle w:val="14"/>
      </w:pPr>
      <w:r>
        <w:rPr>
          <w:rFonts w:hint="eastAsia"/>
        </w:rPr>
        <w:t>提供HTTP/HTTPS协议接口调用方式，且基于JSON的数据格式进行数据交换，接口遵循RESTful设计原则以此确保数据传输的高效性与规范性，方便不同外部系统与本平台之间的顺利对接。</w:t>
      </w:r>
    </w:p>
    <w:p w14:paraId="50E3CFD9">
      <w:pPr>
        <w:pStyle w:val="7"/>
        <w:keepNext w:val="0"/>
        <w:keepLines w:val="0"/>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物资填报页面</w:t>
      </w:r>
    </w:p>
    <w:p w14:paraId="06109C46">
      <w:pPr>
        <w:pStyle w:val="14"/>
        <w:keepNext w:val="0"/>
        <w:keepLines w:val="0"/>
        <w:pageBreakBefore w:val="0"/>
        <w:widowControl w:val="0"/>
        <w:kinsoku/>
        <w:wordWrap/>
        <w:overflowPunct/>
        <w:topLinePunct w:val="0"/>
        <w:autoSpaceDE/>
        <w:autoSpaceDN/>
        <w:bidi w:val="0"/>
        <w:textAlignment w:val="auto"/>
      </w:pPr>
      <w:r>
        <w:rPr>
          <w:rFonts w:hint="eastAsia"/>
        </w:rPr>
        <w:t>针对未建物资管理系统或者不具备改造条件的地市级应急物资仓库、救援队物资，本系统提供Web端作为数据对接入口。管理者凭借账号密码登录后，可在提供的填报页面上完成物资信息的手动填报与维护工作，在操作过程中，页面会有相应的数据校验等功能辅助，以此确保所录入数据的完整性与时效性，保障物资管理中手动录入的数据能准确无误地进入系统，为整体物资管理工作提供可靠的数据基础。</w:t>
      </w:r>
    </w:p>
    <w:p w14:paraId="5DE7DCB4">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与国家紧急医学救援（福建）队信息平台系统对接联调</w:t>
      </w:r>
    </w:p>
    <w:p w14:paraId="0AEDA326">
      <w:pPr>
        <w:pStyle w:val="14"/>
      </w:pPr>
      <w:r>
        <w:rPr>
          <w:rFonts w:hint="eastAsia"/>
        </w:rPr>
        <w:t>1.对接范围</w:t>
      </w:r>
    </w:p>
    <w:p w14:paraId="21570407">
      <w:pPr>
        <w:pStyle w:val="14"/>
      </w:pPr>
      <w:r>
        <w:rPr>
          <w:rFonts w:hint="eastAsia"/>
        </w:rPr>
        <w:t>本次数据对接涵盖国家紧急医学救援（福建）队信息平台系统物资数据的核心业务数据，主要包括以下六类：</w:t>
      </w:r>
    </w:p>
    <w:p w14:paraId="6DF10819">
      <w:pPr>
        <w:pStyle w:val="14"/>
      </w:pPr>
      <w:r>
        <w:rPr>
          <w:rFonts w:hint="eastAsia"/>
        </w:rPr>
        <w:t>（1）物资基础数据</w:t>
      </w:r>
    </w:p>
    <w:p w14:paraId="31B006F2">
      <w:pPr>
        <w:pStyle w:val="14"/>
      </w:pPr>
      <w:r>
        <w:rPr>
          <w:rFonts w:hint="eastAsia"/>
        </w:rPr>
        <w:t>包含物资唯一编码、名称、规格型号、计量单位、物资类别、生产厂家、保质期、物资特性等基础信息</w:t>
      </w:r>
      <w:r>
        <w:rPr>
          <w:rFonts w:hint="eastAsia"/>
          <w:lang w:eastAsia="zh-CN"/>
        </w:rPr>
        <w:t>；</w:t>
      </w:r>
    </w:p>
    <w:p w14:paraId="1F355A51">
      <w:pPr>
        <w:pStyle w:val="14"/>
      </w:pPr>
      <w:r>
        <w:rPr>
          <w:rFonts w:hint="eastAsia"/>
        </w:rPr>
        <w:t>数据格式需统一采用国家应急物资分类标准，确保两个系统对同一物资的识别一致性</w:t>
      </w:r>
      <w:r>
        <w:rPr>
          <w:rFonts w:hint="eastAsia"/>
          <w:lang w:eastAsia="zh-CN"/>
        </w:rPr>
        <w:t>。</w:t>
      </w:r>
    </w:p>
    <w:p w14:paraId="67C4E9B1">
      <w:pPr>
        <w:pStyle w:val="14"/>
      </w:pPr>
      <w:r>
        <w:rPr>
          <w:rFonts w:hint="eastAsia"/>
        </w:rPr>
        <w:t>（2）物资存储位置</w:t>
      </w:r>
    </w:p>
    <w:p w14:paraId="005BDDC8">
      <w:pPr>
        <w:pStyle w:val="14"/>
      </w:pPr>
      <w:r>
        <w:rPr>
          <w:rFonts w:hint="eastAsia"/>
        </w:rPr>
        <w:t>包含仓库编码、库区、货架编号、货位编码等空间信息</w:t>
      </w:r>
      <w:r>
        <w:rPr>
          <w:rFonts w:hint="eastAsia"/>
          <w:lang w:eastAsia="zh-CN"/>
        </w:rPr>
        <w:t>；</w:t>
      </w:r>
    </w:p>
    <w:p w14:paraId="553929E3">
      <w:pPr>
        <w:pStyle w:val="14"/>
      </w:pPr>
      <w:r>
        <w:rPr>
          <w:rFonts w:hint="eastAsia"/>
        </w:rPr>
        <w:t>需建立位置编码映射关系，明确两个系统中位置信息的对应规则</w:t>
      </w:r>
      <w:r>
        <w:rPr>
          <w:rFonts w:hint="eastAsia"/>
          <w:lang w:eastAsia="zh-CN"/>
        </w:rPr>
        <w:t>。</w:t>
      </w:r>
    </w:p>
    <w:p w14:paraId="5E7C3AFD">
      <w:pPr>
        <w:pStyle w:val="14"/>
      </w:pPr>
      <w:r>
        <w:rPr>
          <w:rFonts w:hint="eastAsia"/>
        </w:rPr>
        <w:t>（3）物资库存数据</w:t>
      </w:r>
    </w:p>
    <w:p w14:paraId="518115B5">
      <w:pPr>
        <w:pStyle w:val="14"/>
      </w:pPr>
      <w:r>
        <w:rPr>
          <w:rFonts w:hint="eastAsia"/>
        </w:rPr>
        <w:t>包含实时库存数量、库存状态（可用、冻结、待检等）、库存预警阈值等信息</w:t>
      </w:r>
      <w:r>
        <w:rPr>
          <w:rFonts w:hint="eastAsia"/>
          <w:lang w:eastAsia="zh-CN"/>
        </w:rPr>
        <w:t>；</w:t>
      </w:r>
    </w:p>
    <w:p w14:paraId="691306C2">
      <w:pPr>
        <w:pStyle w:val="14"/>
      </w:pPr>
      <w:r>
        <w:rPr>
          <w:rFonts w:hint="eastAsia"/>
        </w:rPr>
        <w:t>建立库存数据定期同步机制，保证双方库存可视性</w:t>
      </w:r>
      <w:r>
        <w:rPr>
          <w:rFonts w:hint="eastAsia"/>
          <w:lang w:eastAsia="zh-CN"/>
        </w:rPr>
        <w:t>；</w:t>
      </w:r>
    </w:p>
    <w:p w14:paraId="147E5912">
      <w:pPr>
        <w:pStyle w:val="14"/>
      </w:pPr>
      <w:r>
        <w:rPr>
          <w:rFonts w:hint="eastAsia"/>
        </w:rPr>
        <w:t>2.接口调用方式</w:t>
      </w:r>
    </w:p>
    <w:p w14:paraId="4DC8466B">
      <w:pPr>
        <w:pStyle w:val="14"/>
      </w:pPr>
      <w:r>
        <w:rPr>
          <w:rFonts w:hint="eastAsia"/>
        </w:rPr>
        <w:t>（1）接口类型：</w:t>
      </w:r>
    </w:p>
    <w:p w14:paraId="2C8B471B">
      <w:pPr>
        <w:pStyle w:val="14"/>
      </w:pPr>
      <w:r>
        <w:rPr>
          <w:rFonts w:hint="eastAsia"/>
        </w:rPr>
        <w:t>采用RESTfulAPI作为标准接口形式，支持HTTP/HTTPS协议；</w:t>
      </w:r>
    </w:p>
    <w:p w14:paraId="35CC35E7">
      <w:pPr>
        <w:pStyle w:val="14"/>
      </w:pPr>
      <w:r>
        <w:rPr>
          <w:rFonts w:hint="eastAsia"/>
        </w:rPr>
        <w:t>（2）数据格式：</w:t>
      </w:r>
    </w:p>
    <w:p w14:paraId="72AE4AC1">
      <w:pPr>
        <w:pStyle w:val="14"/>
      </w:pPr>
      <w:r>
        <w:rPr>
          <w:rFonts w:hint="eastAsia"/>
        </w:rPr>
        <w:t>统一使用JSON格式进行数据交换，编码方式为UTF-8；</w:t>
      </w:r>
    </w:p>
    <w:p w14:paraId="1AF9536D">
      <w:pPr>
        <w:pStyle w:val="14"/>
      </w:pPr>
      <w:r>
        <w:rPr>
          <w:rFonts w:hint="eastAsia"/>
        </w:rPr>
        <w:t>（3）调用规则：</w:t>
      </w:r>
    </w:p>
    <w:p w14:paraId="07262E4E">
      <w:pPr>
        <w:pStyle w:val="14"/>
      </w:pPr>
      <w:r>
        <w:rPr>
          <w:rFonts w:hint="eastAsia"/>
        </w:rPr>
        <w:t>系统A作为主调用方时，需通过系统B提供的接口密钥进行身份认证；</w:t>
      </w:r>
    </w:p>
    <w:p w14:paraId="6898B731">
      <w:pPr>
        <w:pStyle w:val="14"/>
      </w:pPr>
      <w:r>
        <w:rPr>
          <w:rFonts w:hint="eastAsia"/>
        </w:rPr>
        <w:t>接口调用频率不超过10次/秒，避免对对方系统造成性能压力；</w:t>
      </w:r>
    </w:p>
    <w:p w14:paraId="0B336DB2">
      <w:pPr>
        <w:pStyle w:val="14"/>
      </w:pPr>
      <w:r>
        <w:rPr>
          <w:rFonts w:hint="eastAsia"/>
        </w:rPr>
        <w:t>建立接口调用日志记录机制，包含调用时间、接口名称、参数、返回结果等信息</w:t>
      </w:r>
    </w:p>
    <w:p w14:paraId="12DA46D5">
      <w:pPr>
        <w:pStyle w:val="14"/>
      </w:pPr>
      <w:r>
        <w:rPr>
          <w:rFonts w:hint="eastAsia"/>
        </w:rPr>
        <w:t>（4）异常处理：</w:t>
      </w:r>
    </w:p>
    <w:p w14:paraId="2A03DB86">
      <w:pPr>
        <w:pStyle w:val="14"/>
      </w:pPr>
      <w:r>
        <w:rPr>
          <w:rFonts w:hint="eastAsia"/>
        </w:rPr>
        <w:t>接口调用失败时，应实现自动重试机制，重试间隔依次为1分钟、5分钟、10分钟</w:t>
      </w:r>
    </w:p>
    <w:p w14:paraId="69D16F12">
      <w:pPr>
        <w:pStyle w:val="14"/>
      </w:pPr>
      <w:r>
        <w:rPr>
          <w:rFonts w:hint="eastAsia"/>
        </w:rPr>
        <w:t>连续3次调用失败时，触发告警机制，通知系统管理员处理；</w:t>
      </w:r>
    </w:p>
    <w:p w14:paraId="53F442D7">
      <w:pPr>
        <w:pStyle w:val="14"/>
      </w:pPr>
      <w:r>
        <w:rPr>
          <w:rFonts w:hint="eastAsia"/>
        </w:rPr>
        <w:t>（5）数据同步策略：</w:t>
      </w:r>
    </w:p>
    <w:p w14:paraId="1456C671">
      <w:pPr>
        <w:pStyle w:val="14"/>
      </w:pPr>
      <w:r>
        <w:rPr>
          <w:rFonts w:hint="eastAsia"/>
        </w:rPr>
        <w:t>基础数据：实时同步，变更后立即推送</w:t>
      </w:r>
    </w:p>
    <w:p w14:paraId="5BCD3CEE">
      <w:pPr>
        <w:pStyle w:val="14"/>
      </w:pPr>
      <w:r>
        <w:rPr>
          <w:rFonts w:hint="eastAsia"/>
        </w:rPr>
        <w:t>业务数据（入库、调拨）：实时同步</w:t>
      </w:r>
    </w:p>
    <w:p w14:paraId="2FE29775">
      <w:pPr>
        <w:pStyle w:val="14"/>
      </w:pPr>
      <w:r>
        <w:rPr>
          <w:rFonts w:hint="eastAsia"/>
        </w:rPr>
        <w:t>库存数据：采用增量同步+定时全量校验结合的方式，每小时进行一次增量同步，每日凌晨进行全量校验</w:t>
      </w:r>
    </w:p>
    <w:p w14:paraId="743594EB">
      <w:pPr>
        <w:pStyle w:val="14"/>
      </w:pPr>
      <w:r>
        <w:rPr>
          <w:rFonts w:hint="eastAsia"/>
        </w:rPr>
        <w:t>3.对接实施要点</w:t>
      </w:r>
    </w:p>
    <w:p w14:paraId="5B3A6311">
      <w:pPr>
        <w:pStyle w:val="14"/>
      </w:pPr>
      <w:r>
        <w:rPr>
          <w:rFonts w:hint="eastAsia"/>
        </w:rPr>
        <w:t>建立双方系统编码映射表，特别是物资编码、仓库编码等关键标识的对应关系；</w:t>
      </w:r>
    </w:p>
    <w:p w14:paraId="3C44D13C">
      <w:pPr>
        <w:pStyle w:val="14"/>
      </w:pPr>
      <w:r>
        <w:rPr>
          <w:rFonts w:hint="eastAsia"/>
        </w:rPr>
        <w:t>实施前需进行数据清洗，确保双方基础数据的准确性和一致性；</w:t>
      </w:r>
    </w:p>
    <w:p w14:paraId="39F1C669">
      <w:pPr>
        <w:pStyle w:val="14"/>
        <w:rPr>
          <w:rFonts w:hint="eastAsia" w:eastAsia="宋体"/>
          <w:lang w:eastAsia="zh-CN"/>
        </w:rPr>
      </w:pPr>
      <w:r>
        <w:rPr>
          <w:rFonts w:hint="eastAsia"/>
        </w:rPr>
        <w:t>分阶段进行对接测试，先进行单接口测试，再进行流程测试，最后进行全量数据测试</w:t>
      </w:r>
      <w:r>
        <w:rPr>
          <w:rFonts w:hint="eastAsia"/>
          <w:lang w:eastAsia="zh-CN"/>
        </w:rPr>
        <w:t>。</w:t>
      </w:r>
    </w:p>
    <w:p w14:paraId="447858F6">
      <w:pPr>
        <w:pStyle w:val="6"/>
        <w:keepNext/>
        <w:keepLines/>
        <w:pageBreakBefore w:val="0"/>
        <w:widowControl w:val="0"/>
        <w:kinsoku/>
        <w:wordWrap/>
        <w:overflowPunct/>
        <w:topLinePunct w:val="0"/>
        <w:autoSpaceDE/>
        <w:autoSpaceDN/>
        <w:bidi w:val="0"/>
        <w:adjustRightInd/>
        <w:snapToGrid w:val="0"/>
        <w:spacing w:before="240" w:after="240"/>
        <w:textAlignment w:val="auto"/>
        <w:outlineLvl w:val="1"/>
      </w:pPr>
      <w:r>
        <w:rPr>
          <w:rFonts w:hint="eastAsia"/>
        </w:rPr>
        <w:t>配套硬件</w:t>
      </w:r>
    </w:p>
    <w:p w14:paraId="2E9B0343">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仓储基础硬件</w:t>
      </w:r>
    </w:p>
    <w:p w14:paraId="1711E493">
      <w:pPr>
        <w:pStyle w:val="14"/>
      </w:pPr>
      <w:r>
        <w:rPr>
          <w:rFonts w:hint="eastAsia"/>
        </w:rPr>
        <w:t>在仓储建设中，仓储轻型货架与重型货架基础硬件发挥着关键作用，它们依据物资的不同特性，例如特点、规格以及重量等因素，将各类物资妥善存放，使得库房内物资摆放井然有序。</w:t>
      </w:r>
    </w:p>
    <w:p w14:paraId="0B9DC443">
      <w:pPr>
        <w:pStyle w:val="14"/>
      </w:pPr>
      <w:r>
        <w:rPr>
          <w:rFonts w:hint="eastAsia"/>
        </w:rPr>
        <w:t>在物资存放完毕后，会通过区域标识卡进行相应标识。区域标识卡清晰地标注出对应区域所存放物资的类别、大致数量等关键信息。相关人员进入库房时，查看这些标识卡，便能迅速知晓各个区域存放的物资情况，无论是查找物资还是开展盘点等工作，都能更加高效便捷。</w:t>
      </w:r>
    </w:p>
    <w:p w14:paraId="6809AEDC">
      <w:pPr>
        <w:pStyle w:val="14"/>
        <w:keepNext/>
        <w:spacing w:before="0" w:beforeLines="0" w:after="0" w:afterLines="0" w:line="240" w:lineRule="auto"/>
        <w:ind w:firstLine="0" w:firstLineChars="0"/>
        <w:jc w:val="center"/>
        <w:rPr>
          <w:rFonts w:eastAsia="黑体"/>
        </w:rPr>
      </w:pPr>
      <w:r>
        <w:rPr>
          <w:rFonts w:hint="eastAsia" w:ascii="黑体" w:hAnsi="黑体" w:eastAsia="黑体" w:cs="黑体"/>
          <w:sz w:val="20"/>
          <w:szCs w:val="20"/>
        </w:rPr>
        <w:t xml:space="preserve">表 </w:t>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STYLEREF 1 \s </w:instrText>
      </w:r>
      <w:r>
        <w:rPr>
          <w:rFonts w:hint="eastAsia" w:ascii="黑体" w:hAnsi="黑体" w:eastAsia="黑体" w:cs="黑体"/>
          <w:sz w:val="20"/>
          <w:szCs w:val="20"/>
        </w:rPr>
        <w:fldChar w:fldCharType="separate"/>
      </w:r>
      <w:r>
        <w:rPr>
          <w:rFonts w:hint="eastAsia" w:ascii="黑体" w:hAnsi="黑体" w:eastAsia="黑体" w:cs="黑体"/>
          <w:sz w:val="20"/>
          <w:szCs w:val="20"/>
        </w:rPr>
        <w:t>0</w:t>
      </w:r>
      <w:r>
        <w:rPr>
          <w:rFonts w:hint="eastAsia" w:ascii="黑体" w:hAnsi="黑体" w:eastAsia="黑体" w:cs="黑体"/>
          <w:sz w:val="20"/>
          <w:szCs w:val="20"/>
        </w:rPr>
        <w:fldChar w:fldCharType="end"/>
      </w:r>
      <w:r>
        <w:rPr>
          <w:rFonts w:hint="eastAsia" w:ascii="黑体" w:hAnsi="黑体" w:eastAsia="黑体" w:cs="黑体"/>
          <w:sz w:val="20"/>
          <w:szCs w:val="20"/>
        </w:rPr>
        <w:t>-</w:t>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SEQ 表 \* ARABIC \s 1 </w:instrText>
      </w:r>
      <w:r>
        <w:rPr>
          <w:rFonts w:hint="eastAsia" w:ascii="黑体" w:hAnsi="黑体" w:eastAsia="黑体" w:cs="黑体"/>
          <w:sz w:val="20"/>
          <w:szCs w:val="20"/>
        </w:rPr>
        <w:fldChar w:fldCharType="separate"/>
      </w:r>
      <w:r>
        <w:rPr>
          <w:rFonts w:hint="eastAsia" w:ascii="黑体" w:hAnsi="黑体" w:eastAsia="黑体" w:cs="黑体"/>
          <w:sz w:val="20"/>
          <w:szCs w:val="20"/>
        </w:rPr>
        <w:t>1</w:t>
      </w:r>
      <w:r>
        <w:rPr>
          <w:rFonts w:hint="eastAsia" w:ascii="黑体" w:hAnsi="黑体" w:eastAsia="黑体" w:cs="黑体"/>
          <w:sz w:val="20"/>
          <w:szCs w:val="20"/>
        </w:rPr>
        <w:fldChar w:fldCharType="end"/>
      </w:r>
      <w:bookmarkStart w:id="3" w:name="_Toc4442"/>
      <w:r>
        <w:rPr>
          <w:rFonts w:hint="eastAsia" w:ascii="黑体" w:hAnsi="黑体" w:eastAsia="黑体" w:cs="黑体"/>
          <w:sz w:val="20"/>
          <w:szCs w:val="20"/>
        </w:rPr>
        <w:t>仓储基础硬件参数要求表</w:t>
      </w:r>
      <w:bookmarkEnd w:id="3"/>
    </w:p>
    <w:tbl>
      <w:tblPr>
        <w:tblStyle w:val="43"/>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54"/>
        <w:gridCol w:w="1720"/>
        <w:gridCol w:w="3742"/>
        <w:gridCol w:w="1386"/>
        <w:gridCol w:w="1398"/>
      </w:tblGrid>
      <w:tr w14:paraId="2A2581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52" w:hRule="atLeast"/>
          <w:tblHeader/>
          <w:jc w:val="center"/>
        </w:trPr>
        <w:tc>
          <w:tcPr>
            <w:tcW w:w="857"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24578033">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序号</w:t>
            </w:r>
          </w:p>
        </w:tc>
        <w:tc>
          <w:tcPr>
            <w:tcW w:w="1728"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58173029">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硬件名称</w:t>
            </w:r>
          </w:p>
        </w:tc>
        <w:tc>
          <w:tcPr>
            <w:tcW w:w="3756"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5C45454C">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参数要求</w:t>
            </w:r>
          </w:p>
        </w:tc>
        <w:tc>
          <w:tcPr>
            <w:tcW w:w="139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71E6E5A7">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数量</w:t>
            </w:r>
          </w:p>
        </w:tc>
        <w:tc>
          <w:tcPr>
            <w:tcW w:w="1404"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765808E4">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单位</w:t>
            </w:r>
          </w:p>
        </w:tc>
      </w:tr>
      <w:tr w14:paraId="24F81C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57" w:type="dxa"/>
            <w:vAlign w:val="center"/>
          </w:tcPr>
          <w:p w14:paraId="35B56F8F">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1</w:t>
            </w:r>
          </w:p>
        </w:tc>
        <w:tc>
          <w:tcPr>
            <w:tcW w:w="1728" w:type="dxa"/>
            <w:vAlign w:val="center"/>
          </w:tcPr>
          <w:p w14:paraId="1AB74C68">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重型货架</w:t>
            </w:r>
          </w:p>
        </w:tc>
        <w:tc>
          <w:tcPr>
            <w:tcW w:w="3756" w:type="dxa"/>
            <w:vAlign w:val="center"/>
          </w:tcPr>
          <w:p w14:paraId="754B7164">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1.尺寸：长≥2000mm</w:t>
            </w:r>
            <w:r>
              <w:rPr>
                <w:rFonts w:hint="eastAsia" w:ascii="宋体" w:hAnsi="宋体"/>
                <w:color w:val="auto"/>
                <w:sz w:val="21"/>
                <w:lang w:eastAsia="zh-CN"/>
              </w:rPr>
              <w:t>，</w:t>
            </w:r>
            <w:r>
              <w:rPr>
                <w:rFonts w:hint="eastAsia" w:ascii="宋体" w:hAnsi="宋体"/>
                <w:color w:val="auto"/>
                <w:sz w:val="21"/>
              </w:rPr>
              <w:t>宽≥1400mm</w:t>
            </w:r>
            <w:r>
              <w:rPr>
                <w:rFonts w:hint="eastAsia" w:ascii="宋体" w:hAnsi="宋体"/>
                <w:color w:val="auto"/>
                <w:sz w:val="21"/>
                <w:lang w:eastAsia="zh-CN"/>
              </w:rPr>
              <w:t>，</w:t>
            </w:r>
            <w:r>
              <w:rPr>
                <w:rFonts w:hint="eastAsia" w:ascii="宋体" w:hAnsi="宋体"/>
                <w:color w:val="auto"/>
                <w:sz w:val="21"/>
              </w:rPr>
              <w:t>高≥2500mm；</w:t>
            </w:r>
          </w:p>
          <w:p w14:paraId="5DE2602D">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2.载重：总体承重≥600kg，每层承重≥200kg；</w:t>
            </w:r>
          </w:p>
        </w:tc>
        <w:tc>
          <w:tcPr>
            <w:tcW w:w="1392" w:type="dxa"/>
            <w:vAlign w:val="center"/>
          </w:tcPr>
          <w:p w14:paraId="5CA15F00">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48</w:t>
            </w:r>
          </w:p>
        </w:tc>
        <w:tc>
          <w:tcPr>
            <w:tcW w:w="1404" w:type="dxa"/>
            <w:vAlign w:val="center"/>
          </w:tcPr>
          <w:p w14:paraId="4CE36412">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组</w:t>
            </w:r>
          </w:p>
        </w:tc>
      </w:tr>
      <w:tr w14:paraId="030C98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57" w:type="dxa"/>
            <w:vAlign w:val="center"/>
          </w:tcPr>
          <w:p w14:paraId="6AF5FF17">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w:t>
            </w:r>
          </w:p>
        </w:tc>
        <w:tc>
          <w:tcPr>
            <w:tcW w:w="1728" w:type="dxa"/>
            <w:vAlign w:val="center"/>
          </w:tcPr>
          <w:p w14:paraId="2AF6067E">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轻型货架</w:t>
            </w:r>
          </w:p>
        </w:tc>
        <w:tc>
          <w:tcPr>
            <w:tcW w:w="3756" w:type="dxa"/>
            <w:vAlign w:val="center"/>
          </w:tcPr>
          <w:p w14:paraId="59F09726">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长1200*宽500*高2000</w:t>
            </w:r>
          </w:p>
          <w:p w14:paraId="5D1E730D">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承重≥350KG</w:t>
            </w:r>
          </w:p>
        </w:tc>
        <w:tc>
          <w:tcPr>
            <w:tcW w:w="1392" w:type="dxa"/>
            <w:vAlign w:val="center"/>
          </w:tcPr>
          <w:p w14:paraId="6DBB717A">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24</w:t>
            </w:r>
          </w:p>
        </w:tc>
        <w:tc>
          <w:tcPr>
            <w:tcW w:w="1404" w:type="dxa"/>
            <w:vAlign w:val="center"/>
          </w:tcPr>
          <w:p w14:paraId="27A88C2F">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组</w:t>
            </w:r>
          </w:p>
        </w:tc>
      </w:tr>
      <w:tr w14:paraId="3D1FD0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57" w:type="dxa"/>
            <w:vAlign w:val="center"/>
          </w:tcPr>
          <w:p w14:paraId="3362E373">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3</w:t>
            </w:r>
          </w:p>
        </w:tc>
        <w:tc>
          <w:tcPr>
            <w:tcW w:w="1728" w:type="dxa"/>
            <w:vAlign w:val="center"/>
          </w:tcPr>
          <w:p w14:paraId="0E353E26">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磁力标识铭牌</w:t>
            </w:r>
          </w:p>
        </w:tc>
        <w:tc>
          <w:tcPr>
            <w:tcW w:w="3756" w:type="dxa"/>
            <w:vAlign w:val="center"/>
          </w:tcPr>
          <w:p w14:paraId="2A0D5D9A">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外尺寸：302*215mm</w:t>
            </w:r>
            <w:r>
              <w:rPr>
                <w:rFonts w:hint="eastAsia" w:ascii="宋体" w:hAnsi="宋体"/>
                <w:color w:val="auto"/>
                <w:sz w:val="21"/>
              </w:rPr>
              <w:br w:type="textWrapping"/>
            </w:r>
            <w:r>
              <w:rPr>
                <w:rFonts w:hint="eastAsia" w:ascii="宋体" w:hAnsi="宋体"/>
                <w:color w:val="auto"/>
                <w:sz w:val="21"/>
              </w:rPr>
              <w:t>内尺寸：297*205mm</w:t>
            </w:r>
          </w:p>
        </w:tc>
        <w:tc>
          <w:tcPr>
            <w:tcW w:w="1392" w:type="dxa"/>
            <w:vAlign w:val="center"/>
          </w:tcPr>
          <w:p w14:paraId="00BDAE96">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72</w:t>
            </w:r>
          </w:p>
        </w:tc>
        <w:tc>
          <w:tcPr>
            <w:tcW w:w="1404" w:type="dxa"/>
            <w:vAlign w:val="center"/>
          </w:tcPr>
          <w:p w14:paraId="0044D4A0">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套</w:t>
            </w:r>
          </w:p>
        </w:tc>
      </w:tr>
    </w:tbl>
    <w:p w14:paraId="54F10E73">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自助一体机</w:t>
      </w:r>
    </w:p>
    <w:p w14:paraId="432C4D33">
      <w:pPr>
        <w:pStyle w:val="14"/>
      </w:pPr>
      <w:r>
        <w:rPr>
          <w:rFonts w:hint="eastAsia"/>
        </w:rPr>
        <w:t>自助一体机在库房管理中可实现队员自主出入库，在库管员授权后，应急队员可自主借用、领用、设备归还操作。</w:t>
      </w:r>
    </w:p>
    <w:p w14:paraId="7C5A7350">
      <w:pPr>
        <w:pStyle w:val="14"/>
        <w:spacing w:before="0" w:beforeLines="0" w:after="0" w:afterLines="0" w:line="240" w:lineRule="auto"/>
        <w:ind w:firstLine="0" w:firstLineChars="0"/>
        <w:jc w:val="center"/>
        <w:rPr>
          <w:rFonts w:eastAsia="黑体"/>
        </w:rPr>
      </w:pPr>
      <w:r>
        <w:rPr>
          <w:rFonts w:hint="eastAsia" w:ascii="黑体" w:hAnsi="黑体" w:eastAsia="黑体" w:cs="黑体"/>
          <w:sz w:val="20"/>
          <w:szCs w:val="20"/>
        </w:rPr>
        <w:t xml:space="preserve">表 </w:t>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STYLEREF 1 \s </w:instrText>
      </w:r>
      <w:r>
        <w:rPr>
          <w:rFonts w:hint="eastAsia" w:ascii="黑体" w:hAnsi="黑体" w:eastAsia="黑体" w:cs="黑体"/>
          <w:sz w:val="20"/>
          <w:szCs w:val="20"/>
        </w:rPr>
        <w:fldChar w:fldCharType="separate"/>
      </w:r>
      <w:r>
        <w:rPr>
          <w:rFonts w:hint="eastAsia" w:ascii="黑体" w:hAnsi="黑体" w:eastAsia="黑体" w:cs="黑体"/>
          <w:sz w:val="20"/>
          <w:szCs w:val="20"/>
        </w:rPr>
        <w:t>0</w:t>
      </w:r>
      <w:r>
        <w:rPr>
          <w:rFonts w:hint="eastAsia" w:ascii="黑体" w:hAnsi="黑体" w:eastAsia="黑体" w:cs="黑体"/>
          <w:sz w:val="20"/>
          <w:szCs w:val="20"/>
        </w:rPr>
        <w:fldChar w:fldCharType="end"/>
      </w:r>
      <w:r>
        <w:rPr>
          <w:rFonts w:hint="eastAsia" w:ascii="黑体" w:hAnsi="黑体" w:eastAsia="黑体" w:cs="黑体"/>
          <w:sz w:val="20"/>
          <w:szCs w:val="20"/>
        </w:rPr>
        <w:t>-</w:t>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SEQ 表 \* ARABIC \s 1 </w:instrText>
      </w:r>
      <w:r>
        <w:rPr>
          <w:rFonts w:hint="eastAsia" w:ascii="黑体" w:hAnsi="黑体" w:eastAsia="黑体" w:cs="黑体"/>
          <w:sz w:val="20"/>
          <w:szCs w:val="20"/>
        </w:rPr>
        <w:fldChar w:fldCharType="separate"/>
      </w:r>
      <w:r>
        <w:rPr>
          <w:rFonts w:hint="eastAsia" w:ascii="黑体" w:hAnsi="黑体" w:eastAsia="黑体" w:cs="黑体"/>
          <w:sz w:val="20"/>
          <w:szCs w:val="20"/>
        </w:rPr>
        <w:t>2</w:t>
      </w:r>
      <w:r>
        <w:rPr>
          <w:rFonts w:hint="eastAsia" w:ascii="黑体" w:hAnsi="黑体" w:eastAsia="黑体" w:cs="黑体"/>
          <w:sz w:val="20"/>
          <w:szCs w:val="20"/>
        </w:rPr>
        <w:fldChar w:fldCharType="end"/>
      </w:r>
      <w:bookmarkStart w:id="4" w:name="_Toc8154"/>
      <w:r>
        <w:rPr>
          <w:rFonts w:hint="eastAsia" w:ascii="黑体" w:hAnsi="黑体" w:eastAsia="黑体" w:cs="黑体"/>
          <w:sz w:val="20"/>
          <w:szCs w:val="20"/>
        </w:rPr>
        <w:t>自助一体机配置清单表</w:t>
      </w:r>
      <w:bookmarkEnd w:id="4"/>
    </w:p>
    <w:tbl>
      <w:tblPr>
        <w:tblStyle w:val="43"/>
        <w:tblW w:w="4998"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55"/>
        <w:gridCol w:w="1718"/>
        <w:gridCol w:w="3741"/>
        <w:gridCol w:w="1383"/>
        <w:gridCol w:w="1399"/>
      </w:tblGrid>
      <w:tr w14:paraId="277DDF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52" w:hRule="atLeast"/>
          <w:tblHeader/>
          <w:jc w:val="center"/>
        </w:trPr>
        <w:tc>
          <w:tcPr>
            <w:tcW w:w="470" w:type="pct"/>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0DE27F7D">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序号</w:t>
            </w:r>
          </w:p>
        </w:tc>
        <w:tc>
          <w:tcPr>
            <w:tcW w:w="944" w:type="pct"/>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65CFB68D">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硬件名称</w:t>
            </w:r>
          </w:p>
        </w:tc>
        <w:tc>
          <w:tcPr>
            <w:tcW w:w="2055" w:type="pct"/>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244D66C7">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参数要求</w:t>
            </w:r>
          </w:p>
        </w:tc>
        <w:tc>
          <w:tcPr>
            <w:tcW w:w="760" w:type="pct"/>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6A1B34E1">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数量</w:t>
            </w:r>
          </w:p>
        </w:tc>
        <w:tc>
          <w:tcPr>
            <w:tcW w:w="768" w:type="pct"/>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0FDD8B32">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单位</w:t>
            </w:r>
          </w:p>
        </w:tc>
      </w:tr>
      <w:tr w14:paraId="702980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70" w:type="pct"/>
            <w:vAlign w:val="center"/>
          </w:tcPr>
          <w:p w14:paraId="1E9FC598">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1</w:t>
            </w:r>
          </w:p>
        </w:tc>
        <w:tc>
          <w:tcPr>
            <w:tcW w:w="944" w:type="pct"/>
            <w:vAlign w:val="center"/>
          </w:tcPr>
          <w:p w14:paraId="36C6BBAA">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自助一体机</w:t>
            </w:r>
          </w:p>
        </w:tc>
        <w:tc>
          <w:tcPr>
            <w:tcW w:w="2055" w:type="pct"/>
            <w:vAlign w:val="center"/>
          </w:tcPr>
          <w:p w14:paraId="7EE9092D">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1.支持自主操作领用归还物资功能，</w:t>
            </w:r>
          </w:p>
          <w:p w14:paraId="28EE4D7E">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2.屏幕尺寸：≥32寸；</w:t>
            </w:r>
          </w:p>
          <w:p w14:paraId="0A8F1DAD">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3.屏幕类型：电容触摸；</w:t>
            </w:r>
          </w:p>
          <w:p w14:paraId="6A362478">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4.系统安卓：≥11.0；</w:t>
            </w:r>
          </w:p>
          <w:p w14:paraId="238047E8">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5.集成模块单目摄像头，二维码扫描仪。</w:t>
            </w:r>
          </w:p>
        </w:tc>
        <w:tc>
          <w:tcPr>
            <w:tcW w:w="760" w:type="pct"/>
            <w:vAlign w:val="center"/>
          </w:tcPr>
          <w:p w14:paraId="242D8F1C">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w:t>
            </w:r>
          </w:p>
        </w:tc>
        <w:tc>
          <w:tcPr>
            <w:tcW w:w="768" w:type="pct"/>
            <w:vAlign w:val="center"/>
          </w:tcPr>
          <w:p w14:paraId="22BF7F85">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台</w:t>
            </w:r>
          </w:p>
        </w:tc>
      </w:tr>
      <w:tr w14:paraId="7C521F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70" w:type="pct"/>
            <w:vAlign w:val="center"/>
          </w:tcPr>
          <w:p w14:paraId="5ED18E64">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w:t>
            </w:r>
          </w:p>
        </w:tc>
        <w:tc>
          <w:tcPr>
            <w:tcW w:w="944" w:type="pct"/>
            <w:vAlign w:val="center"/>
          </w:tcPr>
          <w:p w14:paraId="19CE6C77">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安灯系统货架指示灯、电子标签牌</w:t>
            </w:r>
          </w:p>
        </w:tc>
        <w:tc>
          <w:tcPr>
            <w:tcW w:w="2055" w:type="pct"/>
            <w:vAlign w:val="center"/>
          </w:tcPr>
          <w:p w14:paraId="54EF24CF">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1.屏幕≥4英寸；</w:t>
            </w:r>
          </w:p>
          <w:p w14:paraId="580B2545">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2.分辨率≥280*210；</w:t>
            </w:r>
          </w:p>
          <w:p w14:paraId="1523F2D1">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3.像素密度≥100dpi；</w:t>
            </w:r>
          </w:p>
          <w:p w14:paraId="1BCDF99C">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4.工作频段≥800MHz；</w:t>
            </w:r>
          </w:p>
          <w:p w14:paraId="10991A69">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5.支持内容格式</w:t>
            </w:r>
            <w:r>
              <w:rPr>
                <w:rFonts w:hint="eastAsia" w:ascii="宋体" w:hAnsi="宋体"/>
                <w:color w:val="auto"/>
                <w:sz w:val="21"/>
                <w:lang w:eastAsia="zh-CN"/>
              </w:rPr>
              <w:t>：</w:t>
            </w:r>
            <w:r>
              <w:rPr>
                <w:rFonts w:hint="eastAsia" w:ascii="宋体" w:hAnsi="宋体"/>
                <w:color w:val="auto"/>
                <w:sz w:val="21"/>
              </w:rPr>
              <w:t>文本/图片/二维码；</w:t>
            </w:r>
          </w:p>
          <w:p w14:paraId="54B5866B">
            <w:pPr>
              <w:pStyle w:val="14"/>
              <w:widowControl w:val="0"/>
              <w:snapToGrid w:val="0"/>
              <w:spacing w:before="0" w:beforeLines="0" w:after="0" w:afterLines="0" w:line="240" w:lineRule="auto"/>
              <w:ind w:firstLine="0" w:firstLineChars="0"/>
              <w:contextualSpacing/>
              <w:jc w:val="left"/>
              <w:rPr>
                <w:rFonts w:hint="eastAsia" w:ascii="宋体" w:hAnsi="宋体"/>
                <w:color w:val="auto"/>
                <w:sz w:val="21"/>
              </w:rPr>
            </w:pPr>
            <w:r>
              <w:rPr>
                <w:rFonts w:hint="eastAsia" w:ascii="宋体" w:hAnsi="宋体"/>
                <w:color w:val="auto"/>
                <w:sz w:val="21"/>
              </w:rPr>
              <w:t>6.供电方式：内置电池供电，可充电。</w:t>
            </w:r>
          </w:p>
        </w:tc>
        <w:tc>
          <w:tcPr>
            <w:tcW w:w="760" w:type="pct"/>
            <w:vAlign w:val="center"/>
          </w:tcPr>
          <w:p w14:paraId="02C2B0C6">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288</w:t>
            </w:r>
          </w:p>
        </w:tc>
        <w:tc>
          <w:tcPr>
            <w:tcW w:w="768" w:type="pct"/>
            <w:vAlign w:val="center"/>
          </w:tcPr>
          <w:p w14:paraId="6B280861">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个</w:t>
            </w:r>
          </w:p>
        </w:tc>
      </w:tr>
    </w:tbl>
    <w:p w14:paraId="60F7034E">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cstheme="minorBidi"/>
        </w:rPr>
        <w:t>物资管理配套硬件</w:t>
      </w:r>
    </w:p>
    <w:p w14:paraId="7A85728E">
      <w:pPr>
        <w:pStyle w:val="14"/>
      </w:pPr>
      <w:r>
        <w:rPr>
          <w:rFonts w:hint="eastAsia"/>
        </w:rPr>
        <w:t>物资管理系统配套硬件，配置RFID扫码打印设备。物资进入库房准备入库前</w:t>
      </w:r>
      <w:r>
        <w:rPr>
          <w:rFonts w:hint="eastAsia"/>
          <w:lang w:eastAsia="zh-CN"/>
        </w:rPr>
        <w:t>，使</w:t>
      </w:r>
      <w:r>
        <w:rPr>
          <w:rFonts w:hint="eastAsia"/>
        </w:rPr>
        <w:t>用该设备对物资执行条码打印工作，快速且精准地打印出对应的物资条码。这些物资条码犹如物资的专属“身份标识”。</w:t>
      </w:r>
    </w:p>
    <w:p w14:paraId="3C178B38">
      <w:pPr>
        <w:pStyle w:val="14"/>
      </w:pPr>
      <w:r>
        <w:rPr>
          <w:rFonts w:hint="eastAsia"/>
        </w:rPr>
        <w:t>在物资出库阶段，配置两种便捷的工具。RFID手持扫码设备，其操作灵活性高，工作人员手持该设备在库房中能够迅速对物资进行扫码识别；另一种是普通扫码枪，同样具备高效完成物资扫码工作的能力。借助这两种设备中的任意一种，均可快速完成物资的出库流程，保障物资能够精准、有序地离开库房。</w:t>
      </w:r>
    </w:p>
    <w:p w14:paraId="488F5099">
      <w:pPr>
        <w:pStyle w:val="14"/>
        <w:spacing w:before="0" w:beforeLines="0" w:after="0" w:afterLines="0" w:line="240" w:lineRule="auto"/>
        <w:ind w:firstLine="0" w:firstLineChars="0"/>
        <w:jc w:val="center"/>
      </w:pPr>
      <w:r>
        <w:rPr>
          <w:rFonts w:hint="eastAsia" w:ascii="黑体" w:hAnsi="黑体" w:eastAsia="黑体" w:cs="黑体"/>
          <w:sz w:val="20"/>
          <w:szCs w:val="20"/>
        </w:rPr>
        <w:t xml:space="preserve">表 </w:t>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STYLEREF 1 \s </w:instrText>
      </w:r>
      <w:r>
        <w:rPr>
          <w:rFonts w:hint="eastAsia" w:ascii="黑体" w:hAnsi="黑体" w:eastAsia="黑体" w:cs="黑体"/>
          <w:sz w:val="20"/>
          <w:szCs w:val="20"/>
        </w:rPr>
        <w:fldChar w:fldCharType="separate"/>
      </w:r>
      <w:r>
        <w:rPr>
          <w:rFonts w:hint="eastAsia" w:ascii="黑体" w:hAnsi="黑体" w:eastAsia="黑体" w:cs="黑体"/>
          <w:sz w:val="20"/>
          <w:szCs w:val="20"/>
        </w:rPr>
        <w:t>0</w:t>
      </w:r>
      <w:r>
        <w:rPr>
          <w:rFonts w:hint="eastAsia" w:ascii="黑体" w:hAnsi="黑体" w:eastAsia="黑体" w:cs="黑体"/>
          <w:sz w:val="20"/>
          <w:szCs w:val="20"/>
        </w:rPr>
        <w:fldChar w:fldCharType="end"/>
      </w:r>
      <w:r>
        <w:rPr>
          <w:rFonts w:hint="eastAsia" w:ascii="黑体" w:hAnsi="黑体" w:eastAsia="黑体" w:cs="黑体"/>
          <w:sz w:val="20"/>
          <w:szCs w:val="20"/>
        </w:rPr>
        <w:t>-</w:t>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SEQ 表 \* ARABIC \s 1 </w:instrText>
      </w:r>
      <w:r>
        <w:rPr>
          <w:rFonts w:hint="eastAsia" w:ascii="黑体" w:hAnsi="黑体" w:eastAsia="黑体" w:cs="黑体"/>
          <w:sz w:val="20"/>
          <w:szCs w:val="20"/>
        </w:rPr>
        <w:fldChar w:fldCharType="separate"/>
      </w:r>
      <w:r>
        <w:rPr>
          <w:rFonts w:hint="eastAsia" w:ascii="黑体" w:hAnsi="黑体" w:eastAsia="黑体" w:cs="黑体"/>
          <w:sz w:val="20"/>
          <w:szCs w:val="20"/>
        </w:rPr>
        <w:t>3</w:t>
      </w:r>
      <w:r>
        <w:rPr>
          <w:rFonts w:hint="eastAsia" w:ascii="黑体" w:hAnsi="黑体" w:eastAsia="黑体" w:cs="黑体"/>
          <w:sz w:val="20"/>
          <w:szCs w:val="20"/>
        </w:rPr>
        <w:fldChar w:fldCharType="end"/>
      </w:r>
      <w:bookmarkStart w:id="5" w:name="_Toc18033"/>
      <w:r>
        <w:rPr>
          <w:rFonts w:hint="eastAsia" w:ascii="黑体" w:hAnsi="黑体" w:eastAsia="黑体" w:cs="黑体"/>
          <w:sz w:val="20"/>
          <w:szCs w:val="20"/>
        </w:rPr>
        <w:t>物资管理系统配置清单</w:t>
      </w:r>
      <w:bookmarkEnd w:id="5"/>
    </w:p>
    <w:tbl>
      <w:tblPr>
        <w:tblStyle w:val="43"/>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54"/>
        <w:gridCol w:w="2031"/>
        <w:gridCol w:w="3432"/>
        <w:gridCol w:w="1385"/>
        <w:gridCol w:w="1398"/>
      </w:tblGrid>
      <w:tr w14:paraId="7DDAC7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52" w:hRule="atLeast"/>
          <w:tblHeader/>
          <w:jc w:val="center"/>
        </w:trPr>
        <w:tc>
          <w:tcPr>
            <w:tcW w:w="857"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5D3F697A">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序号</w:t>
            </w:r>
          </w:p>
        </w:tc>
        <w:tc>
          <w:tcPr>
            <w:tcW w:w="2040"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383A82D3">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硬件名称</w:t>
            </w:r>
          </w:p>
        </w:tc>
        <w:tc>
          <w:tcPr>
            <w:tcW w:w="3444"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690F7DDB">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参数要求</w:t>
            </w:r>
          </w:p>
        </w:tc>
        <w:tc>
          <w:tcPr>
            <w:tcW w:w="139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5DE2BA91">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数量</w:t>
            </w:r>
          </w:p>
        </w:tc>
        <w:tc>
          <w:tcPr>
            <w:tcW w:w="1404"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44A039E3">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单位</w:t>
            </w:r>
          </w:p>
        </w:tc>
      </w:tr>
      <w:tr w14:paraId="75375D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57" w:type="dxa"/>
            <w:vAlign w:val="center"/>
          </w:tcPr>
          <w:p w14:paraId="1B080761">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1</w:t>
            </w:r>
          </w:p>
        </w:tc>
        <w:tc>
          <w:tcPr>
            <w:tcW w:w="2040" w:type="dxa"/>
            <w:vAlign w:val="center"/>
          </w:tcPr>
          <w:p w14:paraId="3072DB96">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RFID扫码打印设备</w:t>
            </w:r>
          </w:p>
        </w:tc>
        <w:tc>
          <w:tcPr>
            <w:tcW w:w="3444" w:type="dxa"/>
            <w:vAlign w:val="center"/>
          </w:tcPr>
          <w:p w14:paraId="6DF1A277">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1.支持RFID专用标签打印功能；</w:t>
            </w:r>
          </w:p>
          <w:p w14:paraId="7688CD72">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2.打印方式：热转印、热敏；</w:t>
            </w:r>
          </w:p>
          <w:p w14:paraId="37ED8938">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3.分辨率：≥300DPI；</w:t>
            </w:r>
          </w:p>
          <w:p w14:paraId="49D84A0F">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4.最高打印速度：≥8ips；R</w:t>
            </w:r>
          </w:p>
          <w:p w14:paraId="28B7F783">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5.FID功能：集成UHF读写器/编码器。</w:t>
            </w:r>
          </w:p>
        </w:tc>
        <w:tc>
          <w:tcPr>
            <w:tcW w:w="1392" w:type="dxa"/>
            <w:vAlign w:val="center"/>
          </w:tcPr>
          <w:p w14:paraId="4D8FDA7D">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1</w:t>
            </w:r>
          </w:p>
        </w:tc>
        <w:tc>
          <w:tcPr>
            <w:tcW w:w="1404" w:type="dxa"/>
            <w:vAlign w:val="center"/>
          </w:tcPr>
          <w:p w14:paraId="2E07615E">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台</w:t>
            </w:r>
          </w:p>
        </w:tc>
      </w:tr>
      <w:tr w14:paraId="538DAF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57" w:type="dxa"/>
            <w:vAlign w:val="center"/>
          </w:tcPr>
          <w:p w14:paraId="6D9DAC13">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w:t>
            </w:r>
          </w:p>
        </w:tc>
        <w:tc>
          <w:tcPr>
            <w:tcW w:w="2040" w:type="dxa"/>
            <w:vAlign w:val="center"/>
          </w:tcPr>
          <w:p w14:paraId="71C4F809">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RFID手持扫码设备</w:t>
            </w:r>
          </w:p>
        </w:tc>
        <w:tc>
          <w:tcPr>
            <w:tcW w:w="3444" w:type="dxa"/>
            <w:vAlign w:val="center"/>
          </w:tcPr>
          <w:p w14:paraId="1BBEBDC0">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1.处理器≥八核64位2.0GHZ；</w:t>
            </w:r>
          </w:p>
          <w:p w14:paraId="5D014731">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2.屏幕类型多点触控电容屏；</w:t>
            </w:r>
          </w:p>
          <w:p w14:paraId="0C4FD651">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3.系统Android10.0：</w:t>
            </w:r>
          </w:p>
          <w:p w14:paraId="1C2710FA">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4.电池3.8V.7200mAh聚合物锂电池。</w:t>
            </w:r>
          </w:p>
        </w:tc>
        <w:tc>
          <w:tcPr>
            <w:tcW w:w="1392" w:type="dxa"/>
            <w:vAlign w:val="center"/>
          </w:tcPr>
          <w:p w14:paraId="6D33E49E">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w:t>
            </w:r>
          </w:p>
        </w:tc>
        <w:tc>
          <w:tcPr>
            <w:tcW w:w="1404" w:type="dxa"/>
            <w:vAlign w:val="center"/>
          </w:tcPr>
          <w:p w14:paraId="0DD87176">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台</w:t>
            </w:r>
          </w:p>
        </w:tc>
      </w:tr>
      <w:tr w14:paraId="428DB8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57" w:type="dxa"/>
            <w:vAlign w:val="center"/>
          </w:tcPr>
          <w:p w14:paraId="13AC8DEC">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3</w:t>
            </w:r>
          </w:p>
        </w:tc>
        <w:tc>
          <w:tcPr>
            <w:tcW w:w="2040" w:type="dxa"/>
            <w:vAlign w:val="center"/>
          </w:tcPr>
          <w:p w14:paraId="5E2F6B94">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普通扫码枪</w:t>
            </w:r>
          </w:p>
        </w:tc>
        <w:tc>
          <w:tcPr>
            <w:tcW w:w="3444" w:type="dxa"/>
            <w:vAlign w:val="center"/>
          </w:tcPr>
          <w:p w14:paraId="339B3627">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1.设备类型：条码扫描器；</w:t>
            </w:r>
          </w:p>
          <w:p w14:paraId="0881FE0B">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2.扫描方式：影像式；</w:t>
            </w:r>
          </w:p>
          <w:p w14:paraId="05A80AA4">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3.光源：红光LED</w:t>
            </w:r>
            <w:r>
              <w:rPr>
                <w:rFonts w:hint="eastAsia" w:ascii="宋体" w:hAnsi="宋体"/>
                <w:color w:val="auto"/>
                <w:sz w:val="21"/>
                <w:lang w:eastAsia="zh-CN"/>
              </w:rPr>
              <w:t>，</w:t>
            </w:r>
            <w:r>
              <w:rPr>
                <w:rFonts w:hint="eastAsia" w:ascii="宋体" w:hAnsi="宋体"/>
                <w:color w:val="auto"/>
                <w:sz w:val="21"/>
              </w:rPr>
              <w:t>白光LED；</w:t>
            </w:r>
          </w:p>
          <w:p w14:paraId="0C85D26A">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4.按键：回弹按键；</w:t>
            </w:r>
          </w:p>
          <w:p w14:paraId="0290B97D">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5.接口：USB；</w:t>
            </w:r>
          </w:p>
          <w:p w14:paraId="5FC82C05">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6.连接方式：无线；</w:t>
            </w:r>
          </w:p>
          <w:p w14:paraId="745033C9">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7.识读码制：一维码，二维码；</w:t>
            </w:r>
          </w:p>
          <w:p w14:paraId="5550859F">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8.识读性能：自动/手动；</w:t>
            </w:r>
          </w:p>
          <w:p w14:paraId="5065B64C">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9.精度：一维码：≥4.7mil，二维码：≥10mil；</w:t>
            </w:r>
          </w:p>
        </w:tc>
        <w:tc>
          <w:tcPr>
            <w:tcW w:w="1392" w:type="dxa"/>
            <w:vAlign w:val="center"/>
          </w:tcPr>
          <w:p w14:paraId="0C8B9E6F">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w:t>
            </w:r>
          </w:p>
        </w:tc>
        <w:tc>
          <w:tcPr>
            <w:tcW w:w="1404" w:type="dxa"/>
            <w:vAlign w:val="center"/>
          </w:tcPr>
          <w:p w14:paraId="623CADB5">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台</w:t>
            </w:r>
          </w:p>
        </w:tc>
      </w:tr>
    </w:tbl>
    <w:p w14:paraId="7E93BF1B">
      <w:pPr>
        <w:pStyle w:val="7"/>
        <w:keepNext/>
        <w:keepLines/>
        <w:pageBreakBefore w:val="0"/>
        <w:widowControl w:val="0"/>
        <w:kinsoku/>
        <w:wordWrap/>
        <w:overflowPunct/>
        <w:topLinePunct w:val="0"/>
        <w:autoSpaceDE/>
        <w:autoSpaceDN/>
        <w:bidi w:val="0"/>
        <w:adjustRightInd w:val="0"/>
        <w:snapToGrid w:val="0"/>
        <w:spacing w:before="240" w:after="240"/>
        <w:textAlignment w:val="auto"/>
        <w:outlineLvl w:val="2"/>
        <w:rPr>
          <w:rFonts w:hint="eastAsia"/>
        </w:rPr>
      </w:pPr>
      <w:r>
        <w:rPr>
          <w:rFonts w:hint="eastAsia"/>
          <w:szCs w:val="32"/>
        </w:rPr>
        <w:t>仓储耗材</w:t>
      </w:r>
    </w:p>
    <w:p w14:paraId="05A243E7">
      <w:pPr>
        <w:pStyle w:val="14"/>
      </w:pPr>
      <w:r>
        <w:rPr>
          <w:rFonts w:hint="eastAsia"/>
        </w:rPr>
        <w:t>应急物资分类目前分为两类，一类是低价值类，一类为高价值类，低价值类一般指的是药品，耗材（口罩，一次性手套，防护服等），高价值类通常指的是物资单价高，使用寿命长，指的是（设备，箱组，帐篷类）；</w:t>
      </w:r>
    </w:p>
    <w:p w14:paraId="403B43AF">
      <w:pPr>
        <w:pStyle w:val="14"/>
      </w:pPr>
      <w:r>
        <w:rPr>
          <w:rFonts w:hint="eastAsia"/>
        </w:rPr>
        <w:t>目前耗材预估以3年度为一个单位进行预测，预测的入库数量为15000；具体对应的消耗数量可参考下表：</w:t>
      </w:r>
    </w:p>
    <w:p w14:paraId="53253285">
      <w:pPr>
        <w:pStyle w:val="14"/>
        <w:spacing w:before="0" w:beforeLines="0" w:after="0" w:afterLines="0" w:line="240" w:lineRule="auto"/>
        <w:ind w:firstLine="0" w:firstLineChars="0"/>
        <w:jc w:val="center"/>
        <w:rPr>
          <w:rFonts w:eastAsia="黑体"/>
        </w:rPr>
      </w:pPr>
      <w:r>
        <w:rPr>
          <w:rFonts w:hint="eastAsia" w:ascii="黑体" w:hAnsi="黑体" w:eastAsia="黑体" w:cs="黑体"/>
          <w:sz w:val="20"/>
          <w:szCs w:val="20"/>
        </w:rPr>
        <w:t xml:space="preserve">表 </w:t>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STYLEREF 1 \s </w:instrText>
      </w:r>
      <w:r>
        <w:rPr>
          <w:rFonts w:hint="eastAsia" w:ascii="黑体" w:hAnsi="黑体" w:eastAsia="黑体" w:cs="黑体"/>
          <w:sz w:val="20"/>
          <w:szCs w:val="20"/>
        </w:rPr>
        <w:fldChar w:fldCharType="separate"/>
      </w:r>
      <w:r>
        <w:rPr>
          <w:rFonts w:hint="eastAsia" w:ascii="黑体" w:hAnsi="黑体" w:eastAsia="黑体" w:cs="黑体"/>
          <w:sz w:val="20"/>
          <w:szCs w:val="20"/>
        </w:rPr>
        <w:t>0</w:t>
      </w:r>
      <w:r>
        <w:rPr>
          <w:rFonts w:hint="eastAsia" w:ascii="黑体" w:hAnsi="黑体" w:eastAsia="黑体" w:cs="黑体"/>
          <w:sz w:val="20"/>
          <w:szCs w:val="20"/>
        </w:rPr>
        <w:fldChar w:fldCharType="end"/>
      </w:r>
      <w:r>
        <w:rPr>
          <w:rFonts w:hint="eastAsia" w:ascii="黑体" w:hAnsi="黑体" w:eastAsia="黑体" w:cs="黑体"/>
          <w:sz w:val="20"/>
          <w:szCs w:val="20"/>
        </w:rPr>
        <w:t>-</w:t>
      </w:r>
      <w:r>
        <w:rPr>
          <w:rFonts w:hint="eastAsia" w:ascii="黑体" w:hAnsi="黑体" w:eastAsia="黑体" w:cs="黑体"/>
          <w:sz w:val="20"/>
          <w:szCs w:val="20"/>
        </w:rPr>
        <w:fldChar w:fldCharType="begin"/>
      </w:r>
      <w:r>
        <w:rPr>
          <w:rFonts w:hint="eastAsia" w:ascii="黑体" w:hAnsi="黑体" w:eastAsia="黑体" w:cs="黑体"/>
          <w:sz w:val="20"/>
          <w:szCs w:val="20"/>
        </w:rPr>
        <w:instrText xml:space="preserve"> SEQ 表 \* ARABIC \s 1 </w:instrText>
      </w:r>
      <w:r>
        <w:rPr>
          <w:rFonts w:hint="eastAsia" w:ascii="黑体" w:hAnsi="黑体" w:eastAsia="黑体" w:cs="黑体"/>
          <w:sz w:val="20"/>
          <w:szCs w:val="20"/>
        </w:rPr>
        <w:fldChar w:fldCharType="separate"/>
      </w:r>
      <w:r>
        <w:rPr>
          <w:rFonts w:hint="eastAsia" w:ascii="黑体" w:hAnsi="黑体" w:eastAsia="黑体" w:cs="黑体"/>
          <w:sz w:val="20"/>
          <w:szCs w:val="20"/>
        </w:rPr>
        <w:t>4</w:t>
      </w:r>
      <w:r>
        <w:rPr>
          <w:rFonts w:hint="eastAsia" w:ascii="黑体" w:hAnsi="黑体" w:eastAsia="黑体" w:cs="黑体"/>
          <w:sz w:val="20"/>
          <w:szCs w:val="20"/>
        </w:rPr>
        <w:fldChar w:fldCharType="end"/>
      </w:r>
      <w:bookmarkStart w:id="6" w:name="_Toc14413"/>
      <w:r>
        <w:rPr>
          <w:rFonts w:hint="eastAsia" w:ascii="黑体" w:hAnsi="黑体" w:eastAsia="黑体" w:cs="黑体"/>
          <w:sz w:val="20"/>
          <w:szCs w:val="20"/>
        </w:rPr>
        <w:t>仓储耗材消耗数量参考表</w:t>
      </w:r>
      <w:bookmarkEnd w:id="6"/>
    </w:p>
    <w:tbl>
      <w:tblPr>
        <w:tblStyle w:val="43"/>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055"/>
        <w:gridCol w:w="2795"/>
        <w:gridCol w:w="3250"/>
      </w:tblGrid>
      <w:tr w14:paraId="7383E3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3045"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0F69210B">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价值分类</w:t>
            </w:r>
          </w:p>
        </w:tc>
        <w:tc>
          <w:tcPr>
            <w:tcW w:w="2786"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13F30A55">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低价值类</w:t>
            </w:r>
          </w:p>
        </w:tc>
        <w:tc>
          <w:tcPr>
            <w:tcW w:w="3239"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34754D2B">
            <w:pPr>
              <w:pStyle w:val="14"/>
              <w:widowControl w:val="0"/>
              <w:snapToGrid w:val="0"/>
              <w:spacing w:before="0" w:beforeLines="0" w:after="0" w:afterLines="0" w:line="240" w:lineRule="auto"/>
              <w:ind w:firstLine="0" w:firstLineChars="0"/>
              <w:contextualSpacing/>
              <w:jc w:val="center"/>
              <w:rPr>
                <w:rFonts w:hint="eastAsia" w:ascii="宋体" w:hAnsi="宋体"/>
                <w:b w:val="0"/>
                <w:color w:val="auto"/>
                <w:sz w:val="21"/>
              </w:rPr>
            </w:pPr>
            <w:r>
              <w:rPr>
                <w:rFonts w:hint="eastAsia" w:ascii="宋体" w:hAnsi="宋体"/>
                <w:b/>
                <w:color w:val="auto"/>
                <w:sz w:val="21"/>
              </w:rPr>
              <w:t>高价值类</w:t>
            </w:r>
          </w:p>
        </w:tc>
      </w:tr>
      <w:tr w14:paraId="0EB988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045" w:type="dxa"/>
            <w:vAlign w:val="center"/>
          </w:tcPr>
          <w:p w14:paraId="6BA456BA">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入库数量</w:t>
            </w:r>
          </w:p>
        </w:tc>
        <w:tc>
          <w:tcPr>
            <w:tcW w:w="2786" w:type="dxa"/>
            <w:vAlign w:val="center"/>
          </w:tcPr>
          <w:p w14:paraId="20D894EE">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10000</w:t>
            </w:r>
          </w:p>
        </w:tc>
        <w:tc>
          <w:tcPr>
            <w:tcW w:w="3239" w:type="dxa"/>
            <w:vAlign w:val="center"/>
          </w:tcPr>
          <w:p w14:paraId="0ED634D5">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5000</w:t>
            </w:r>
          </w:p>
        </w:tc>
      </w:tr>
      <w:tr w14:paraId="600F0E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045" w:type="dxa"/>
            <w:vAlign w:val="center"/>
          </w:tcPr>
          <w:p w14:paraId="361772C2">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耗材类型</w:t>
            </w:r>
          </w:p>
        </w:tc>
        <w:tc>
          <w:tcPr>
            <w:tcW w:w="2786" w:type="dxa"/>
            <w:vAlign w:val="center"/>
          </w:tcPr>
          <w:p w14:paraId="0881E987">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热敏纸(500张/卷)</w:t>
            </w:r>
          </w:p>
        </w:tc>
        <w:tc>
          <w:tcPr>
            <w:tcW w:w="3239" w:type="dxa"/>
            <w:vAlign w:val="center"/>
          </w:tcPr>
          <w:p w14:paraId="6786BF77">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RFID标签纸(1000张/卷)</w:t>
            </w:r>
          </w:p>
        </w:tc>
      </w:tr>
      <w:tr w14:paraId="4D6883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045" w:type="dxa"/>
            <w:vAlign w:val="center"/>
          </w:tcPr>
          <w:p w14:paraId="2B34CD36">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消耗数量</w:t>
            </w:r>
          </w:p>
        </w:tc>
        <w:tc>
          <w:tcPr>
            <w:tcW w:w="2786" w:type="dxa"/>
            <w:vAlign w:val="center"/>
          </w:tcPr>
          <w:p w14:paraId="36B3C4BC">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20卷</w:t>
            </w:r>
          </w:p>
        </w:tc>
        <w:tc>
          <w:tcPr>
            <w:tcW w:w="3239" w:type="dxa"/>
            <w:vAlign w:val="center"/>
          </w:tcPr>
          <w:p w14:paraId="6F0B6318">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5卷</w:t>
            </w:r>
          </w:p>
        </w:tc>
      </w:tr>
      <w:tr w14:paraId="2C8096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045" w:type="dxa"/>
            <w:vAlign w:val="center"/>
          </w:tcPr>
          <w:p w14:paraId="4282D2EA">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碳带类型(树脂基碳带)</w:t>
            </w:r>
          </w:p>
        </w:tc>
        <w:tc>
          <w:tcPr>
            <w:tcW w:w="2786" w:type="dxa"/>
            <w:vAlign w:val="center"/>
          </w:tcPr>
          <w:p w14:paraId="537A15A4">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60卷</w:t>
            </w:r>
          </w:p>
        </w:tc>
        <w:tc>
          <w:tcPr>
            <w:tcW w:w="3239" w:type="dxa"/>
            <w:vAlign w:val="center"/>
          </w:tcPr>
          <w:p w14:paraId="115EFD1A">
            <w:pPr>
              <w:pStyle w:val="14"/>
              <w:widowControl w:val="0"/>
              <w:snapToGrid w:val="0"/>
              <w:spacing w:before="0" w:beforeLines="0" w:after="0" w:afterLines="0" w:line="240" w:lineRule="auto"/>
              <w:ind w:firstLine="0" w:firstLineChars="0"/>
              <w:contextualSpacing/>
              <w:jc w:val="center"/>
              <w:rPr>
                <w:rFonts w:hint="eastAsia" w:ascii="宋体" w:hAnsi="宋体"/>
                <w:color w:val="auto"/>
                <w:sz w:val="21"/>
              </w:rPr>
            </w:pPr>
            <w:r>
              <w:rPr>
                <w:rFonts w:hint="eastAsia" w:ascii="宋体" w:hAnsi="宋体"/>
                <w:color w:val="auto"/>
                <w:sz w:val="21"/>
              </w:rPr>
              <w:t>50卷</w:t>
            </w:r>
          </w:p>
        </w:tc>
      </w:tr>
      <w:bookmarkEnd w:id="0"/>
      <w:bookmarkEnd w:id="1"/>
      <w:bookmarkEnd w:id="2"/>
    </w:tbl>
    <w:p w14:paraId="6540BE7C">
      <w:pPr>
        <w:pStyle w:val="14"/>
        <w:rPr>
          <w:rFonts w:hint="eastAsia" w:ascii="Times New Roman" w:hAnsi="Times New Roman" w:eastAsia="黑体" w:cstheme="majorBidi"/>
          <w:b/>
          <w:bCs/>
          <w:color w:val="000000" w:themeColor="text1"/>
          <w:kern w:val="2"/>
          <w:sz w:val="30"/>
          <w:szCs w:val="32"/>
          <w:lang w:val="en-US" w:eastAsia="zh-CN" w:bidi="ar-SA"/>
          <w14:textFill>
            <w14:solidFill>
              <w14:schemeClr w14:val="tx1"/>
            </w14:solidFill>
          </w14:textFill>
        </w:rPr>
      </w:pPr>
    </w:p>
    <w:sectPr>
      <w:pgSz w:w="11906" w:h="16838"/>
      <w:pgMar w:top="1417" w:right="1418" w:bottom="141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83E1C"/>
    <w:multiLevelType w:val="multilevel"/>
    <w:tmpl w:val="00B83E1C"/>
    <w:lvl w:ilvl="0" w:tentative="0">
      <w:start w:val="1"/>
      <w:numFmt w:val="decimal"/>
      <w:pStyle w:val="5"/>
      <w:suff w:val="space"/>
      <w:lvlText w:val="第%1章"/>
      <w:lvlJc w:val="left"/>
      <w:pPr>
        <w:ind w:left="0" w:firstLine="0"/>
      </w:pPr>
      <w:rPr>
        <w:rFonts w:hint="eastAsia"/>
      </w:rPr>
    </w:lvl>
    <w:lvl w:ilvl="1" w:tentative="0">
      <w:start w:val="1"/>
      <w:numFmt w:val="decimal"/>
      <w:pStyle w:val="6"/>
      <w:suff w:val="space"/>
      <w:lvlText w:val="%1.%2"/>
      <w:lvlJc w:val="left"/>
      <w:pPr>
        <w:ind w:left="0" w:firstLine="0"/>
      </w:pPr>
      <w:rPr>
        <w:rFonts w:hint="eastAsia"/>
      </w:rPr>
    </w:lvl>
    <w:lvl w:ilvl="2" w:tentative="0">
      <w:start w:val="1"/>
      <w:numFmt w:val="decimal"/>
      <w:pStyle w:val="7"/>
      <w:suff w:val="space"/>
      <w:lvlText w:val="%1.%2.%3"/>
      <w:lvlJc w:val="left"/>
      <w:pPr>
        <w:ind w:left="0" w:firstLine="0"/>
      </w:pPr>
      <w:rPr>
        <w:rFonts w:hint="eastAsia"/>
      </w:rPr>
    </w:lvl>
    <w:lvl w:ilvl="3" w:tentative="0">
      <w:start w:val="1"/>
      <w:numFmt w:val="decimal"/>
      <w:pStyle w:val="8"/>
      <w:suff w:val="space"/>
      <w:lvlText w:val="%1.%2.%3.%4"/>
      <w:lvlJc w:val="left"/>
      <w:pPr>
        <w:ind w:left="284" w:firstLine="0"/>
      </w:pPr>
      <w:rPr>
        <w:rFonts w:hint="eastAsia"/>
      </w:rPr>
    </w:lvl>
    <w:lvl w:ilvl="4" w:tentative="0">
      <w:start w:val="1"/>
      <w:numFmt w:val="decimal"/>
      <w:pStyle w:val="9"/>
      <w:suff w:val="space"/>
      <w:lvlText w:val="%1.%2.%3.%4.%5"/>
      <w:lvlJc w:val="left"/>
      <w:pPr>
        <w:ind w:left="710" w:firstLine="0"/>
      </w:pPr>
      <w:rPr>
        <w:rFonts w:hint="eastAsia"/>
      </w:rPr>
    </w:lvl>
    <w:lvl w:ilvl="5" w:tentative="0">
      <w:start w:val="1"/>
      <w:numFmt w:val="decimal"/>
      <w:pStyle w:val="10"/>
      <w:suff w:val="space"/>
      <w:lvlText w:val="%1.%2.%3.%4.%5.%6"/>
      <w:lvlJc w:val="left"/>
      <w:pPr>
        <w:ind w:left="568"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zM4NGJkNmU2YjZhOWMxMTcyNDNkZWIyM2IzYzgifQ=="/>
  </w:docVars>
  <w:rsids>
    <w:rsidRoot w:val="2A212BF9"/>
    <w:rsid w:val="000B693E"/>
    <w:rsid w:val="000D400C"/>
    <w:rsid w:val="00120E85"/>
    <w:rsid w:val="001D6F0C"/>
    <w:rsid w:val="002C4F38"/>
    <w:rsid w:val="00384C7E"/>
    <w:rsid w:val="004335F5"/>
    <w:rsid w:val="00444D7F"/>
    <w:rsid w:val="004505A4"/>
    <w:rsid w:val="004A0241"/>
    <w:rsid w:val="004C03F9"/>
    <w:rsid w:val="004D488D"/>
    <w:rsid w:val="00676903"/>
    <w:rsid w:val="00676F69"/>
    <w:rsid w:val="007A4271"/>
    <w:rsid w:val="007F20E3"/>
    <w:rsid w:val="00834478"/>
    <w:rsid w:val="008F22E6"/>
    <w:rsid w:val="0093305D"/>
    <w:rsid w:val="00977571"/>
    <w:rsid w:val="009A0095"/>
    <w:rsid w:val="009D124E"/>
    <w:rsid w:val="009E5941"/>
    <w:rsid w:val="00BE6AF1"/>
    <w:rsid w:val="00C07623"/>
    <w:rsid w:val="00CB1923"/>
    <w:rsid w:val="00E35F4C"/>
    <w:rsid w:val="00EC1F4E"/>
    <w:rsid w:val="00EC61D9"/>
    <w:rsid w:val="00EE4E56"/>
    <w:rsid w:val="01631C94"/>
    <w:rsid w:val="046C1719"/>
    <w:rsid w:val="05917228"/>
    <w:rsid w:val="09030688"/>
    <w:rsid w:val="09A64A64"/>
    <w:rsid w:val="0F1128D2"/>
    <w:rsid w:val="0FBD187A"/>
    <w:rsid w:val="100B5492"/>
    <w:rsid w:val="10CA6BF4"/>
    <w:rsid w:val="188D726B"/>
    <w:rsid w:val="190E24E6"/>
    <w:rsid w:val="1EDF6DFF"/>
    <w:rsid w:val="209F500C"/>
    <w:rsid w:val="222138E3"/>
    <w:rsid w:val="23F00E68"/>
    <w:rsid w:val="25CE3729"/>
    <w:rsid w:val="26624D38"/>
    <w:rsid w:val="28974A46"/>
    <w:rsid w:val="292A0C96"/>
    <w:rsid w:val="2A212BF9"/>
    <w:rsid w:val="309335A5"/>
    <w:rsid w:val="30AB637E"/>
    <w:rsid w:val="30D53BBD"/>
    <w:rsid w:val="31E367AE"/>
    <w:rsid w:val="31F021D3"/>
    <w:rsid w:val="361C5DEB"/>
    <w:rsid w:val="371143AA"/>
    <w:rsid w:val="373959DD"/>
    <w:rsid w:val="3779005F"/>
    <w:rsid w:val="39F72DB9"/>
    <w:rsid w:val="3D2008B6"/>
    <w:rsid w:val="3FAF07F8"/>
    <w:rsid w:val="424C7A58"/>
    <w:rsid w:val="439B388B"/>
    <w:rsid w:val="4A3E1CA5"/>
    <w:rsid w:val="51352241"/>
    <w:rsid w:val="51A25E57"/>
    <w:rsid w:val="544F3415"/>
    <w:rsid w:val="54534BBA"/>
    <w:rsid w:val="55A35789"/>
    <w:rsid w:val="56AE04EC"/>
    <w:rsid w:val="57560358"/>
    <w:rsid w:val="5F0D0843"/>
    <w:rsid w:val="5FE175D9"/>
    <w:rsid w:val="65B95E55"/>
    <w:rsid w:val="6974145B"/>
    <w:rsid w:val="6CB71DEE"/>
    <w:rsid w:val="6DA41A2B"/>
    <w:rsid w:val="6DAC0977"/>
    <w:rsid w:val="6DAC2F2D"/>
    <w:rsid w:val="6E9E4306"/>
    <w:rsid w:val="71844269"/>
    <w:rsid w:val="7420471D"/>
    <w:rsid w:val="778D2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9"/>
    <w:pPr>
      <w:widowControl w:val="0"/>
      <w:jc w:val="both"/>
    </w:pPr>
    <w:rPr>
      <w:rFonts w:asciiTheme="minorHAnsi" w:hAnsiTheme="minorHAnsi" w:eastAsiaTheme="minorEastAsia" w:cstheme="minorBidi"/>
      <w:kern w:val="2"/>
      <w:sz w:val="21"/>
      <w:szCs w:val="21"/>
      <w:lang w:val="en-US" w:eastAsia="zh-CN" w:bidi="ar-SA"/>
    </w:rPr>
  </w:style>
  <w:style w:type="paragraph" w:styleId="5">
    <w:name w:val="heading 1"/>
    <w:basedOn w:val="1"/>
    <w:next w:val="1"/>
    <w:qFormat/>
    <w:uiPriority w:val="9"/>
    <w:pPr>
      <w:keepNext/>
      <w:keepLines/>
      <w:pageBreakBefore/>
      <w:numPr>
        <w:ilvl w:val="0"/>
        <w:numId w:val="1"/>
      </w:numPr>
      <w:spacing w:before="240" w:beforeLines="50" w:afterLines="50" w:line="360" w:lineRule="auto"/>
      <w:jc w:val="center"/>
      <w:outlineLvl w:val="0"/>
    </w:pPr>
    <w:rPr>
      <w:rFonts w:ascii="等线" w:hAnsi="等线" w:eastAsia="黑体" w:cs="Times New Roman"/>
      <w:b/>
      <w:bCs/>
      <w:kern w:val="44"/>
      <w:sz w:val="32"/>
      <w:szCs w:val="44"/>
    </w:rPr>
  </w:style>
  <w:style w:type="paragraph" w:styleId="6">
    <w:name w:val="heading 2"/>
    <w:basedOn w:val="1"/>
    <w:next w:val="1"/>
    <w:autoRedefine/>
    <w:qFormat/>
    <w:uiPriority w:val="9"/>
    <w:pPr>
      <w:keepNext/>
      <w:keepLines/>
      <w:numPr>
        <w:ilvl w:val="1"/>
        <w:numId w:val="1"/>
      </w:numPr>
      <w:snapToGrid w:val="0"/>
      <w:spacing w:line="360" w:lineRule="auto"/>
      <w:contextualSpacing/>
      <w:outlineLvl w:val="1"/>
    </w:pPr>
    <w:rPr>
      <w:rFonts w:ascii="Times New Roman" w:hAnsi="Times New Roman" w:eastAsia="黑体" w:cstheme="majorBidi"/>
      <w:b/>
      <w:bCs/>
      <w:color w:val="000000" w:themeColor="text1"/>
      <w:sz w:val="30"/>
      <w:szCs w:val="32"/>
      <w14:textFill>
        <w14:solidFill>
          <w14:schemeClr w14:val="tx1"/>
        </w14:solidFill>
      </w14:textFill>
    </w:rPr>
  </w:style>
  <w:style w:type="paragraph" w:styleId="7">
    <w:name w:val="heading 3"/>
    <w:basedOn w:val="1"/>
    <w:next w:val="1"/>
    <w:link w:val="29"/>
    <w:autoRedefine/>
    <w:qFormat/>
    <w:uiPriority w:val="9"/>
    <w:pPr>
      <w:keepNext/>
      <w:keepLines/>
      <w:numPr>
        <w:ilvl w:val="2"/>
        <w:numId w:val="1"/>
      </w:numPr>
      <w:adjustRightInd w:val="0"/>
      <w:snapToGrid w:val="0"/>
      <w:spacing w:line="560" w:lineRule="exact"/>
      <w:contextualSpacing/>
      <w:outlineLvl w:val="2"/>
    </w:pPr>
    <w:rPr>
      <w:rFonts w:eastAsia="黑体"/>
      <w:b/>
      <w:bCs/>
      <w:color w:val="000000" w:themeColor="text1"/>
      <w:sz w:val="24"/>
      <w:szCs w:val="32"/>
      <w14:textFill>
        <w14:solidFill>
          <w14:schemeClr w14:val="tx1"/>
        </w14:solidFill>
      </w14:textFill>
    </w:rPr>
  </w:style>
  <w:style w:type="paragraph" w:styleId="8">
    <w:name w:val="heading 4"/>
    <w:basedOn w:val="7"/>
    <w:next w:val="9"/>
    <w:autoRedefine/>
    <w:qFormat/>
    <w:uiPriority w:val="9"/>
    <w:pPr>
      <w:keepNext/>
      <w:keepLines/>
      <w:numPr>
        <w:ilvl w:val="3"/>
        <w:numId w:val="1"/>
      </w:numPr>
      <w:spacing w:before="280" w:after="290" w:line="376" w:lineRule="auto"/>
      <w:outlineLvl w:val="3"/>
    </w:pPr>
    <w:rPr>
      <w:rFonts w:ascii="Times New Roman" w:hAnsi="Times New Roman" w:eastAsia="黑体" w:cstheme="majorBidi"/>
      <w:sz w:val="28"/>
      <w:szCs w:val="28"/>
    </w:rPr>
  </w:style>
  <w:style w:type="paragraph" w:styleId="9">
    <w:name w:val="heading 5"/>
    <w:basedOn w:val="8"/>
    <w:next w:val="10"/>
    <w:autoRedefine/>
    <w:qFormat/>
    <w:uiPriority w:val="9"/>
    <w:pPr>
      <w:keepNext/>
      <w:keepLines/>
      <w:numPr>
        <w:ilvl w:val="4"/>
        <w:numId w:val="1"/>
      </w:numPr>
      <w:spacing w:before="280" w:after="290" w:line="376" w:lineRule="auto"/>
      <w:outlineLvl w:val="4"/>
    </w:pPr>
    <w:rPr>
      <w:rFonts w:ascii="黑体" w:eastAsia="黑体"/>
      <w:sz w:val="24"/>
      <w:szCs w:val="28"/>
    </w:rPr>
  </w:style>
  <w:style w:type="paragraph" w:styleId="10">
    <w:name w:val="heading 6"/>
    <w:basedOn w:val="1"/>
    <w:next w:val="11"/>
    <w:qFormat/>
    <w:uiPriority w:val="0"/>
    <w:pPr>
      <w:keepNext/>
      <w:keepLines/>
      <w:numPr>
        <w:ilvl w:val="5"/>
        <w:numId w:val="1"/>
      </w:numPr>
      <w:spacing w:before="240" w:after="64" w:line="320" w:lineRule="auto"/>
      <w:outlineLvl w:val="5"/>
    </w:pPr>
    <w:rPr>
      <w:rFonts w:ascii="黑体" w:eastAsia="黑体" w:hAnsiTheme="majorHAnsi" w:cstheme="majorBidi"/>
      <w:b/>
      <w:bCs/>
      <w:kern w:val="2"/>
      <w:sz w:val="24"/>
      <w:szCs w:val="24"/>
      <w:lang w:val="en-US" w:eastAsia="zh-CN" w:bidi="ar-SA"/>
    </w:rPr>
  </w:style>
  <w:style w:type="paragraph" w:styleId="12">
    <w:name w:val="heading 7"/>
    <w:basedOn w:val="1"/>
    <w:next w:val="1"/>
    <w:link w:val="33"/>
    <w:autoRedefine/>
    <w:qFormat/>
    <w:uiPriority w:val="0"/>
    <w:pPr>
      <w:keepNext/>
      <w:widowControl/>
      <w:adjustRightInd w:val="0"/>
      <w:snapToGrid w:val="0"/>
      <w:spacing w:before="120" w:after="120" w:line="360" w:lineRule="auto"/>
      <w:contextualSpacing/>
      <w:jc w:val="left"/>
      <w:outlineLvl w:val="6"/>
    </w:pPr>
    <w:rPr>
      <w:rFonts w:ascii="Times New Roman" w:hAnsi="Times New Roman" w:eastAsia="宋体" w:cs="等线"/>
      <w:b/>
      <w:sz w:val="24"/>
    </w:rPr>
  </w:style>
  <w:style w:type="paragraph" w:styleId="13">
    <w:name w:val="heading 8"/>
    <w:basedOn w:val="1"/>
    <w:next w:val="14"/>
    <w:link w:val="34"/>
    <w:autoRedefine/>
    <w:qFormat/>
    <w:uiPriority w:val="0"/>
    <w:pPr>
      <w:keepNext/>
      <w:widowControl/>
      <w:snapToGrid w:val="0"/>
      <w:spacing w:before="120" w:after="120" w:line="360" w:lineRule="auto"/>
      <w:contextualSpacing/>
      <w:jc w:val="left"/>
      <w:outlineLvl w:val="7"/>
    </w:pPr>
    <w:rPr>
      <w:rFonts w:ascii="Times New Roman" w:hAnsi="Times New Roman" w:eastAsia="宋体" w:cs="等线"/>
      <w:b/>
      <w:sz w:val="24"/>
    </w:rPr>
  </w:style>
  <w:style w:type="paragraph" w:styleId="16">
    <w:name w:val="heading 9"/>
    <w:basedOn w:val="1"/>
    <w:next w:val="14"/>
    <w:link w:val="35"/>
    <w:autoRedefine/>
    <w:qFormat/>
    <w:uiPriority w:val="0"/>
    <w:pPr>
      <w:keepNext/>
      <w:widowControl/>
      <w:snapToGrid w:val="0"/>
      <w:spacing w:before="120" w:after="120" w:line="360" w:lineRule="auto"/>
      <w:contextualSpacing/>
      <w:jc w:val="left"/>
      <w:outlineLvl w:val="8"/>
    </w:pPr>
    <w:rPr>
      <w:rFonts w:ascii="Times New Roman" w:hAnsi="Times New Roman" w:eastAsia="宋体" w:cs="等线"/>
      <w:b/>
      <w:sz w:val="24"/>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line="360" w:lineRule="auto"/>
      <w:ind w:firstLine="200" w:firstLineChars="200"/>
    </w:pPr>
    <w:rPr>
      <w:rFonts w:ascii="Calibri" w:hAnsi="Calibri" w:eastAsia="宋体" w:cs="Times New Roman"/>
      <w:sz w:val="24"/>
      <w:szCs w:val="24"/>
    </w:rPr>
  </w:style>
  <w:style w:type="paragraph" w:styleId="3">
    <w:name w:val="Body Text First Indent 2"/>
    <w:basedOn w:val="4"/>
    <w:autoRedefine/>
    <w:qFormat/>
    <w:uiPriority w:val="0"/>
    <w:pPr>
      <w:spacing w:after="120"/>
      <w:ind w:left="420" w:leftChars="200" w:firstLine="420" w:firstLineChars="200"/>
    </w:pPr>
    <w:rPr>
      <w:sz w:val="21"/>
    </w:rPr>
  </w:style>
  <w:style w:type="paragraph" w:styleId="4">
    <w:name w:val="Body Text Indent"/>
    <w:basedOn w:val="1"/>
    <w:autoRedefine/>
    <w:qFormat/>
    <w:uiPriority w:val="0"/>
    <w:pPr>
      <w:ind w:firstLine="645"/>
    </w:pPr>
    <w:rPr>
      <w:rFonts w:ascii="Arial" w:hAnsi="Arial" w:eastAsia="仿宋_GB2312"/>
      <w:sz w:val="28"/>
    </w:rPr>
  </w:style>
  <w:style w:type="paragraph" w:customStyle="1" w:styleId="11">
    <w:name w:val="FC正文"/>
    <w:basedOn w:val="1"/>
    <w:qFormat/>
    <w:uiPriority w:val="0"/>
    <w:pPr>
      <w:spacing w:line="360" w:lineRule="auto"/>
      <w:ind w:firstLine="200" w:firstLineChars="200"/>
    </w:pPr>
    <w:rPr>
      <w:rFonts w:ascii="宋体" w:eastAsia="宋体" w:hAnsiTheme="minorEastAsia" w:cstheme="minorEastAsia"/>
      <w:sz w:val="24"/>
    </w:rPr>
  </w:style>
  <w:style w:type="paragraph" w:customStyle="1" w:styleId="14">
    <w:name w:val="KY1正文"/>
    <w:basedOn w:val="15"/>
    <w:link w:val="36"/>
    <w:autoRedefine/>
    <w:qFormat/>
    <w:uiPriority w:val="0"/>
    <w:pPr>
      <w:spacing w:line="360" w:lineRule="auto"/>
      <w:ind w:firstLine="480" w:firstLineChars="200"/>
      <w:jc w:val="left"/>
    </w:pPr>
    <w:rPr>
      <w:rFonts w:ascii="Times New Roman" w:hAnsi="Times New Roman" w:eastAsia="宋体" w:cstheme="minorEastAsia"/>
      <w:sz w:val="24"/>
    </w:rPr>
  </w:style>
  <w:style w:type="paragraph" w:customStyle="1" w:styleId="15">
    <w:name w:val="!基准"/>
    <w:qFormat/>
    <w:uiPriority w:val="5"/>
    <w:rPr>
      <w:rFonts w:ascii="Times New Roman" w:hAnsi="Times New Roman" w:eastAsia="宋体" w:cstheme="minorBidi"/>
      <w:kern w:val="2"/>
      <w:sz w:val="21"/>
      <w:szCs w:val="21"/>
      <w:lang w:val="en-US" w:eastAsia="zh-CN" w:bidi="ar-SA"/>
    </w:rPr>
  </w:style>
  <w:style w:type="paragraph" w:styleId="17">
    <w:name w:val="Normal Indent"/>
    <w:basedOn w:val="1"/>
    <w:next w:val="1"/>
    <w:autoRedefine/>
    <w:unhideWhenUsed/>
    <w:qFormat/>
    <w:uiPriority w:val="99"/>
    <w:pPr>
      <w:ind w:firstLine="420" w:firstLineChars="200"/>
    </w:pPr>
  </w:style>
  <w:style w:type="paragraph" w:styleId="18">
    <w:name w:val="caption"/>
    <w:basedOn w:val="1"/>
    <w:next w:val="1"/>
    <w:link w:val="37"/>
    <w:autoRedefine/>
    <w:qFormat/>
    <w:uiPriority w:val="0"/>
    <w:pPr>
      <w:keepNext/>
      <w:widowControl/>
      <w:jc w:val="center"/>
    </w:pPr>
    <w:rPr>
      <w:rFonts w:ascii="Times New Roman" w:hAnsi="Times New Roman" w:eastAsia="黑体" w:cstheme="majorBidi"/>
      <w:sz w:val="20"/>
      <w:szCs w:val="20"/>
    </w:rPr>
  </w:style>
  <w:style w:type="paragraph" w:styleId="19">
    <w:name w:val="Body Text Indent 2"/>
    <w:basedOn w:val="1"/>
    <w:autoRedefine/>
    <w:unhideWhenUsed/>
    <w:qFormat/>
    <w:uiPriority w:val="99"/>
    <w:pPr>
      <w:widowControl/>
      <w:autoSpaceDN w:val="0"/>
      <w:spacing w:after="120" w:line="480" w:lineRule="auto"/>
      <w:ind w:left="420" w:leftChars="200"/>
    </w:pPr>
    <w:rPr>
      <w:kern w:val="0"/>
      <w:sz w:val="24"/>
      <w:szCs w:val="22"/>
      <w:lang w:eastAsia="en-US" w:bidi="en-US"/>
    </w:rPr>
  </w:style>
  <w:style w:type="paragraph" w:styleId="20">
    <w:name w:val="footer"/>
    <w:basedOn w:val="1"/>
    <w:link w:val="32"/>
    <w:autoRedefine/>
    <w:qFormat/>
    <w:uiPriority w:val="0"/>
    <w:pPr>
      <w:tabs>
        <w:tab w:val="center" w:pos="4153"/>
        <w:tab w:val="right" w:pos="8306"/>
      </w:tabs>
      <w:snapToGrid w:val="0"/>
      <w:jc w:val="left"/>
    </w:pPr>
    <w:rPr>
      <w:sz w:val="18"/>
      <w:szCs w:val="18"/>
    </w:rPr>
  </w:style>
  <w:style w:type="paragraph" w:styleId="21">
    <w:name w:val="envelope return"/>
    <w:basedOn w:val="1"/>
    <w:autoRedefine/>
    <w:qFormat/>
    <w:uiPriority w:val="0"/>
    <w:pPr>
      <w:snapToGrid w:val="0"/>
    </w:pPr>
    <w:rPr>
      <w:rFonts w:ascii="Arial" w:hAnsi="Arial" w:cs="Arial"/>
    </w:rPr>
  </w:style>
  <w:style w:type="paragraph" w:styleId="22">
    <w:name w:val="header"/>
    <w:basedOn w:val="1"/>
    <w:link w:val="31"/>
    <w:autoRedefine/>
    <w:qFormat/>
    <w:uiPriority w:val="0"/>
    <w:pPr>
      <w:tabs>
        <w:tab w:val="center" w:pos="4153"/>
        <w:tab w:val="right" w:pos="8306"/>
      </w:tabs>
      <w:snapToGrid w:val="0"/>
      <w:jc w:val="center"/>
    </w:pPr>
    <w:rPr>
      <w:sz w:val="18"/>
      <w:szCs w:val="18"/>
    </w:rPr>
  </w:style>
  <w:style w:type="paragraph" w:styleId="23">
    <w:name w:val="footnote text"/>
    <w:basedOn w:val="1"/>
    <w:autoRedefine/>
    <w:qFormat/>
    <w:uiPriority w:val="99"/>
    <w:pPr>
      <w:snapToGrid w:val="0"/>
    </w:pPr>
    <w:rPr>
      <w:kern w:val="0"/>
      <w:sz w:val="18"/>
      <w:szCs w:val="18"/>
    </w:rPr>
  </w:style>
  <w:style w:type="table" w:styleId="25">
    <w:name w:val="Table Grid"/>
    <w:basedOn w:val="2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AA正文"/>
    <w:basedOn w:val="1"/>
    <w:autoRedefine/>
    <w:qFormat/>
    <w:uiPriority w:val="0"/>
    <w:pPr>
      <w:snapToGrid w:val="0"/>
      <w:spacing w:line="360" w:lineRule="auto"/>
      <w:ind w:firstLine="200" w:firstLineChars="200"/>
    </w:pPr>
    <w:rPr>
      <w:sz w:val="24"/>
      <w:szCs w:val="24"/>
    </w:rPr>
  </w:style>
  <w:style w:type="paragraph" w:customStyle="1" w:styleId="28">
    <w:name w:val="HS   正文"/>
    <w:autoRedefine/>
    <w:qFormat/>
    <w:locked/>
    <w:uiPriority w:val="0"/>
    <w:pPr>
      <w:widowControl w:val="0"/>
      <w:snapToGrid w:val="0"/>
      <w:spacing w:before="50" w:beforeLines="50" w:after="50" w:afterLines="50" w:line="360" w:lineRule="auto"/>
      <w:ind w:firstLine="480" w:firstLineChars="200"/>
      <w:contextualSpacing/>
      <w:jc w:val="both"/>
    </w:pPr>
    <w:rPr>
      <w:rFonts w:ascii="宋体" w:hAnsi="宋体" w:eastAsia="宋体" w:cstheme="minorEastAsia"/>
      <w:kern w:val="2"/>
      <w:sz w:val="24"/>
      <w:szCs w:val="21"/>
      <w:lang w:val="en-US" w:eastAsia="zh-CN" w:bidi="ar-SA"/>
    </w:rPr>
  </w:style>
  <w:style w:type="character" w:customStyle="1" w:styleId="29">
    <w:name w:val="标题 3 字符"/>
    <w:link w:val="7"/>
    <w:autoRedefine/>
    <w:qFormat/>
    <w:uiPriority w:val="0"/>
    <w:rPr>
      <w:rFonts w:eastAsia="黑体" w:asciiTheme="minorHAnsi" w:hAnsiTheme="minorHAnsi" w:cstheme="minorBidi"/>
      <w:b/>
      <w:bCs/>
      <w:color w:val="000000" w:themeColor="text1"/>
      <w:kern w:val="2"/>
      <w:sz w:val="24"/>
      <w:szCs w:val="32"/>
      <w:lang w:val="en-US" w:eastAsia="zh-CN" w:bidi="ar-SA"/>
      <w14:textFill>
        <w14:solidFill>
          <w14:schemeClr w14:val="tx1"/>
        </w14:solidFill>
      </w14:textFill>
    </w:rPr>
  </w:style>
  <w:style w:type="paragraph" w:customStyle="1" w:styleId="30">
    <w:name w:val="yhw3"/>
    <w:basedOn w:val="1"/>
    <w:autoRedefine/>
    <w:qFormat/>
    <w:uiPriority w:val="0"/>
    <w:pPr>
      <w:ind w:firstLine="640" w:firstLineChars="200"/>
    </w:pPr>
    <w:rPr>
      <w:rFonts w:cs="宋体"/>
    </w:rPr>
  </w:style>
  <w:style w:type="character" w:customStyle="1" w:styleId="31">
    <w:name w:val="页眉 字符"/>
    <w:basedOn w:val="26"/>
    <w:link w:val="22"/>
    <w:autoRedefine/>
    <w:qFormat/>
    <w:uiPriority w:val="0"/>
    <w:rPr>
      <w:kern w:val="2"/>
      <w:sz w:val="18"/>
      <w:szCs w:val="18"/>
    </w:rPr>
  </w:style>
  <w:style w:type="character" w:customStyle="1" w:styleId="32">
    <w:name w:val="页脚 字符"/>
    <w:basedOn w:val="26"/>
    <w:link w:val="20"/>
    <w:autoRedefine/>
    <w:qFormat/>
    <w:uiPriority w:val="0"/>
    <w:rPr>
      <w:kern w:val="2"/>
      <w:sz w:val="18"/>
      <w:szCs w:val="18"/>
    </w:rPr>
  </w:style>
  <w:style w:type="character" w:customStyle="1" w:styleId="33">
    <w:name w:val="标题 7 字符"/>
    <w:basedOn w:val="26"/>
    <w:link w:val="12"/>
    <w:autoRedefine/>
    <w:qFormat/>
    <w:uiPriority w:val="1"/>
    <w:rPr>
      <w:rFonts w:ascii="Times New Roman" w:hAnsi="Times New Roman" w:eastAsia="宋体" w:cs="等线"/>
      <w:b/>
      <w:kern w:val="2"/>
      <w:sz w:val="24"/>
      <w:szCs w:val="21"/>
    </w:rPr>
  </w:style>
  <w:style w:type="character" w:customStyle="1" w:styleId="34">
    <w:name w:val="标题 8 字符"/>
    <w:basedOn w:val="26"/>
    <w:link w:val="13"/>
    <w:autoRedefine/>
    <w:qFormat/>
    <w:uiPriority w:val="1"/>
    <w:rPr>
      <w:rFonts w:ascii="Times New Roman" w:hAnsi="Times New Roman" w:eastAsia="宋体" w:cs="等线"/>
      <w:b/>
      <w:kern w:val="2"/>
      <w:sz w:val="24"/>
      <w:szCs w:val="21"/>
    </w:rPr>
  </w:style>
  <w:style w:type="character" w:customStyle="1" w:styleId="35">
    <w:name w:val="标题 9 字符"/>
    <w:basedOn w:val="26"/>
    <w:link w:val="16"/>
    <w:autoRedefine/>
    <w:qFormat/>
    <w:uiPriority w:val="1"/>
    <w:rPr>
      <w:rFonts w:ascii="Times New Roman" w:hAnsi="Times New Roman" w:eastAsia="宋体" w:cs="等线"/>
      <w:b/>
      <w:kern w:val="2"/>
      <w:sz w:val="24"/>
      <w:szCs w:val="21"/>
    </w:rPr>
  </w:style>
  <w:style w:type="character" w:customStyle="1" w:styleId="36">
    <w:name w:val="KY1正文 字符"/>
    <w:link w:val="14"/>
    <w:autoRedefine/>
    <w:qFormat/>
    <w:uiPriority w:val="0"/>
    <w:rPr>
      <w:rFonts w:ascii="Times New Roman" w:hAnsi="Times New Roman" w:eastAsia="宋体" w:cstheme="minorEastAsia"/>
      <w:kern w:val="2"/>
      <w:sz w:val="24"/>
      <w:szCs w:val="21"/>
    </w:rPr>
  </w:style>
  <w:style w:type="character" w:customStyle="1" w:styleId="37">
    <w:name w:val="题注 字符"/>
    <w:link w:val="18"/>
    <w:autoRedefine/>
    <w:qFormat/>
    <w:uiPriority w:val="99"/>
    <w:rPr>
      <w:rFonts w:ascii="Times New Roman" w:hAnsi="Times New Roman" w:eastAsia="黑体" w:cstheme="majorBidi"/>
      <w:kern w:val="2"/>
    </w:rPr>
  </w:style>
  <w:style w:type="paragraph" w:customStyle="1" w:styleId="38">
    <w:name w:val="KY3表文"/>
    <w:basedOn w:val="1"/>
    <w:link w:val="39"/>
    <w:autoRedefine/>
    <w:qFormat/>
    <w:uiPriority w:val="0"/>
    <w:pPr>
      <w:widowControl/>
      <w:snapToGrid w:val="0"/>
      <w:contextualSpacing/>
      <w:jc w:val="center"/>
    </w:pPr>
    <w:rPr>
      <w:rFonts w:ascii="Times New Roman" w:hAnsi="Times New Roman" w:eastAsia="宋体" w:cs="Times New Roman"/>
      <w:color w:val="000000" w:themeColor="text1"/>
      <w:kern w:val="0"/>
      <w:szCs w:val="24"/>
      <w14:textFill>
        <w14:solidFill>
          <w14:schemeClr w14:val="tx1"/>
        </w14:solidFill>
      </w14:textFill>
    </w:rPr>
  </w:style>
  <w:style w:type="character" w:customStyle="1" w:styleId="39">
    <w:name w:val="KY3表文 字符"/>
    <w:basedOn w:val="26"/>
    <w:link w:val="38"/>
    <w:autoRedefine/>
    <w:qFormat/>
    <w:uiPriority w:val="0"/>
    <w:rPr>
      <w:rFonts w:ascii="Times New Roman" w:hAnsi="Times New Roman" w:eastAsia="宋体" w:cs="Times New Roman"/>
      <w:color w:val="000000" w:themeColor="text1"/>
      <w:sz w:val="21"/>
      <w:szCs w:val="24"/>
      <w14:textFill>
        <w14:solidFill>
          <w14:schemeClr w14:val="tx1"/>
        </w14:solidFill>
      </w14:textFill>
    </w:rPr>
  </w:style>
  <w:style w:type="table" w:customStyle="1" w:styleId="40">
    <w:name w:val="FC16"/>
    <w:basedOn w:val="24"/>
    <w:autoRedefine/>
    <w:qFormat/>
    <w:uiPriority w:val="99"/>
    <w:pPr>
      <w:jc w:val="center"/>
    </w:pPr>
    <w:rPr>
      <w:rFonts w:ascii="Calibri" w:hAnsi="Calibri" w:eastAsia="宋体" w:cs="Times New Roman"/>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shd w:val="clear" w:color="auto" w:fill="FFFFFF"/>
      <w:vAlign w:val="center"/>
    </w:tcPr>
    <w:tblStylePr w:type="firstRow">
      <w:tcPr>
        <w:tcBorders>
          <w:top w:val="double" w:color="auto" w:sz="4" w:space="0"/>
        </w:tcBorders>
        <w:shd w:val="clear" w:color="auto" w:fill="D9D9D9"/>
      </w:tcPr>
    </w:tblStylePr>
    <w:tblStylePr w:type="lastRow">
      <w:tcPr>
        <w:tcBorders>
          <w:bottom w:val="double" w:color="auto" w:sz="4" w:space="0"/>
        </w:tcBorders>
        <w:shd w:val="clear" w:color="auto" w:fill="FFFFFF"/>
      </w:tcPr>
    </w:tblStylePr>
    <w:tblStylePr w:type="firstCol">
      <w:tcPr>
        <w:tcBorders>
          <w:top w:val="nil"/>
          <w:left w:val="double" w:color="auto" w:sz="4" w:space="0"/>
        </w:tcBorders>
      </w:tcPr>
    </w:tblStylePr>
    <w:tblStylePr w:type="lastCol">
      <w:tcPr>
        <w:tcBorders>
          <w:right w:val="double" w:color="auto" w:sz="4" w:space="0"/>
        </w:tcBorders>
        <w:shd w:val="clear" w:color="auto" w:fill="FFFFFF"/>
      </w:tcPr>
    </w:tblStylePr>
  </w:style>
  <w:style w:type="character" w:customStyle="1" w:styleId="41">
    <w:name w:val="本文正文 Char"/>
    <w:basedOn w:val="26"/>
    <w:link w:val="42"/>
    <w:autoRedefine/>
    <w:qFormat/>
    <w:uiPriority w:val="0"/>
    <w:rPr>
      <w:rFonts w:ascii="Calibri" w:hAnsi="Calibri" w:eastAsia="宋体" w:cs="Times New Roman"/>
      <w:sz w:val="28"/>
      <w:szCs w:val="28"/>
    </w:rPr>
  </w:style>
  <w:style w:type="paragraph" w:customStyle="1" w:styleId="42">
    <w:name w:val="本文正文"/>
    <w:basedOn w:val="1"/>
    <w:link w:val="41"/>
    <w:qFormat/>
    <w:uiPriority w:val="0"/>
    <w:pPr>
      <w:ind w:right="280" w:rightChars="100" w:firstLine="560"/>
    </w:pPr>
    <w:rPr>
      <w:rFonts w:ascii="Calibri" w:hAnsi="Calibri" w:eastAsia="宋体" w:cs="Times New Roman"/>
      <w:kern w:val="0"/>
      <w:sz w:val="28"/>
      <w:szCs w:val="28"/>
    </w:rPr>
  </w:style>
  <w:style w:type="table" w:customStyle="1" w:styleId="43">
    <w:name w:val="KYbg2020"/>
    <w:basedOn w:val="24"/>
    <w:autoRedefine/>
    <w:qFormat/>
    <w:uiPriority w:val="99"/>
    <w:pPr>
      <w:widowControl w:val="0"/>
      <w:snapToGrid w:val="0"/>
      <w:contextualSpacing/>
      <w:jc w:val="center"/>
    </w:pPr>
    <w:rPr>
      <w:color w:val="7030A0"/>
    </w:rPr>
    <w:tblPr>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left w:w="0" w:type="dxa"/>
        <w:right w:w="0" w:type="dxa"/>
      </w:tblCellMar>
    </w:tblPr>
    <w:trPr>
      <w:jc w:val="center"/>
    </w:trPr>
    <w:tcPr>
      <w:vAlign w:val="center"/>
    </w:tcPr>
    <w:tblStylePr w:type="firstRow">
      <w:rPr>
        <w:rFonts w:eastAsia="宋体"/>
        <w:b/>
        <w:sz w:val="21"/>
      </w:rPr>
      <w:tblPr/>
      <w:trPr>
        <w:tblHeader/>
      </w:trPr>
      <w:tcPr>
        <w:tcBorders>
          <w:top w:val="double" w:color="auto" w:sz="4" w:space="0"/>
          <w:left w:val="double" w:color="auto" w:sz="4" w:space="0"/>
          <w:bottom w:val="single" w:color="auto" w:sz="4" w:space="0"/>
          <w:right w:val="double" w:color="auto" w:sz="4" w:space="0"/>
          <w:insideH w:val="nil"/>
          <w:insideV w:val="single" w:sz="4" w:space="0"/>
          <w:tl2br w:val="nil"/>
          <w:tr2bl w:val="nil"/>
        </w:tcBorders>
        <w:shd w:val="clear" w:color="auto" w:fill="BFBFBF"/>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21</Pages>
  <Words>12177</Words>
  <Characters>12294</Characters>
  <Lines>251</Lines>
  <Paragraphs>70</Paragraphs>
  <TotalTime>3</TotalTime>
  <ScaleCrop>false</ScaleCrop>
  <LinksUpToDate>false</LinksUpToDate>
  <CharactersWithSpaces>12354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2024-10-05T16:11:00Z</dcterms:created>
  <dc:creator> </dc:creator>
  <cp:lastModifiedBy>陈煜羲</cp:lastModifiedBy>
  <cp:lastPrinted>2025-02-21T04:07:00Z</cp:lastPrinted>
  <dcterms:modified xsi:type="dcterms:W3CDTF">2026-07-08T10:16:46Z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FAE6A22795A8435F8F03FAAEC31F58C0_11</vt:lpwstr>
  </property>
  <property fmtid="{D5CDD505-2E9C-101B-9397-08002B2CF9AE}" pid="4" name="KSOTemplateDocerSaveRecord">
    <vt:lpwstr>eyJoZGlkIjoiZGFhMzE5MWRlZGE4MGU0MTJkM2JhNzI2MjdmMjE2MTAiLCJ1c2VySWQiOiI0NzQyMjU0NzYifQ==</vt:lpwstr>
  </property>
</Properties>
</file>