
<file path=[Content_Types].xml><?xml version="1.0" encoding="utf-8"?>
<Types xmlns="http://schemas.openxmlformats.org/package/2006/content-types">
  <Default Extension="png" ContentType="image/png"/>
  <Default Extension="emf" ContentType="image/x-emf"/>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A4C93BE">
      <w:pPr>
        <w:pStyle w:val="5"/>
        <w:numPr>
          <w:ilvl w:val="0"/>
          <w:numId w:val="0"/>
        </w:numPr>
        <w:spacing w:before="156" w:after="156"/>
        <w:jc w:val="center"/>
        <w:rPr>
          <w:rFonts w:hint="eastAsia"/>
        </w:rPr>
      </w:pPr>
      <w:bookmarkStart w:id="62" w:name="_GoBack"/>
      <w:r>
        <w:rPr>
          <w:rFonts w:hint="eastAsia"/>
        </w:rPr>
        <w:t>应急通信及组网功能清单</w:t>
      </w:r>
    </w:p>
    <w:bookmarkEnd w:id="62"/>
    <w:p w14:paraId="56CCA3E8">
      <w:pPr>
        <w:pStyle w:val="6"/>
        <w:keepNext/>
        <w:keepLines/>
        <w:pageBreakBefore w:val="0"/>
        <w:widowControl w:val="0"/>
        <w:kinsoku/>
        <w:wordWrap/>
        <w:overflowPunct/>
        <w:topLinePunct w:val="0"/>
        <w:autoSpaceDE/>
        <w:autoSpaceDN/>
        <w:bidi w:val="0"/>
        <w:adjustRightInd/>
        <w:snapToGrid w:val="0"/>
        <w:spacing w:before="240" w:after="240"/>
        <w:textAlignment w:val="auto"/>
      </w:pPr>
      <w:bookmarkStart w:id="0" w:name="_Toc22533"/>
      <w:r>
        <w:rPr>
          <w:rFonts w:hint="eastAsia"/>
        </w:rPr>
        <w:t>应急通信及组网</w:t>
      </w:r>
      <w:bookmarkEnd w:id="0"/>
    </w:p>
    <w:p w14:paraId="03B8EADA">
      <w:pPr>
        <w:pStyle w:val="7"/>
        <w:keepNext/>
        <w:keepLines/>
        <w:pageBreakBefore w:val="0"/>
        <w:widowControl w:val="0"/>
        <w:kinsoku/>
        <w:wordWrap/>
        <w:overflowPunct/>
        <w:topLinePunct w:val="0"/>
        <w:autoSpaceDE/>
        <w:autoSpaceDN/>
        <w:bidi w:val="0"/>
        <w:adjustRightInd w:val="0"/>
        <w:snapToGrid w:val="0"/>
        <w:spacing w:before="240" w:after="240"/>
        <w:textAlignment w:val="auto"/>
      </w:pPr>
      <w:r>
        <w:rPr>
          <w:rFonts w:hint="eastAsia"/>
        </w:rPr>
        <w:t>紧急救援指挥通信</w:t>
      </w:r>
    </w:p>
    <w:p w14:paraId="6816726D">
      <w:pPr>
        <w:pStyle w:val="8"/>
        <w:keepNext/>
        <w:keepLines/>
        <w:pageBreakBefore w:val="0"/>
        <w:widowControl w:val="0"/>
        <w:kinsoku/>
        <w:wordWrap/>
        <w:overflowPunct/>
        <w:topLinePunct w:val="0"/>
        <w:autoSpaceDE/>
        <w:autoSpaceDN/>
        <w:bidi w:val="0"/>
        <w:adjustRightInd w:val="0"/>
        <w:snapToGrid w:val="0"/>
        <w:spacing w:line="377" w:lineRule="auto"/>
        <w:ind w:left="0"/>
        <w:textAlignment w:val="auto"/>
      </w:pPr>
      <w:r>
        <w:rPr>
          <w:rFonts w:hint="eastAsia"/>
        </w:rPr>
        <w:t>系统总体设计</w:t>
      </w:r>
    </w:p>
    <w:p w14:paraId="4030B982">
      <w:pPr>
        <w:pStyle w:val="15"/>
      </w:pPr>
      <w:r>
        <w:rPr>
          <w:rFonts w:hint="eastAsia"/>
        </w:rPr>
        <w:t>系统可分为前端音视频采集系统、应急通信网络与后端指挥系统。</w:t>
      </w:r>
    </w:p>
    <w:p w14:paraId="28497802">
      <w:pPr>
        <w:pStyle w:val="44"/>
        <w:spacing w:before="0" w:after="0" w:line="240" w:lineRule="auto"/>
        <w:ind w:firstLine="0" w:firstLineChars="0"/>
        <w:rPr>
          <w:rFonts w:hint="eastAsia"/>
        </w:rPr>
      </w:pPr>
      <w:r>
        <w:drawing>
          <wp:inline distT="0" distB="0" distL="0" distR="0">
            <wp:extent cx="5268595" cy="3052445"/>
            <wp:effectExtent l="0" t="0" r="4445" b="10795"/>
            <wp:docPr id="4567799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779941" name="图片 4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a:xfrm>
                      <a:off x="0" y="0"/>
                      <a:ext cx="5268595" cy="3052445"/>
                    </a:xfrm>
                    <a:prstGeom prst="rect">
                      <a:avLst/>
                    </a:prstGeom>
                    <a:noFill/>
                    <a:ln>
                      <a:noFill/>
                    </a:ln>
                  </pic:spPr>
                </pic:pic>
              </a:graphicData>
            </a:graphic>
          </wp:inline>
        </w:drawing>
      </w:r>
    </w:p>
    <w:p w14:paraId="258DBF04">
      <w:pPr>
        <w:pStyle w:val="50"/>
        <w:spacing w:line="240" w:lineRule="auto"/>
        <w:ind w:firstLine="0" w:firstLineChars="0"/>
        <w:jc w:val="center"/>
        <w:rPr>
          <w:rFonts w:hint="eastAsia" w:ascii="黑体" w:hAnsi="黑体" w:eastAsia="黑体" w:cs="黑体"/>
          <w:b/>
          <w:bCs/>
          <w:sz w:val="20"/>
        </w:rPr>
      </w:pPr>
      <w:r>
        <w:rPr>
          <w:rFonts w:hint="eastAsia" w:ascii="黑体" w:hAnsi="黑体" w:eastAsia="黑体" w:cs="黑体"/>
          <w:sz w:val="20"/>
        </w:rPr>
        <w:t>图</w:t>
      </w:r>
      <w:r>
        <w:rPr>
          <w:rFonts w:hint="eastAsia" w:ascii="黑体" w:hAnsi="黑体" w:eastAsia="黑体" w:cs="黑体"/>
          <w:sz w:val="20"/>
        </w:rPr>
        <w:fldChar w:fldCharType="begin"/>
      </w:r>
      <w:r>
        <w:rPr>
          <w:rFonts w:hint="eastAsia" w:ascii="黑体" w:hAnsi="黑体" w:eastAsia="黑体" w:cs="黑体"/>
          <w:sz w:val="20"/>
        </w:rPr>
        <w:instrText xml:space="preserve"> STYLEREF 1 \s </w:instrText>
      </w:r>
      <w:r>
        <w:rPr>
          <w:rFonts w:hint="eastAsia" w:ascii="黑体" w:hAnsi="黑体" w:eastAsia="黑体" w:cs="黑体"/>
          <w:sz w:val="20"/>
        </w:rPr>
        <w:fldChar w:fldCharType="separate"/>
      </w:r>
      <w:r>
        <w:rPr>
          <w:rFonts w:hint="eastAsia" w:ascii="黑体" w:hAnsi="黑体" w:eastAsia="黑体" w:cs="黑体"/>
          <w:sz w:val="20"/>
        </w:rPr>
        <w:t>0</w:t>
      </w:r>
      <w:r>
        <w:rPr>
          <w:rFonts w:hint="eastAsia" w:ascii="黑体" w:hAnsi="黑体" w:eastAsia="黑体" w:cs="黑体"/>
          <w:sz w:val="20"/>
        </w:rPr>
        <w:fldChar w:fldCharType="end"/>
      </w:r>
      <w:r>
        <w:rPr>
          <w:rFonts w:hint="eastAsia" w:ascii="黑体" w:hAnsi="黑体" w:eastAsia="黑体" w:cs="黑体"/>
          <w:sz w:val="20"/>
        </w:rPr>
        <w:noBreakHyphen/>
      </w:r>
      <w:r>
        <w:rPr>
          <w:rFonts w:hint="eastAsia" w:ascii="黑体" w:hAnsi="黑体" w:eastAsia="黑体" w:cs="黑体"/>
          <w:sz w:val="20"/>
        </w:rPr>
        <w:fldChar w:fldCharType="begin"/>
      </w:r>
      <w:r>
        <w:rPr>
          <w:rFonts w:hint="eastAsia" w:ascii="黑体" w:hAnsi="黑体" w:eastAsia="黑体" w:cs="黑体"/>
          <w:sz w:val="20"/>
        </w:rPr>
        <w:instrText xml:space="preserve"> SEQ 图 \* ARABIC \s 1 </w:instrText>
      </w:r>
      <w:r>
        <w:rPr>
          <w:rFonts w:hint="eastAsia" w:ascii="黑体" w:hAnsi="黑体" w:eastAsia="黑体" w:cs="黑体"/>
          <w:sz w:val="20"/>
        </w:rPr>
        <w:fldChar w:fldCharType="separate"/>
      </w:r>
      <w:r>
        <w:rPr>
          <w:rFonts w:hint="eastAsia" w:ascii="黑体" w:hAnsi="黑体" w:eastAsia="黑体" w:cs="黑体"/>
          <w:sz w:val="20"/>
        </w:rPr>
        <w:t>1</w:t>
      </w:r>
      <w:r>
        <w:rPr>
          <w:rFonts w:hint="eastAsia" w:ascii="黑体" w:hAnsi="黑体" w:eastAsia="黑体" w:cs="黑体"/>
          <w:sz w:val="20"/>
        </w:rPr>
        <w:fldChar w:fldCharType="end"/>
      </w:r>
      <w:bookmarkStart w:id="1" w:name="_Toc23284"/>
      <w:r>
        <w:rPr>
          <w:rFonts w:hint="eastAsia" w:ascii="黑体" w:hAnsi="黑体" w:eastAsia="黑体" w:cs="黑体"/>
          <w:sz w:val="20"/>
        </w:rPr>
        <w:t xml:space="preserve"> 紧急救援指挥通信系统构成图</w:t>
      </w:r>
      <w:bookmarkEnd w:id="1"/>
    </w:p>
    <w:p w14:paraId="49E5D192">
      <w:pPr>
        <w:pStyle w:val="15"/>
      </w:pPr>
      <w:r>
        <w:rPr>
          <w:rFonts w:hint="eastAsia"/>
        </w:rPr>
        <w:t>前端语音/视频/定位采集系统：前突队、通信指挥车、无人机通过部署的双模对讲机、智能头盔、布控球、单兵记录仪、单兵眼镜、云台摄像机（利旧）等设备采集现场的音频、视频，以及手持单北斗定位终端、贴片定位终端、车辆单北斗定位终端等设备采集现场的定位信息，并通过应急通信网络将这些信息实时传输到通信指挥车。</w:t>
      </w:r>
    </w:p>
    <w:p w14:paraId="10A5B512">
      <w:pPr>
        <w:pStyle w:val="15"/>
      </w:pPr>
      <w:r>
        <w:rPr>
          <w:rFonts w:hint="eastAsia"/>
        </w:rPr>
        <w:t>应急通信网络：通过部署在前突队、通信指挥车及无人机系统中的多个制式的应急通信设备，搭建起快速响应、机动性高、抗毁性强的应急通信网络，将前端采集的音视频、定位信息回传至应急指挥中心和通信指挥车。</w:t>
      </w:r>
    </w:p>
    <w:p w14:paraId="40201DA6">
      <w:pPr>
        <w:pStyle w:val="15"/>
      </w:pPr>
      <w:r>
        <w:rPr>
          <w:rFonts w:hint="eastAsia"/>
        </w:rPr>
        <w:t>后端应急指挥系统：包括通信指挥车和指挥中心，作为应急通信系统的枢纽，整合前端采集到音视频、定位信息，进行多源数据的汇聚与深度分析；与现场救援力量保持实时通信，确保指令及时、准确传达；合理调配应急资源。</w:t>
      </w:r>
    </w:p>
    <w:p w14:paraId="2B1E464B">
      <w:pPr>
        <w:pStyle w:val="8"/>
        <w:keepNext/>
        <w:keepLines/>
        <w:pageBreakBefore w:val="0"/>
        <w:widowControl w:val="0"/>
        <w:kinsoku/>
        <w:wordWrap/>
        <w:overflowPunct/>
        <w:topLinePunct w:val="0"/>
        <w:autoSpaceDE/>
        <w:autoSpaceDN/>
        <w:bidi w:val="0"/>
        <w:adjustRightInd w:val="0"/>
        <w:snapToGrid w:val="0"/>
        <w:spacing w:line="377" w:lineRule="auto"/>
        <w:ind w:left="0"/>
        <w:textAlignment w:val="auto"/>
      </w:pPr>
      <w:r>
        <w:rPr>
          <w:rFonts w:hint="eastAsia"/>
        </w:rPr>
        <w:t>系统详细设计</w:t>
      </w:r>
    </w:p>
    <w:p w14:paraId="437B6EAF">
      <w:pPr>
        <w:pStyle w:val="9"/>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pPr>
      <w:r>
        <w:rPr>
          <w:rFonts w:hint="eastAsia"/>
        </w:rPr>
        <w:t>采集终端设计</w:t>
      </w:r>
    </w:p>
    <w:p w14:paraId="7151F554">
      <w:pPr>
        <w:pStyle w:val="10"/>
        <w:keepNext/>
        <w:keepLines/>
        <w:pageBreakBefore w:val="0"/>
        <w:widowControl w:val="0"/>
        <w:tabs>
          <w:tab w:val="left" w:pos="0"/>
        </w:tabs>
        <w:kinsoku/>
        <w:wordWrap/>
        <w:overflowPunct/>
        <w:topLinePunct w:val="0"/>
        <w:autoSpaceDE/>
        <w:autoSpaceDN/>
        <w:bidi w:val="0"/>
        <w:adjustRightInd/>
        <w:snapToGrid/>
        <w:spacing w:line="320" w:lineRule="auto"/>
        <w:ind w:left="0"/>
        <w:textAlignment w:val="auto"/>
      </w:pPr>
      <w:r>
        <w:rPr>
          <w:rFonts w:hint="eastAsia"/>
        </w:rPr>
        <w:t>音频采集终端</w:t>
      </w:r>
    </w:p>
    <w:p w14:paraId="703D9BD6">
      <w:pPr>
        <w:pStyle w:val="15"/>
      </w:pPr>
      <w:r>
        <w:rPr>
          <w:rFonts w:hint="eastAsia"/>
        </w:rPr>
        <w:t>多模指挥终端部署在国家紧急医学救援（福建）队和省级紧急医学救援队，用于语音通话，其能通过公网信号、PDT数字集群信号、Wi-Fi信号接入应急通信网络。其具有以下特点：</w:t>
      </w:r>
    </w:p>
    <w:p w14:paraId="0690588E">
      <w:pPr>
        <w:pStyle w:val="15"/>
      </w:pPr>
      <w:r>
        <w:rPr>
          <w:rFonts w:hint="eastAsia"/>
        </w:rPr>
        <w:t>具有统一集群身份机制，在PDT数字集群和公网集群之间，使用唯一集群身份号码即可实现双网漫游；</w:t>
      </w:r>
    </w:p>
    <w:p w14:paraId="6AA20425">
      <w:pPr>
        <w:pStyle w:val="15"/>
      </w:pPr>
      <w:r>
        <w:rPr>
          <w:rFonts w:hint="eastAsia"/>
        </w:rPr>
        <w:t>自主评估网络环境，优选网络进行呼叫，确保随时在线；</w:t>
      </w:r>
    </w:p>
    <w:p w14:paraId="6485E0FF">
      <w:pPr>
        <w:pStyle w:val="15"/>
      </w:pPr>
      <w:r>
        <w:rPr>
          <w:rFonts w:hint="eastAsia"/>
        </w:rPr>
        <w:t>围绕一号双网方案，通过硬件、身份、交互和业务等多层级的深度融合，达成网络无感切换，操作流畅统一的用户体验；</w:t>
      </w:r>
    </w:p>
    <w:p w14:paraId="7F158381">
      <w:pPr>
        <w:pStyle w:val="15"/>
      </w:pPr>
      <w:r>
        <w:rPr>
          <w:rFonts w:hint="eastAsia"/>
        </w:rPr>
        <w:t>前置大功率扬声器，配合优秀的结构音腔和降噪设计，收音清晰，外放洪亮，无惧嘈杂环境；</w:t>
      </w:r>
    </w:p>
    <w:p w14:paraId="7762E924">
      <w:pPr>
        <w:pStyle w:val="15"/>
      </w:pPr>
      <w:r>
        <w:rPr>
          <w:rFonts w:hint="eastAsia"/>
        </w:rPr>
        <w:t>拥有</w:t>
      </w:r>
      <w:r>
        <w:t>IP68</w:t>
      </w:r>
      <w:r>
        <w:rPr>
          <w:rFonts w:hint="eastAsia"/>
        </w:rPr>
        <w:t>级别的防尘防水能力，在淋雨、浸泡、扬尘等各种苛刻环境下不受侵蚀。</w:t>
      </w:r>
    </w:p>
    <w:p w14:paraId="2896FEE5">
      <w:pPr>
        <w:pStyle w:val="10"/>
        <w:keepNext/>
        <w:keepLines/>
        <w:pageBreakBefore w:val="0"/>
        <w:widowControl w:val="0"/>
        <w:tabs>
          <w:tab w:val="left" w:pos="0"/>
        </w:tabs>
        <w:kinsoku/>
        <w:wordWrap/>
        <w:overflowPunct/>
        <w:topLinePunct w:val="0"/>
        <w:autoSpaceDE/>
        <w:autoSpaceDN/>
        <w:bidi w:val="0"/>
        <w:adjustRightInd/>
        <w:snapToGrid/>
        <w:spacing w:line="320" w:lineRule="auto"/>
        <w:ind w:left="0"/>
        <w:textAlignment w:val="auto"/>
      </w:pPr>
      <w:r>
        <w:rPr>
          <w:rFonts w:hint="eastAsia"/>
        </w:rPr>
        <w:t>视频采集终端</w:t>
      </w:r>
    </w:p>
    <w:p w14:paraId="43BD5190">
      <w:pPr>
        <w:pStyle w:val="15"/>
      </w:pPr>
      <w:r>
        <w:rPr>
          <w:rFonts w:hint="eastAsia"/>
        </w:rPr>
        <w:t>1.布控球</w:t>
      </w:r>
    </w:p>
    <w:p w14:paraId="50EEC7E5">
      <w:pPr>
        <w:pStyle w:val="15"/>
      </w:pPr>
      <w:r>
        <w:rPr>
          <w:rFonts w:hint="eastAsia"/>
        </w:rPr>
        <w:t>布控球部署在国家紧急医学救援（福建）队和省级紧急医学救援队，用于应急现场音视频的采集与回传，其能通过公网信号、Wi-Fi信号接入应急通信网络。</w:t>
      </w:r>
    </w:p>
    <w:p w14:paraId="73777A13">
      <w:pPr>
        <w:pStyle w:val="15"/>
      </w:pPr>
      <w:r>
        <w:rPr>
          <w:rFonts w:hint="eastAsia"/>
        </w:rPr>
        <w:t>布控球一般一个小分队携带1个，其通过自身底座带有的磁铁吸附安装在车顶或者使用三脚架固定在应急现场的边缘，用于掌握全局视野。其具有以下特点：</w:t>
      </w:r>
    </w:p>
    <w:p w14:paraId="49931B98">
      <w:pPr>
        <w:pStyle w:val="15"/>
      </w:pPr>
      <w:r>
        <w:rPr>
          <w:rFonts w:hint="eastAsia"/>
        </w:rPr>
        <w:t>（1）支持H.264和H.265视频编码压缩技术，压缩比高，更大地节省了网络传输带宽和存储空间；</w:t>
      </w:r>
    </w:p>
    <w:p w14:paraId="2B967741">
      <w:pPr>
        <w:pStyle w:val="15"/>
      </w:pPr>
      <w:r>
        <w:rPr>
          <w:rFonts w:hint="eastAsia"/>
        </w:rPr>
        <w:t>（2）支持红外，实现昼夜监控；</w:t>
      </w:r>
    </w:p>
    <w:p w14:paraId="4669B4B5">
      <w:pPr>
        <w:pStyle w:val="15"/>
      </w:pPr>
      <w:r>
        <w:rPr>
          <w:rFonts w:hint="eastAsia"/>
        </w:rPr>
        <w:t>（3）可通过设备自身附带小屏显示当前电池电量、定位状态、4G状态录像状态、存储容量、蓝牙状态、平台连接状态、Wi-Fi状态；</w:t>
      </w:r>
    </w:p>
    <w:p w14:paraId="60465127">
      <w:pPr>
        <w:pStyle w:val="15"/>
      </w:pPr>
      <w:r>
        <w:rPr>
          <w:rFonts w:hint="eastAsia"/>
        </w:rPr>
        <w:t>（4）支持图像宽动态、背光补偿、强光抑制、降噪、透雾、防抖；</w:t>
      </w:r>
    </w:p>
    <w:p w14:paraId="04A4375D">
      <w:pPr>
        <w:pStyle w:val="15"/>
      </w:pPr>
      <w:r>
        <w:rPr>
          <w:rFonts w:hint="eastAsia"/>
        </w:rPr>
        <w:t>（5）支持双TF卡存储，单卡最大支持512G；</w:t>
      </w:r>
    </w:p>
    <w:p w14:paraId="2AEC975E">
      <w:pPr>
        <w:pStyle w:val="15"/>
      </w:pPr>
      <w:r>
        <w:rPr>
          <w:rFonts w:hint="eastAsia"/>
        </w:rPr>
        <w:t>（6）支持MIC、扬声器；</w:t>
      </w:r>
    </w:p>
    <w:p w14:paraId="5177CDE9">
      <w:pPr>
        <w:pStyle w:val="15"/>
      </w:pPr>
      <w:r>
        <w:rPr>
          <w:rFonts w:hint="eastAsia"/>
        </w:rPr>
        <w:t>（7）配置可拆卸电池；</w:t>
      </w:r>
    </w:p>
    <w:p w14:paraId="7C233889">
      <w:pPr>
        <w:pStyle w:val="15"/>
      </w:pPr>
      <w:r>
        <w:rPr>
          <w:rFonts w:hint="eastAsia"/>
        </w:rPr>
        <w:t>（8）底部配置高吸力磁铁，安装便捷。</w:t>
      </w:r>
    </w:p>
    <w:p w14:paraId="6E3CD840">
      <w:pPr>
        <w:pStyle w:val="15"/>
      </w:pPr>
      <w:r>
        <w:rPr>
          <w:rFonts w:hint="eastAsia"/>
        </w:rPr>
        <w:t>2.智能头盔</w:t>
      </w:r>
    </w:p>
    <w:p w14:paraId="2F411273">
      <w:pPr>
        <w:pStyle w:val="15"/>
      </w:pPr>
      <w:r>
        <w:rPr>
          <w:rFonts w:hint="eastAsia"/>
        </w:rPr>
        <w:t>智能头盔部署在国家紧急医学救援（福建）队和省级紧急医学救援队，用于应急现场单兵的个人防护与音视频的采集、回传，其能通过公网信号、Wi-Fi信号接入应急通信网络。</w:t>
      </w:r>
    </w:p>
    <w:p w14:paraId="6E6DA1B6">
      <w:pPr>
        <w:pStyle w:val="15"/>
      </w:pPr>
      <w:r>
        <w:rPr>
          <w:rFonts w:hint="eastAsia"/>
        </w:rPr>
        <w:t>智能头盔作为传统安全防护装备的智能化升级，集成了物联网、人工智能、传感器网络等前沿技术，形成了多维度的安全防护与管理体系。其具有以下特点：</w:t>
      </w:r>
    </w:p>
    <w:p w14:paraId="7EE1BE72">
      <w:pPr>
        <w:pStyle w:val="15"/>
      </w:pPr>
      <w:r>
        <w:rPr>
          <w:rFonts w:hint="eastAsia"/>
        </w:rPr>
        <w:t>（1）支持根据网络传输带宽和存储空间，可选多种画质清晰度；</w:t>
      </w:r>
    </w:p>
    <w:p w14:paraId="35541B05">
      <w:pPr>
        <w:pStyle w:val="15"/>
      </w:pPr>
      <w:r>
        <w:rPr>
          <w:rFonts w:hint="eastAsia"/>
        </w:rPr>
        <w:t>（2）支持多种回传方式，包括但不限于公网、Wi-Fi信号；</w:t>
      </w:r>
    </w:p>
    <w:p w14:paraId="769D4F2D">
      <w:pPr>
        <w:pStyle w:val="15"/>
      </w:pPr>
      <w:r>
        <w:rPr>
          <w:rFonts w:hint="eastAsia"/>
        </w:rPr>
        <w:t>（3）轻量化设计，在满足国家标准的前提下，提高佩戴的舒适度；</w:t>
      </w:r>
    </w:p>
    <w:p w14:paraId="0BF372AD">
      <w:pPr>
        <w:pStyle w:val="15"/>
      </w:pPr>
      <w:r>
        <w:rPr>
          <w:rFonts w:hint="eastAsia"/>
        </w:rPr>
        <w:t>（4）内置大功率电池，保障长时间连续工作；</w:t>
      </w:r>
    </w:p>
    <w:p w14:paraId="15831E1B">
      <w:pPr>
        <w:pStyle w:val="15"/>
      </w:pPr>
      <w:r>
        <w:rPr>
          <w:rFonts w:hint="eastAsia"/>
        </w:rPr>
        <w:t>（5）模块化设计，支持定制。</w:t>
      </w:r>
    </w:p>
    <w:p w14:paraId="6226C1AE">
      <w:pPr>
        <w:pStyle w:val="15"/>
      </w:pPr>
      <w:r>
        <w:rPr>
          <w:rFonts w:hint="eastAsia"/>
        </w:rPr>
        <w:t>3.通信眼镜</w:t>
      </w:r>
    </w:p>
    <w:p w14:paraId="03E1222E">
      <w:pPr>
        <w:pStyle w:val="15"/>
      </w:pPr>
      <w:r>
        <w:rPr>
          <w:rFonts w:hint="eastAsia"/>
        </w:rPr>
        <w:t>通信眼镜部署在国家紧急医学救援（福建）队和省级紧急医学救援队，用于应急现场单兵音视频的采集、回传，其能通过公网信号接入应急通信网络。</w:t>
      </w:r>
    </w:p>
    <w:p w14:paraId="6EE8FCC0">
      <w:pPr>
        <w:pStyle w:val="15"/>
      </w:pPr>
      <w:r>
        <w:rPr>
          <w:rFonts w:hint="eastAsia"/>
        </w:rPr>
        <w:t>通信眼镜在传统眼镜的结构上，融合了人工智能、传感器、显示等技术，通过内置芯片、摄像头、麦克风等硬件，实现拍照录像、语音交互、信息提醒、AR显示、导航翻译等智能应用，还可以跟智能手机、智能汽车等其他终端联动，兼顾了舒适性与功能性，成为人工智能技术的理想载体。其具有以下特点：</w:t>
      </w:r>
    </w:p>
    <w:p w14:paraId="7B353ADF">
      <w:pPr>
        <w:pStyle w:val="15"/>
      </w:pPr>
      <w:r>
        <w:rPr>
          <w:rFonts w:hint="eastAsia"/>
        </w:rPr>
        <w:t>（1）第一人称视角，更容易聚焦重要事物；</w:t>
      </w:r>
    </w:p>
    <w:p w14:paraId="44207738">
      <w:pPr>
        <w:pStyle w:val="15"/>
      </w:pPr>
      <w:r>
        <w:rPr>
          <w:rFonts w:hint="eastAsia"/>
        </w:rPr>
        <w:t>（2）能为用户提供解放双手、第一视角的视频通讯服务；</w:t>
      </w:r>
    </w:p>
    <w:p w14:paraId="2C8A8313">
      <w:pPr>
        <w:pStyle w:val="15"/>
      </w:pPr>
      <w:r>
        <w:rPr>
          <w:rFonts w:hint="eastAsia"/>
        </w:rPr>
        <w:t>（3）支持4G回传方式；</w:t>
      </w:r>
    </w:p>
    <w:p w14:paraId="58D340AD">
      <w:pPr>
        <w:pStyle w:val="15"/>
      </w:pPr>
      <w:r>
        <w:rPr>
          <w:rFonts w:hint="eastAsia"/>
        </w:rPr>
        <w:t>（4）外观小巧，提高佩戴的舒适度；</w:t>
      </w:r>
    </w:p>
    <w:p w14:paraId="3B64FF58">
      <w:pPr>
        <w:pStyle w:val="15"/>
      </w:pPr>
      <w:r>
        <w:rPr>
          <w:rFonts w:hint="eastAsia"/>
        </w:rPr>
        <w:t>（5）控制端和显示端分开设计，减轻佩戴重量的同时便于操作。</w:t>
      </w:r>
    </w:p>
    <w:p w14:paraId="2CA4AC49">
      <w:pPr>
        <w:pStyle w:val="10"/>
        <w:keepNext/>
        <w:keepLines/>
        <w:pageBreakBefore w:val="0"/>
        <w:widowControl w:val="0"/>
        <w:tabs>
          <w:tab w:val="left" w:pos="0"/>
        </w:tabs>
        <w:kinsoku/>
        <w:wordWrap/>
        <w:overflowPunct/>
        <w:topLinePunct w:val="0"/>
        <w:autoSpaceDE/>
        <w:autoSpaceDN/>
        <w:bidi w:val="0"/>
        <w:adjustRightInd/>
        <w:snapToGrid/>
        <w:spacing w:line="320" w:lineRule="auto"/>
        <w:ind w:left="0"/>
        <w:textAlignment w:val="auto"/>
      </w:pPr>
      <w:r>
        <w:rPr>
          <w:rFonts w:hint="eastAsia"/>
        </w:rPr>
        <w:t>定位采集终端</w:t>
      </w:r>
    </w:p>
    <w:p w14:paraId="447233C7">
      <w:pPr>
        <w:pStyle w:val="15"/>
      </w:pPr>
      <w:r>
        <w:rPr>
          <w:rFonts w:hint="eastAsia"/>
        </w:rPr>
        <w:t>北斗人员示位标部署在国家紧急医学救援（福建）队和省级紧急医学救援队，用于应急现场人员定位的采集与回传；北斗车载定位终端部署在通信指挥车上，用于应急现场车辆定位的采集与回传。两者能通过北斗网络接入应急通信网络。其具有以下特点：</w:t>
      </w:r>
    </w:p>
    <w:p w14:paraId="6C39292A">
      <w:pPr>
        <w:pStyle w:val="15"/>
      </w:pPr>
      <w:r>
        <w:rPr>
          <w:rFonts w:hint="eastAsia"/>
        </w:rPr>
        <w:t>（1）支持北斗定位，定位精度优于10米；</w:t>
      </w:r>
    </w:p>
    <w:p w14:paraId="67ED2239">
      <w:pPr>
        <w:pStyle w:val="15"/>
      </w:pPr>
      <w:r>
        <w:rPr>
          <w:rFonts w:hint="eastAsia"/>
        </w:rPr>
        <w:t>（2）支持北斗短报文实时上报报警信息；</w:t>
      </w:r>
    </w:p>
    <w:p w14:paraId="0F46C930">
      <w:pPr>
        <w:pStyle w:val="15"/>
      </w:pPr>
      <w:r>
        <w:rPr>
          <w:rFonts w:hint="eastAsia"/>
        </w:rPr>
        <w:t>（3）支持电量检测；</w:t>
      </w:r>
    </w:p>
    <w:p w14:paraId="29A1002B">
      <w:pPr>
        <w:pStyle w:val="15"/>
      </w:pPr>
      <w:r>
        <w:rPr>
          <w:rFonts w:hint="eastAsia"/>
        </w:rPr>
        <w:t>（4）支持SOS按键手动报警；</w:t>
      </w:r>
    </w:p>
    <w:p w14:paraId="20904146">
      <w:pPr>
        <w:pStyle w:val="15"/>
      </w:pPr>
      <w:r>
        <w:rPr>
          <w:rFonts w:hint="eastAsia"/>
        </w:rPr>
        <w:t>（5）具备抗振动、抗碰撞、耐高低温、耐盐雾能力；</w:t>
      </w:r>
    </w:p>
    <w:p w14:paraId="5924D120">
      <w:pPr>
        <w:pStyle w:val="15"/>
      </w:pPr>
      <w:r>
        <w:rPr>
          <w:rFonts w:hint="eastAsia"/>
        </w:rPr>
        <w:t>（6）具备IP67防护等级；</w:t>
      </w:r>
    </w:p>
    <w:p w14:paraId="7477A964">
      <w:pPr>
        <w:pStyle w:val="15"/>
      </w:pPr>
      <w:r>
        <w:rPr>
          <w:rFonts w:hint="eastAsia"/>
        </w:rPr>
        <w:t>（7）支持连续发送报警信息大于72小时续航时间。</w:t>
      </w:r>
    </w:p>
    <w:p w14:paraId="2DAA4954">
      <w:pPr>
        <w:pStyle w:val="9"/>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pPr>
      <w:r>
        <w:rPr>
          <w:rFonts w:hint="eastAsia"/>
        </w:rPr>
        <w:t>应急通信网络保障方式设计</w:t>
      </w:r>
    </w:p>
    <w:p w14:paraId="78CBF9D9">
      <w:pPr>
        <w:pStyle w:val="15"/>
      </w:pPr>
      <w:r>
        <w:rPr>
          <w:rFonts w:hint="eastAsia"/>
        </w:rPr>
        <w:t>当有应急救援事件发生时，派遣应急救援前突队携带音视频采集终端和北斗定位终端进入应急现场进行救援，其中国家队配备的音视频终端有双模对讲机、卫星电话、布控球、智能头盔、单兵眼镜、单兵记录仪等，定位终端有贴片定位终端、手持单北斗定位终端；省队配备的音视频终端有普通手机（自有）、卫星电话、布控球、单兵记录仪，定位终端有贴片定位终端。</w:t>
      </w:r>
    </w:p>
    <w:p w14:paraId="443CEDF9">
      <w:pPr>
        <w:pStyle w:val="15"/>
      </w:pPr>
      <w:r>
        <w:rPr>
          <w:rFonts w:hint="eastAsia"/>
        </w:rPr>
        <w:t>普通手机（自有）、双模对讲机、卫星电话用于语音通话，布控球、智能头盔、单兵眼镜和单兵记录仪采集应急现场的音视频，手持单北斗定位终端、贴片定位终端用于采集救援人员的定位信息，并通过应急通信网络将采集到音视频、定位信息回传至通信指挥车和指挥中心。</w:t>
      </w:r>
    </w:p>
    <w:p w14:paraId="708231E9">
      <w:pPr>
        <w:pStyle w:val="10"/>
        <w:keepNext/>
        <w:keepLines/>
        <w:pageBreakBefore w:val="0"/>
        <w:widowControl w:val="0"/>
        <w:tabs>
          <w:tab w:val="left" w:pos="0"/>
        </w:tabs>
        <w:kinsoku/>
        <w:wordWrap/>
        <w:overflowPunct/>
        <w:topLinePunct w:val="0"/>
        <w:autoSpaceDE/>
        <w:autoSpaceDN/>
        <w:bidi w:val="0"/>
        <w:adjustRightInd/>
        <w:snapToGrid/>
        <w:spacing w:line="320" w:lineRule="auto"/>
        <w:ind w:left="0"/>
        <w:textAlignment w:val="auto"/>
      </w:pPr>
      <w:r>
        <w:rPr>
          <w:rFonts w:hint="eastAsia"/>
        </w:rPr>
        <w:t>有4G/5G信号时应急通信保障方式</w:t>
      </w:r>
    </w:p>
    <w:p w14:paraId="4DC1AA49">
      <w:pPr>
        <w:pStyle w:val="15"/>
      </w:pPr>
      <w:r>
        <w:rPr>
          <w:rFonts w:hint="eastAsia"/>
        </w:rPr>
        <w:t>当应急现场有4G/5G信号时，应急现场的语音、视频采集终端直接通过4G/5G信号进行回传。</w:t>
      </w:r>
    </w:p>
    <w:p w14:paraId="19AE8910">
      <w:pPr>
        <w:pStyle w:val="15"/>
      </w:pPr>
      <w:r>
        <w:rPr>
          <w:rFonts w:hint="eastAsia"/>
        </w:rPr>
        <w:t>应急现场有4G/5G信号，分为三种情况：一是应急现场有公网提供4G/5G信号，二是应急现场没有公网但通过租赁应急通信车保障服务提供4G/5G信号，三是应急现场没有公网但通过租空中应急通信保障服务提供4G/5G信号。</w:t>
      </w:r>
    </w:p>
    <w:p w14:paraId="57CCFCC8">
      <w:pPr>
        <w:pStyle w:val="15"/>
      </w:pPr>
      <w:r>
        <w:rPr>
          <w:rFonts w:hint="eastAsia"/>
        </w:rPr>
        <w:t>1.公网应急通信保障方式</w:t>
      </w:r>
    </w:p>
    <w:p w14:paraId="6E0A79EB">
      <w:pPr>
        <w:pStyle w:val="15"/>
      </w:pPr>
      <w:r>
        <w:rPr>
          <w:rFonts w:hint="eastAsia"/>
        </w:rPr>
        <w:t>当应急现场有公网信号时，前端的双模对讲机、普通手机（自有）、布控球、智能头盔、单兵记录仪、贴片定位终端、手持单北斗定位终端等音频、视频、定位采集终端优先通过公网（周边的基站）传回指挥中心。</w:t>
      </w:r>
    </w:p>
    <w:p w14:paraId="22F4107A">
      <w:pPr>
        <w:pStyle w:val="15"/>
        <w:spacing w:line="240" w:lineRule="auto"/>
        <w:ind w:firstLine="0" w:firstLineChars="0"/>
        <w:jc w:val="center"/>
      </w:pPr>
      <w:r>
        <w:drawing>
          <wp:inline distT="0" distB="0" distL="0" distR="0">
            <wp:extent cx="5274310" cy="2795270"/>
            <wp:effectExtent l="0" t="0" r="13970" b="8890"/>
            <wp:docPr id="204079627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0796276" name="图片 1"/>
                    <pic:cNvPicPr>
                      <a:picLocks noChangeAspect="1"/>
                    </pic:cNvPicPr>
                  </pic:nvPicPr>
                  <pic:blipFill>
                    <a:blip r:embed="rId5"/>
                    <a:stretch>
                      <a:fillRect/>
                    </a:stretch>
                  </pic:blipFill>
                  <pic:spPr>
                    <a:xfrm>
                      <a:off x="0" y="0"/>
                      <a:ext cx="5274310" cy="2795270"/>
                    </a:xfrm>
                    <a:prstGeom prst="rect">
                      <a:avLst/>
                    </a:prstGeom>
                  </pic:spPr>
                </pic:pic>
              </a:graphicData>
            </a:graphic>
          </wp:inline>
        </w:drawing>
      </w:r>
    </w:p>
    <w:p w14:paraId="0828E593">
      <w:pPr>
        <w:pStyle w:val="50"/>
        <w:spacing w:line="240" w:lineRule="auto"/>
        <w:ind w:firstLine="0" w:firstLineChars="0"/>
        <w:jc w:val="center"/>
        <w:rPr>
          <w:rFonts w:hint="eastAsia" w:ascii="黑体" w:hAnsi="黑体" w:eastAsia="黑体" w:cs="黑体"/>
          <w:b/>
          <w:bCs/>
          <w:sz w:val="20"/>
        </w:rPr>
      </w:pPr>
      <w:r>
        <w:rPr>
          <w:rFonts w:hint="eastAsia" w:ascii="黑体" w:hAnsi="黑体" w:eastAsia="黑体" w:cs="黑体"/>
          <w:sz w:val="20"/>
        </w:rPr>
        <w:t>图</w:t>
      </w:r>
      <w:r>
        <w:rPr>
          <w:rFonts w:hint="eastAsia" w:ascii="黑体" w:hAnsi="黑体" w:eastAsia="黑体" w:cs="黑体"/>
          <w:sz w:val="20"/>
        </w:rPr>
        <w:fldChar w:fldCharType="begin"/>
      </w:r>
      <w:r>
        <w:rPr>
          <w:rFonts w:hint="eastAsia" w:ascii="黑体" w:hAnsi="黑体" w:eastAsia="黑体" w:cs="黑体"/>
          <w:sz w:val="20"/>
        </w:rPr>
        <w:instrText xml:space="preserve"> STYLEREF 1 \s </w:instrText>
      </w:r>
      <w:r>
        <w:rPr>
          <w:rFonts w:hint="eastAsia" w:ascii="黑体" w:hAnsi="黑体" w:eastAsia="黑体" w:cs="黑体"/>
          <w:sz w:val="20"/>
        </w:rPr>
        <w:fldChar w:fldCharType="separate"/>
      </w:r>
      <w:r>
        <w:rPr>
          <w:rFonts w:hint="eastAsia" w:ascii="黑体" w:hAnsi="黑体" w:eastAsia="黑体" w:cs="黑体"/>
          <w:sz w:val="20"/>
        </w:rPr>
        <w:t>0</w:t>
      </w:r>
      <w:r>
        <w:rPr>
          <w:rFonts w:hint="eastAsia" w:ascii="黑体" w:hAnsi="黑体" w:eastAsia="黑体" w:cs="黑体"/>
          <w:sz w:val="20"/>
        </w:rPr>
        <w:fldChar w:fldCharType="end"/>
      </w:r>
      <w:r>
        <w:rPr>
          <w:rFonts w:hint="eastAsia" w:ascii="黑体" w:hAnsi="黑体" w:eastAsia="黑体" w:cs="黑体"/>
          <w:sz w:val="20"/>
        </w:rPr>
        <w:noBreakHyphen/>
      </w:r>
      <w:r>
        <w:rPr>
          <w:rFonts w:hint="eastAsia" w:ascii="黑体" w:hAnsi="黑体" w:eastAsia="黑体" w:cs="黑体"/>
          <w:sz w:val="20"/>
        </w:rPr>
        <w:fldChar w:fldCharType="begin"/>
      </w:r>
      <w:r>
        <w:rPr>
          <w:rFonts w:hint="eastAsia" w:ascii="黑体" w:hAnsi="黑体" w:eastAsia="黑体" w:cs="黑体"/>
          <w:sz w:val="20"/>
        </w:rPr>
        <w:instrText xml:space="preserve"> SEQ 图 \* ARABIC \s 1 </w:instrText>
      </w:r>
      <w:r>
        <w:rPr>
          <w:rFonts w:hint="eastAsia" w:ascii="黑体" w:hAnsi="黑体" w:eastAsia="黑体" w:cs="黑体"/>
          <w:sz w:val="20"/>
        </w:rPr>
        <w:fldChar w:fldCharType="separate"/>
      </w:r>
      <w:r>
        <w:rPr>
          <w:rFonts w:hint="eastAsia" w:ascii="黑体" w:hAnsi="黑体" w:eastAsia="黑体" w:cs="黑体"/>
          <w:sz w:val="20"/>
        </w:rPr>
        <w:t>2</w:t>
      </w:r>
      <w:r>
        <w:rPr>
          <w:rFonts w:hint="eastAsia" w:ascii="黑体" w:hAnsi="黑体" w:eastAsia="黑体" w:cs="黑体"/>
          <w:sz w:val="20"/>
        </w:rPr>
        <w:fldChar w:fldCharType="end"/>
      </w:r>
      <w:bookmarkStart w:id="2" w:name="_Toc21064"/>
      <w:bookmarkStart w:id="3" w:name="_Toc24823"/>
      <w:r>
        <w:rPr>
          <w:rFonts w:hint="eastAsia" w:ascii="黑体" w:hAnsi="黑体" w:eastAsia="黑体" w:cs="黑体"/>
          <w:sz w:val="20"/>
        </w:rPr>
        <w:t>公网保障方式示意图</w:t>
      </w:r>
      <w:bookmarkEnd w:id="2"/>
      <w:bookmarkEnd w:id="3"/>
    </w:p>
    <w:p w14:paraId="23FBF64C">
      <w:pPr>
        <w:pStyle w:val="15"/>
      </w:pPr>
      <w:r>
        <w:rPr>
          <w:rFonts w:hint="eastAsia"/>
        </w:rPr>
        <w:t>2.运营商应急通信车服务保障方式（通信车由通信保障单位提供）</w:t>
      </w:r>
    </w:p>
    <w:p w14:paraId="14247670">
      <w:pPr>
        <w:pStyle w:val="15"/>
      </w:pPr>
      <w:r>
        <w:rPr>
          <w:rFonts w:hint="eastAsia"/>
        </w:rPr>
        <w:t>当应急现场无公网时，可以通过运营商的应急通信车（通信车由通信保障单位提供）来提供应急通信服务保障。应急通信车能提供4G/5G信号，前突队的音频、视频、定位信息通过应急通信车提供的4G/5G应急网络进行回传。</w:t>
      </w:r>
    </w:p>
    <w:p w14:paraId="55E05C56">
      <w:pPr>
        <w:pStyle w:val="15"/>
        <w:spacing w:line="240" w:lineRule="auto"/>
        <w:ind w:firstLine="0" w:firstLineChars="0"/>
        <w:jc w:val="center"/>
      </w:pPr>
      <w:r>
        <w:drawing>
          <wp:inline distT="0" distB="0" distL="0" distR="0">
            <wp:extent cx="5274310" cy="2819400"/>
            <wp:effectExtent l="0" t="0" r="13970" b="0"/>
            <wp:docPr id="46161006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610063" name="图片 1"/>
                    <pic:cNvPicPr>
                      <a:picLocks noChangeAspect="1"/>
                    </pic:cNvPicPr>
                  </pic:nvPicPr>
                  <pic:blipFill>
                    <a:blip r:embed="rId6"/>
                    <a:stretch>
                      <a:fillRect/>
                    </a:stretch>
                  </pic:blipFill>
                  <pic:spPr>
                    <a:xfrm>
                      <a:off x="0" y="0"/>
                      <a:ext cx="5274310" cy="2819400"/>
                    </a:xfrm>
                    <a:prstGeom prst="rect">
                      <a:avLst/>
                    </a:prstGeom>
                  </pic:spPr>
                </pic:pic>
              </a:graphicData>
            </a:graphic>
          </wp:inline>
        </w:drawing>
      </w:r>
    </w:p>
    <w:p w14:paraId="1B432B2F">
      <w:pPr>
        <w:pStyle w:val="50"/>
        <w:spacing w:line="240" w:lineRule="auto"/>
        <w:ind w:firstLine="0" w:firstLineChars="0"/>
        <w:jc w:val="center"/>
        <w:rPr>
          <w:rFonts w:hint="eastAsia" w:ascii="黑体" w:hAnsi="黑体" w:eastAsia="黑体" w:cs="黑体"/>
          <w:b/>
          <w:bCs/>
          <w:sz w:val="20"/>
        </w:rPr>
      </w:pPr>
      <w:r>
        <w:rPr>
          <w:rFonts w:hint="eastAsia" w:ascii="黑体" w:hAnsi="黑体" w:eastAsia="黑体" w:cs="黑体"/>
          <w:sz w:val="20"/>
        </w:rPr>
        <w:t>图</w:t>
      </w:r>
      <w:r>
        <w:rPr>
          <w:rFonts w:hint="eastAsia" w:ascii="黑体" w:hAnsi="黑体" w:eastAsia="黑体" w:cs="黑体"/>
          <w:sz w:val="20"/>
        </w:rPr>
        <w:fldChar w:fldCharType="begin"/>
      </w:r>
      <w:r>
        <w:rPr>
          <w:rFonts w:hint="eastAsia" w:ascii="黑体" w:hAnsi="黑体" w:eastAsia="黑体" w:cs="黑体"/>
          <w:sz w:val="20"/>
        </w:rPr>
        <w:instrText xml:space="preserve"> STYLEREF 1 \s </w:instrText>
      </w:r>
      <w:r>
        <w:rPr>
          <w:rFonts w:hint="eastAsia" w:ascii="黑体" w:hAnsi="黑体" w:eastAsia="黑体" w:cs="黑体"/>
          <w:sz w:val="20"/>
        </w:rPr>
        <w:fldChar w:fldCharType="separate"/>
      </w:r>
      <w:r>
        <w:rPr>
          <w:rFonts w:hint="eastAsia" w:ascii="黑体" w:hAnsi="黑体" w:eastAsia="黑体" w:cs="黑体"/>
          <w:sz w:val="20"/>
        </w:rPr>
        <w:t>0</w:t>
      </w:r>
      <w:r>
        <w:rPr>
          <w:rFonts w:hint="eastAsia" w:ascii="黑体" w:hAnsi="黑体" w:eastAsia="黑体" w:cs="黑体"/>
          <w:sz w:val="20"/>
        </w:rPr>
        <w:fldChar w:fldCharType="end"/>
      </w:r>
      <w:r>
        <w:rPr>
          <w:rFonts w:hint="eastAsia" w:ascii="黑体" w:hAnsi="黑体" w:eastAsia="黑体" w:cs="黑体"/>
          <w:sz w:val="20"/>
        </w:rPr>
        <w:noBreakHyphen/>
      </w:r>
      <w:r>
        <w:rPr>
          <w:rFonts w:hint="eastAsia" w:ascii="黑体" w:hAnsi="黑体" w:eastAsia="黑体" w:cs="黑体"/>
          <w:sz w:val="20"/>
        </w:rPr>
        <w:fldChar w:fldCharType="begin"/>
      </w:r>
      <w:r>
        <w:rPr>
          <w:rFonts w:hint="eastAsia" w:ascii="黑体" w:hAnsi="黑体" w:eastAsia="黑体" w:cs="黑体"/>
          <w:sz w:val="20"/>
        </w:rPr>
        <w:instrText xml:space="preserve"> SEQ 图 \* ARABIC \s 1 </w:instrText>
      </w:r>
      <w:r>
        <w:rPr>
          <w:rFonts w:hint="eastAsia" w:ascii="黑体" w:hAnsi="黑体" w:eastAsia="黑体" w:cs="黑体"/>
          <w:sz w:val="20"/>
        </w:rPr>
        <w:fldChar w:fldCharType="separate"/>
      </w:r>
      <w:r>
        <w:rPr>
          <w:rFonts w:hint="eastAsia" w:ascii="黑体" w:hAnsi="黑体" w:eastAsia="黑体" w:cs="黑体"/>
          <w:sz w:val="20"/>
        </w:rPr>
        <w:t>3</w:t>
      </w:r>
      <w:r>
        <w:rPr>
          <w:rFonts w:hint="eastAsia" w:ascii="黑体" w:hAnsi="黑体" w:eastAsia="黑体" w:cs="黑体"/>
          <w:sz w:val="20"/>
        </w:rPr>
        <w:fldChar w:fldCharType="end"/>
      </w:r>
      <w:bookmarkStart w:id="4" w:name="_Toc6223"/>
      <w:bookmarkStart w:id="5" w:name="_Toc2270"/>
      <w:r>
        <w:rPr>
          <w:rFonts w:hint="eastAsia" w:ascii="黑体" w:hAnsi="黑体" w:eastAsia="黑体" w:cs="黑体"/>
          <w:sz w:val="20"/>
        </w:rPr>
        <w:t>应急通信车保障方式示意图</w:t>
      </w:r>
      <w:bookmarkEnd w:id="4"/>
      <w:bookmarkEnd w:id="5"/>
    </w:p>
    <w:p w14:paraId="7ADC58AD">
      <w:pPr>
        <w:pStyle w:val="15"/>
      </w:pPr>
      <w:r>
        <w:rPr>
          <w:rFonts w:hint="eastAsia"/>
        </w:rPr>
        <w:t>3.空中应急通信保障方式（直升机及直升机的通信设备由通信保障单位提供）</w:t>
      </w:r>
    </w:p>
    <w:p w14:paraId="7242E44C">
      <w:pPr>
        <w:pStyle w:val="15"/>
      </w:pPr>
      <w:r>
        <w:rPr>
          <w:rFonts w:hint="eastAsia"/>
        </w:rPr>
        <w:t>当应急现场无公网时，可以采用空中应急通信保障方式，通过搭载有应急通信系统的直升机（直升机及直升机的通信设备由通信保障单位提供）来提供应急通信服务保障。应急通信直升机能提供4G/5G信号，前突队的音频、视频、定位信息通过直升机提供的4G/5G应急网络进行回传。</w:t>
      </w:r>
    </w:p>
    <w:p w14:paraId="0B3D36C4">
      <w:pPr>
        <w:pStyle w:val="15"/>
        <w:spacing w:line="240" w:lineRule="auto"/>
        <w:ind w:firstLine="0" w:firstLineChars="0"/>
      </w:pPr>
      <w:r>
        <w:drawing>
          <wp:inline distT="0" distB="0" distL="0" distR="0">
            <wp:extent cx="5274310" cy="2803525"/>
            <wp:effectExtent l="0" t="0" r="13970" b="635"/>
            <wp:docPr id="159527055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270556" name="图片 1"/>
                    <pic:cNvPicPr>
                      <a:picLocks noChangeAspect="1"/>
                    </pic:cNvPicPr>
                  </pic:nvPicPr>
                  <pic:blipFill>
                    <a:blip r:embed="rId7"/>
                    <a:stretch>
                      <a:fillRect/>
                    </a:stretch>
                  </pic:blipFill>
                  <pic:spPr>
                    <a:xfrm>
                      <a:off x="0" y="0"/>
                      <a:ext cx="5274310" cy="2803525"/>
                    </a:xfrm>
                    <a:prstGeom prst="rect">
                      <a:avLst/>
                    </a:prstGeom>
                  </pic:spPr>
                </pic:pic>
              </a:graphicData>
            </a:graphic>
          </wp:inline>
        </w:drawing>
      </w:r>
    </w:p>
    <w:p w14:paraId="466ABA1F">
      <w:pPr>
        <w:pStyle w:val="50"/>
        <w:spacing w:line="240" w:lineRule="auto"/>
        <w:ind w:firstLine="0" w:firstLineChars="0"/>
        <w:jc w:val="center"/>
        <w:rPr>
          <w:rFonts w:hint="eastAsia" w:ascii="黑体" w:hAnsi="黑体" w:eastAsia="黑体" w:cs="黑体"/>
          <w:b/>
          <w:bCs/>
          <w:sz w:val="20"/>
        </w:rPr>
      </w:pPr>
      <w:r>
        <w:rPr>
          <w:rFonts w:hint="eastAsia" w:ascii="黑体" w:hAnsi="黑体" w:eastAsia="黑体" w:cs="黑体"/>
          <w:sz w:val="20"/>
        </w:rPr>
        <w:t>图</w:t>
      </w:r>
      <w:r>
        <w:rPr>
          <w:rFonts w:hint="eastAsia" w:ascii="黑体" w:hAnsi="黑体" w:eastAsia="黑体" w:cs="黑体"/>
          <w:sz w:val="20"/>
        </w:rPr>
        <w:fldChar w:fldCharType="begin"/>
      </w:r>
      <w:r>
        <w:rPr>
          <w:rFonts w:hint="eastAsia" w:ascii="黑体" w:hAnsi="黑体" w:eastAsia="黑体" w:cs="黑体"/>
          <w:sz w:val="20"/>
        </w:rPr>
        <w:instrText xml:space="preserve"> STYLEREF 1 \s </w:instrText>
      </w:r>
      <w:r>
        <w:rPr>
          <w:rFonts w:hint="eastAsia" w:ascii="黑体" w:hAnsi="黑体" w:eastAsia="黑体" w:cs="黑体"/>
          <w:sz w:val="20"/>
        </w:rPr>
        <w:fldChar w:fldCharType="separate"/>
      </w:r>
      <w:r>
        <w:rPr>
          <w:rFonts w:hint="eastAsia" w:ascii="黑体" w:hAnsi="黑体" w:eastAsia="黑体" w:cs="黑体"/>
          <w:sz w:val="20"/>
        </w:rPr>
        <w:t>0</w:t>
      </w:r>
      <w:r>
        <w:rPr>
          <w:rFonts w:hint="eastAsia" w:ascii="黑体" w:hAnsi="黑体" w:eastAsia="黑体" w:cs="黑体"/>
          <w:sz w:val="20"/>
        </w:rPr>
        <w:fldChar w:fldCharType="end"/>
      </w:r>
      <w:r>
        <w:rPr>
          <w:rFonts w:hint="eastAsia" w:ascii="黑体" w:hAnsi="黑体" w:eastAsia="黑体" w:cs="黑体"/>
          <w:sz w:val="20"/>
        </w:rPr>
        <w:noBreakHyphen/>
      </w:r>
      <w:r>
        <w:rPr>
          <w:rFonts w:hint="eastAsia" w:ascii="黑体" w:hAnsi="黑体" w:eastAsia="黑体" w:cs="黑体"/>
          <w:sz w:val="20"/>
        </w:rPr>
        <w:fldChar w:fldCharType="begin"/>
      </w:r>
      <w:r>
        <w:rPr>
          <w:rFonts w:hint="eastAsia" w:ascii="黑体" w:hAnsi="黑体" w:eastAsia="黑体" w:cs="黑体"/>
          <w:sz w:val="20"/>
        </w:rPr>
        <w:instrText xml:space="preserve"> SEQ 图 \* ARABIC \s 1 </w:instrText>
      </w:r>
      <w:r>
        <w:rPr>
          <w:rFonts w:hint="eastAsia" w:ascii="黑体" w:hAnsi="黑体" w:eastAsia="黑体" w:cs="黑体"/>
          <w:sz w:val="20"/>
        </w:rPr>
        <w:fldChar w:fldCharType="separate"/>
      </w:r>
      <w:r>
        <w:rPr>
          <w:rFonts w:hint="eastAsia" w:ascii="黑体" w:hAnsi="黑体" w:eastAsia="黑体" w:cs="黑体"/>
          <w:sz w:val="20"/>
        </w:rPr>
        <w:t>4</w:t>
      </w:r>
      <w:r>
        <w:rPr>
          <w:rFonts w:hint="eastAsia" w:ascii="黑体" w:hAnsi="黑体" w:eastAsia="黑体" w:cs="黑体"/>
          <w:sz w:val="20"/>
        </w:rPr>
        <w:fldChar w:fldCharType="end"/>
      </w:r>
      <w:bookmarkStart w:id="6" w:name="_Toc17061"/>
      <w:bookmarkStart w:id="7" w:name="_Toc9360"/>
      <w:r>
        <w:rPr>
          <w:rFonts w:hint="eastAsia" w:ascii="黑体" w:hAnsi="黑体" w:eastAsia="黑体" w:cs="黑体"/>
          <w:sz w:val="20"/>
        </w:rPr>
        <w:t>空中应急通信租赁保障方式示意图</w:t>
      </w:r>
      <w:bookmarkEnd w:id="6"/>
      <w:bookmarkEnd w:id="7"/>
    </w:p>
    <w:p w14:paraId="07730497">
      <w:pPr>
        <w:pStyle w:val="10"/>
        <w:keepNext/>
        <w:keepLines/>
        <w:pageBreakBefore w:val="0"/>
        <w:widowControl w:val="0"/>
        <w:tabs>
          <w:tab w:val="left" w:pos="0"/>
        </w:tabs>
        <w:kinsoku/>
        <w:wordWrap/>
        <w:overflowPunct/>
        <w:topLinePunct w:val="0"/>
        <w:autoSpaceDE/>
        <w:autoSpaceDN/>
        <w:bidi w:val="0"/>
        <w:adjustRightInd/>
        <w:snapToGrid/>
        <w:spacing w:line="320" w:lineRule="auto"/>
        <w:ind w:left="0"/>
        <w:textAlignment w:val="auto"/>
      </w:pPr>
      <w:r>
        <w:rPr>
          <w:rFonts w:hint="eastAsia"/>
        </w:rPr>
        <w:t>无4G/5G信号时应急通信保障方式</w:t>
      </w:r>
    </w:p>
    <w:p w14:paraId="6283D9B6">
      <w:pPr>
        <w:pStyle w:val="15"/>
      </w:pPr>
      <w:r>
        <w:rPr>
          <w:rFonts w:hint="eastAsia"/>
        </w:rPr>
        <w:t>当应急现场既无公网网络，也无应急通信车和空中应急通信保障服务时，可以通过宽带卫星网、天通网和专网等应急通信保障方式，解决应急现场前突队音频与视频的回传问题。</w:t>
      </w:r>
    </w:p>
    <w:p w14:paraId="7744188B">
      <w:pPr>
        <w:pStyle w:val="15"/>
      </w:pPr>
      <w:r>
        <w:rPr>
          <w:rFonts w:hint="eastAsia"/>
        </w:rPr>
        <w:t>国家紧急医学救援队和紧急医学救援队前突队都部署了天通猫，其能接收天通卫星的信号，并转为Wi-Fi信号，供双模对讲机、普通手机（自有）接入进行语音通话。国家队和省队还部署了卫星电话，也能在无公网信号时进行语音通话。</w:t>
      </w:r>
    </w:p>
    <w:p w14:paraId="0A6E8F40">
      <w:pPr>
        <w:pStyle w:val="15"/>
      </w:pPr>
      <w:r>
        <w:rPr>
          <w:rFonts w:hint="eastAsia"/>
        </w:rPr>
        <w:t>国家紧急医学救援队前突队还部署了卫星便携站和Mesh自组背负电台，其中卫星便携站能提供Wi-Fi信号，供应急现场的双模对讲机、普通手机（自有）、智能头盔、单兵眼镜、单兵记录仪、布控球接入，将应急现场的音视频直接传回通信指挥车和后端指挥中心；Mesh自组网用于音视频信号的传输，其能直接通过前突队的卫星便携站，实现音视频的回传；也能通过部署在通信指挥车上的Mesh自组网车载电台，将应急现场的音视频传回通信指挥车，再通过车载卫星终端传至后端指挥中心。</w:t>
      </w:r>
    </w:p>
    <w:p w14:paraId="4E7A3C60">
      <w:pPr>
        <w:pStyle w:val="44"/>
        <w:spacing w:before="0" w:after="0" w:line="240" w:lineRule="auto"/>
        <w:ind w:firstLine="0" w:firstLineChars="0"/>
        <w:jc w:val="center"/>
        <w:rPr>
          <w:rFonts w:hint="eastAsia"/>
        </w:rPr>
      </w:pPr>
      <w:r>
        <w:drawing>
          <wp:inline distT="0" distB="0" distL="0" distR="0">
            <wp:extent cx="5274310" cy="2914650"/>
            <wp:effectExtent l="0" t="0" r="13970" b="11430"/>
            <wp:docPr id="67804876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048769" name="图片 1"/>
                    <pic:cNvPicPr>
                      <a:picLocks noChangeAspect="1"/>
                    </pic:cNvPicPr>
                  </pic:nvPicPr>
                  <pic:blipFill>
                    <a:blip r:embed="rId8"/>
                    <a:stretch>
                      <a:fillRect/>
                    </a:stretch>
                  </pic:blipFill>
                  <pic:spPr>
                    <a:xfrm>
                      <a:off x="0" y="0"/>
                      <a:ext cx="5274310" cy="2914650"/>
                    </a:xfrm>
                    <a:prstGeom prst="rect">
                      <a:avLst/>
                    </a:prstGeom>
                  </pic:spPr>
                </pic:pic>
              </a:graphicData>
            </a:graphic>
          </wp:inline>
        </w:drawing>
      </w:r>
    </w:p>
    <w:p w14:paraId="426B1C92">
      <w:pPr>
        <w:pStyle w:val="50"/>
        <w:spacing w:line="240" w:lineRule="auto"/>
        <w:ind w:firstLine="0" w:firstLineChars="0"/>
        <w:jc w:val="center"/>
        <w:rPr>
          <w:rFonts w:hint="eastAsia" w:ascii="黑体" w:hAnsi="黑体" w:eastAsia="黑体" w:cs="黑体"/>
          <w:sz w:val="20"/>
        </w:rPr>
      </w:pPr>
      <w:r>
        <w:rPr>
          <w:rFonts w:hint="eastAsia" w:ascii="黑体" w:hAnsi="黑体" w:eastAsia="黑体" w:cs="黑体"/>
          <w:sz w:val="20"/>
        </w:rPr>
        <w:t>图</w:t>
      </w:r>
      <w:r>
        <w:rPr>
          <w:rFonts w:hint="eastAsia" w:ascii="黑体" w:hAnsi="黑体" w:eastAsia="黑体" w:cs="黑体"/>
          <w:sz w:val="20"/>
        </w:rPr>
        <w:fldChar w:fldCharType="begin"/>
      </w:r>
      <w:r>
        <w:rPr>
          <w:rFonts w:hint="eastAsia" w:ascii="黑体" w:hAnsi="黑体" w:eastAsia="黑体" w:cs="黑体"/>
          <w:sz w:val="20"/>
        </w:rPr>
        <w:instrText xml:space="preserve"> STYLEREF 1 \s </w:instrText>
      </w:r>
      <w:r>
        <w:rPr>
          <w:rFonts w:hint="eastAsia" w:ascii="黑体" w:hAnsi="黑体" w:eastAsia="黑体" w:cs="黑体"/>
          <w:sz w:val="20"/>
        </w:rPr>
        <w:fldChar w:fldCharType="separate"/>
      </w:r>
      <w:r>
        <w:rPr>
          <w:rFonts w:hint="eastAsia" w:ascii="黑体" w:hAnsi="黑体" w:eastAsia="黑体" w:cs="黑体"/>
          <w:sz w:val="20"/>
        </w:rPr>
        <w:t>0</w:t>
      </w:r>
      <w:r>
        <w:rPr>
          <w:rFonts w:hint="eastAsia" w:ascii="黑体" w:hAnsi="黑体" w:eastAsia="黑体" w:cs="黑体"/>
          <w:sz w:val="20"/>
        </w:rPr>
        <w:fldChar w:fldCharType="end"/>
      </w:r>
      <w:r>
        <w:rPr>
          <w:rFonts w:hint="eastAsia" w:ascii="黑体" w:hAnsi="黑体" w:eastAsia="黑体" w:cs="黑体"/>
          <w:sz w:val="20"/>
        </w:rPr>
        <w:noBreakHyphen/>
      </w:r>
      <w:r>
        <w:rPr>
          <w:rFonts w:hint="eastAsia" w:ascii="黑体" w:hAnsi="黑体" w:eastAsia="黑体" w:cs="黑体"/>
          <w:sz w:val="20"/>
        </w:rPr>
        <w:fldChar w:fldCharType="begin"/>
      </w:r>
      <w:r>
        <w:rPr>
          <w:rFonts w:hint="eastAsia" w:ascii="黑体" w:hAnsi="黑体" w:eastAsia="黑体" w:cs="黑体"/>
          <w:sz w:val="20"/>
        </w:rPr>
        <w:instrText xml:space="preserve"> SEQ 图 \* ARABIC \s 1 </w:instrText>
      </w:r>
      <w:r>
        <w:rPr>
          <w:rFonts w:hint="eastAsia" w:ascii="黑体" w:hAnsi="黑体" w:eastAsia="黑体" w:cs="黑体"/>
          <w:sz w:val="20"/>
        </w:rPr>
        <w:fldChar w:fldCharType="separate"/>
      </w:r>
      <w:r>
        <w:rPr>
          <w:rFonts w:hint="eastAsia" w:ascii="黑体" w:hAnsi="黑体" w:eastAsia="黑体" w:cs="黑体"/>
          <w:sz w:val="20"/>
        </w:rPr>
        <w:t>5</w:t>
      </w:r>
      <w:r>
        <w:rPr>
          <w:rFonts w:hint="eastAsia" w:ascii="黑体" w:hAnsi="黑体" w:eastAsia="黑体" w:cs="黑体"/>
          <w:sz w:val="20"/>
        </w:rPr>
        <w:fldChar w:fldCharType="end"/>
      </w:r>
      <w:bookmarkStart w:id="8" w:name="_Toc3075"/>
      <w:bookmarkStart w:id="9" w:name="_Toc25164"/>
      <w:r>
        <w:rPr>
          <w:rFonts w:hint="eastAsia" w:ascii="黑体" w:hAnsi="黑体" w:eastAsia="黑体" w:cs="黑体"/>
          <w:sz w:val="20"/>
        </w:rPr>
        <w:t>专网应急通信保障方式</w:t>
      </w:r>
      <w:bookmarkEnd w:id="8"/>
      <w:bookmarkEnd w:id="9"/>
    </w:p>
    <w:p w14:paraId="2233E3E2">
      <w:pPr>
        <w:pStyle w:val="9"/>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pPr>
      <w:r>
        <w:rPr>
          <w:rFonts w:hint="eastAsia"/>
        </w:rPr>
        <w:t>系统模块设计</w:t>
      </w:r>
    </w:p>
    <w:p w14:paraId="3BBA1C95">
      <w:pPr>
        <w:pStyle w:val="15"/>
      </w:pPr>
      <w:r>
        <w:rPr>
          <w:rFonts w:hint="eastAsia"/>
        </w:rPr>
        <w:t>应急通信网络规划建设5个模块，分别前突小分队、无人机系统、通信指挥车和应急指挥中心，其中前突小分队又分为国家紧急医学救援队前突小分队和省级紧急医学救援队前突小分队。前突小分队优先保障与通信指挥车/指挥中心的语音通话，并能将定位实时回传至应急通信指挥平台。</w:t>
      </w:r>
    </w:p>
    <w:p w14:paraId="6DE764E8">
      <w:pPr>
        <w:pStyle w:val="10"/>
        <w:keepNext/>
        <w:keepLines/>
        <w:pageBreakBefore w:val="0"/>
        <w:widowControl w:val="0"/>
        <w:tabs>
          <w:tab w:val="left" w:pos="0"/>
        </w:tabs>
        <w:kinsoku/>
        <w:wordWrap/>
        <w:overflowPunct/>
        <w:topLinePunct w:val="0"/>
        <w:autoSpaceDE/>
        <w:autoSpaceDN/>
        <w:bidi w:val="0"/>
        <w:adjustRightInd/>
        <w:snapToGrid/>
        <w:spacing w:line="320" w:lineRule="auto"/>
        <w:ind w:left="0"/>
        <w:textAlignment w:val="auto"/>
      </w:pPr>
      <w:r>
        <w:rPr>
          <w:rFonts w:hint="eastAsia"/>
        </w:rPr>
        <w:t>省级紧急应急医学救援队前突小分队</w:t>
      </w:r>
    </w:p>
    <w:p w14:paraId="6116FDE2">
      <w:pPr>
        <w:pStyle w:val="15"/>
      </w:pPr>
      <w:r>
        <w:rPr>
          <w:rFonts w:hint="eastAsia"/>
        </w:rPr>
        <w:t>1.配置原则</w:t>
      </w:r>
    </w:p>
    <w:p w14:paraId="4A16ACA1">
      <w:pPr>
        <w:pStyle w:val="15"/>
      </w:pPr>
      <w:r>
        <w:rPr>
          <w:rFonts w:hint="eastAsia"/>
        </w:rPr>
        <w:t>紧急应急医学救援队是紧急应急医学救援的中坚力量，规划21支队伍，紧急应急医学救援队前突队的应急通信网络配置应简单、实用，要求能在有公网信号或能提供应急通信车、空中应急通信服务保障的情况下，将应急现场的语音、视频、定位信息回传至指挥中心或通信指挥车。在以上条件不具备时，也应能保障应急现场的语音通话与定位信息的回传。</w:t>
      </w:r>
    </w:p>
    <w:p w14:paraId="62E97B0C">
      <w:pPr>
        <w:pStyle w:val="15"/>
      </w:pPr>
      <w:r>
        <w:rPr>
          <w:rFonts w:hint="eastAsia"/>
        </w:rPr>
        <w:t>省队在有公网信号时，使用自身携带的智能手机进行语音通话。</w:t>
      </w:r>
    </w:p>
    <w:p w14:paraId="32225E0B">
      <w:pPr>
        <w:pStyle w:val="15"/>
      </w:pPr>
      <w:r>
        <w:rPr>
          <w:rFonts w:hint="eastAsia"/>
        </w:rPr>
        <w:t>2.设备配置说明</w:t>
      </w:r>
    </w:p>
    <w:p w14:paraId="6B7E87F0">
      <w:pPr>
        <w:pStyle w:val="15"/>
      </w:pPr>
      <w:r>
        <w:rPr>
          <w:rFonts w:hint="eastAsia"/>
        </w:rPr>
        <w:t>（1）终端方面</w:t>
      </w:r>
    </w:p>
    <w:p w14:paraId="7031E803">
      <w:pPr>
        <w:pStyle w:val="15"/>
      </w:pPr>
      <w:r>
        <w:rPr>
          <w:rFonts w:hint="eastAsia"/>
        </w:rPr>
        <w:t>紧急应急医学救援队规划21支，共配备21台卫星电话、21个布控球、105台单兵记录仪、21台手持定位终端、210台贴片定位终端，配置说明如下：</w:t>
      </w:r>
    </w:p>
    <w:p w14:paraId="459EB599">
      <w:pPr>
        <w:pStyle w:val="15"/>
      </w:pPr>
      <w:r>
        <w:rPr>
          <w:rFonts w:hint="eastAsia"/>
        </w:rPr>
        <w:t>每支队伍配备1台卫星电话，卫星电话能在无公网的情况下进行语音通话。</w:t>
      </w:r>
    </w:p>
    <w:p w14:paraId="74A987D2">
      <w:pPr>
        <w:pStyle w:val="15"/>
      </w:pPr>
      <w:r>
        <w:rPr>
          <w:rFonts w:hint="eastAsia"/>
        </w:rPr>
        <w:t>每支队伍配备1个布控球，用来采集并回传应急现场的音视频信号，提供全局视野。</w:t>
      </w:r>
    </w:p>
    <w:p w14:paraId="26CC69F1">
      <w:pPr>
        <w:pStyle w:val="15"/>
      </w:pPr>
      <w:r>
        <w:rPr>
          <w:rFonts w:hint="eastAsia"/>
        </w:rPr>
        <w:t>每支队伍配备5个单兵记录仪，用来采集并回传应急现场的音视频信号，提供单兵视野。</w:t>
      </w:r>
    </w:p>
    <w:p w14:paraId="0B0916B3">
      <w:pPr>
        <w:pStyle w:val="15"/>
      </w:pPr>
      <w:r>
        <w:rPr>
          <w:rFonts w:hint="eastAsia"/>
        </w:rPr>
        <w:t>每支队伍配备1台手持定位终端，10台贴片定位终端，用于采集并上报应急救援人员的定位信息。</w:t>
      </w:r>
    </w:p>
    <w:p w14:paraId="76B883D3">
      <w:pPr>
        <w:pStyle w:val="15"/>
      </w:pPr>
      <w:r>
        <w:rPr>
          <w:rFonts w:hint="eastAsia"/>
        </w:rPr>
        <w:t>（2）网络方面</w:t>
      </w:r>
    </w:p>
    <w:p w14:paraId="1FA63BB4">
      <w:pPr>
        <w:pStyle w:val="15"/>
      </w:pPr>
      <w:r>
        <w:rPr>
          <w:rFonts w:hint="eastAsia"/>
        </w:rPr>
        <w:t>每支队伍共配备3台天通猫，2支前突小分队各配备1台，1台灵活调配（如部署在指挥车上），作为应急现场音频的回传设备。天通猫能提供Wi-Fi信号供普通手机接入，通过天通卫星将语音信号传回指挥中心，保障语音通话。</w:t>
      </w:r>
    </w:p>
    <w:p w14:paraId="474D1A38">
      <w:pPr>
        <w:pStyle w:val="15"/>
      </w:pPr>
      <w:r>
        <w:rPr>
          <w:rFonts w:hint="eastAsia"/>
        </w:rPr>
        <w:t>（3）配置清单</w:t>
      </w:r>
    </w:p>
    <w:p w14:paraId="73F3A82A">
      <w:pPr>
        <w:pStyle w:val="15"/>
      </w:pPr>
      <w:r>
        <w:rPr>
          <w:rFonts w:hint="eastAsia"/>
        </w:rPr>
        <w:t>紧急医学救援队前突小分队模块组成图如下：</w:t>
      </w:r>
    </w:p>
    <w:p w14:paraId="65873A95">
      <w:pPr>
        <w:pStyle w:val="44"/>
        <w:spacing w:before="0" w:after="0" w:line="240" w:lineRule="auto"/>
        <w:ind w:firstLine="0" w:firstLineChars="0"/>
        <w:jc w:val="center"/>
        <w:rPr>
          <w:rFonts w:hint="eastAsia"/>
        </w:rPr>
      </w:pPr>
      <w:r>
        <w:drawing>
          <wp:inline distT="0" distB="0" distL="0" distR="0">
            <wp:extent cx="2942590" cy="2971165"/>
            <wp:effectExtent l="0" t="0" r="13970" b="635"/>
            <wp:docPr id="122816355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8163551" name="图片 1"/>
                    <pic:cNvPicPr>
                      <a:picLocks noChangeAspect="1"/>
                    </pic:cNvPicPr>
                  </pic:nvPicPr>
                  <pic:blipFill>
                    <a:blip r:embed="rId9"/>
                    <a:stretch>
                      <a:fillRect/>
                    </a:stretch>
                  </pic:blipFill>
                  <pic:spPr>
                    <a:xfrm>
                      <a:off x="0" y="0"/>
                      <a:ext cx="2942590" cy="2971165"/>
                    </a:xfrm>
                    <a:prstGeom prst="rect">
                      <a:avLst/>
                    </a:prstGeom>
                  </pic:spPr>
                </pic:pic>
              </a:graphicData>
            </a:graphic>
          </wp:inline>
        </w:drawing>
      </w:r>
    </w:p>
    <w:p w14:paraId="0FDF528E">
      <w:pPr>
        <w:pStyle w:val="50"/>
        <w:spacing w:line="240" w:lineRule="auto"/>
        <w:ind w:firstLine="0" w:firstLineChars="0"/>
        <w:jc w:val="center"/>
        <w:rPr>
          <w:rFonts w:hint="eastAsia" w:ascii="黑体" w:hAnsi="黑体" w:eastAsia="黑体" w:cs="黑体"/>
          <w:sz w:val="20"/>
        </w:rPr>
      </w:pPr>
      <w:r>
        <w:rPr>
          <w:rFonts w:hint="eastAsia" w:ascii="黑体" w:hAnsi="黑体" w:eastAsia="黑体" w:cs="黑体"/>
          <w:sz w:val="20"/>
        </w:rPr>
        <w:t>图</w:t>
      </w:r>
      <w:r>
        <w:rPr>
          <w:rFonts w:hint="eastAsia" w:ascii="黑体" w:hAnsi="黑体" w:eastAsia="黑体" w:cs="黑体"/>
          <w:sz w:val="20"/>
        </w:rPr>
        <w:fldChar w:fldCharType="begin"/>
      </w:r>
      <w:r>
        <w:rPr>
          <w:rFonts w:hint="eastAsia" w:ascii="黑体" w:hAnsi="黑体" w:eastAsia="黑体" w:cs="黑体"/>
          <w:sz w:val="20"/>
        </w:rPr>
        <w:instrText xml:space="preserve"> STYLEREF 1 \s </w:instrText>
      </w:r>
      <w:r>
        <w:rPr>
          <w:rFonts w:hint="eastAsia" w:ascii="黑体" w:hAnsi="黑体" w:eastAsia="黑体" w:cs="黑体"/>
          <w:sz w:val="20"/>
        </w:rPr>
        <w:fldChar w:fldCharType="separate"/>
      </w:r>
      <w:r>
        <w:rPr>
          <w:rFonts w:hint="eastAsia" w:ascii="黑体" w:hAnsi="黑体" w:eastAsia="黑体" w:cs="黑体"/>
          <w:sz w:val="20"/>
        </w:rPr>
        <w:t>0</w:t>
      </w:r>
      <w:r>
        <w:rPr>
          <w:rFonts w:hint="eastAsia" w:ascii="黑体" w:hAnsi="黑体" w:eastAsia="黑体" w:cs="黑体"/>
          <w:sz w:val="20"/>
        </w:rPr>
        <w:fldChar w:fldCharType="end"/>
      </w:r>
      <w:r>
        <w:rPr>
          <w:rFonts w:hint="eastAsia" w:ascii="黑体" w:hAnsi="黑体" w:eastAsia="黑体" w:cs="黑体"/>
          <w:sz w:val="20"/>
        </w:rPr>
        <w:noBreakHyphen/>
      </w:r>
      <w:r>
        <w:rPr>
          <w:rFonts w:hint="eastAsia" w:ascii="黑体" w:hAnsi="黑体" w:eastAsia="黑体" w:cs="黑体"/>
          <w:sz w:val="20"/>
        </w:rPr>
        <w:fldChar w:fldCharType="begin"/>
      </w:r>
      <w:r>
        <w:rPr>
          <w:rFonts w:hint="eastAsia" w:ascii="黑体" w:hAnsi="黑体" w:eastAsia="黑体" w:cs="黑体"/>
          <w:sz w:val="20"/>
        </w:rPr>
        <w:instrText xml:space="preserve"> SEQ 图 \* ARABIC \s 1 </w:instrText>
      </w:r>
      <w:r>
        <w:rPr>
          <w:rFonts w:hint="eastAsia" w:ascii="黑体" w:hAnsi="黑体" w:eastAsia="黑体" w:cs="黑体"/>
          <w:sz w:val="20"/>
        </w:rPr>
        <w:fldChar w:fldCharType="separate"/>
      </w:r>
      <w:r>
        <w:rPr>
          <w:rFonts w:hint="eastAsia" w:ascii="黑体" w:hAnsi="黑体" w:eastAsia="黑体" w:cs="黑体"/>
          <w:sz w:val="20"/>
        </w:rPr>
        <w:t>6</w:t>
      </w:r>
      <w:r>
        <w:rPr>
          <w:rFonts w:hint="eastAsia" w:ascii="黑体" w:hAnsi="黑体" w:eastAsia="黑体" w:cs="黑体"/>
          <w:sz w:val="20"/>
        </w:rPr>
        <w:fldChar w:fldCharType="end"/>
      </w:r>
      <w:bookmarkStart w:id="10" w:name="_Toc13589"/>
      <w:bookmarkStart w:id="11" w:name="_Toc7452"/>
      <w:r>
        <w:rPr>
          <w:rFonts w:hint="eastAsia" w:ascii="黑体" w:hAnsi="黑体" w:eastAsia="黑体" w:cs="黑体"/>
          <w:sz w:val="20"/>
        </w:rPr>
        <w:t>前突小分队（紧急应急医学救援队）模块组成</w:t>
      </w:r>
      <w:bookmarkEnd w:id="10"/>
      <w:bookmarkEnd w:id="11"/>
    </w:p>
    <w:p w14:paraId="056EBEB2">
      <w:pPr>
        <w:pStyle w:val="15"/>
      </w:pPr>
      <w:r>
        <w:rPr>
          <w:rFonts w:hint="eastAsia"/>
        </w:rPr>
        <w:t>紧急医学救援队前突小分队配置清单如下：</w:t>
      </w:r>
    </w:p>
    <w:p w14:paraId="0496737B">
      <w:pPr>
        <w:pStyle w:val="19"/>
      </w:pPr>
      <w:r>
        <w:t xml:space="preserve">表 </w:t>
      </w:r>
      <w:r>
        <w:fldChar w:fldCharType="begin"/>
      </w:r>
      <w:r>
        <w:instrText xml:space="preserve"> STYLEREF 1 \s </w:instrText>
      </w:r>
      <w:r>
        <w:fldChar w:fldCharType="separate"/>
      </w:r>
      <w:r>
        <w:t>0</w:t>
      </w:r>
      <w:r>
        <w:rPr>
          <w:rFonts w:hint="eastAsia"/>
        </w:rPr>
        <w:fldChar w:fldCharType="end"/>
      </w:r>
      <w:r>
        <w:rPr>
          <w:rFonts w:hint="eastAsia"/>
        </w:rPr>
        <w:t>-</w:t>
      </w:r>
      <w:r>
        <w:fldChar w:fldCharType="begin"/>
      </w:r>
      <w:r>
        <w:instrText xml:space="preserve"> SEQ 表 \* ARABIC \s 1 </w:instrText>
      </w:r>
      <w:r>
        <w:fldChar w:fldCharType="separate"/>
      </w:r>
      <w:r>
        <w:t>1</w:t>
      </w:r>
      <w:r>
        <w:fldChar w:fldCharType="end"/>
      </w:r>
      <w:bookmarkStart w:id="12" w:name="_Toc31163"/>
      <w:r>
        <w:rPr>
          <w:rFonts w:hint="eastAsia"/>
        </w:rPr>
        <w:t>前突小分队（紧急医学救援队）配置清单表</w:t>
      </w:r>
      <w:bookmarkEnd w:id="12"/>
    </w:p>
    <w:tbl>
      <w:tblPr>
        <w:tblStyle w:val="25"/>
        <w:tblW w:w="4998" w:type="pct"/>
        <w:tblInd w:w="0" w:type="dxa"/>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27"/>
        <w:gridCol w:w="2158"/>
        <w:gridCol w:w="1183"/>
        <w:gridCol w:w="1183"/>
        <w:gridCol w:w="4031"/>
      </w:tblGrid>
      <w:tr w14:paraId="26A1DD42">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blHeader/>
        </w:trPr>
        <w:tc>
          <w:tcPr>
            <w:tcW w:w="392" w:type="pct"/>
            <w:tcBorders>
              <w:tl2br w:val="nil"/>
              <w:tr2bl w:val="nil"/>
            </w:tcBorders>
            <w:shd w:val="clear" w:color="auto" w:fill="BFBFBF"/>
            <w:noWrap/>
            <w:vAlign w:val="center"/>
          </w:tcPr>
          <w:p w14:paraId="1AD8EDBC">
            <w:pPr>
              <w:jc w:val="center"/>
              <w:rPr>
                <w:rFonts w:hint="eastAsia" w:ascii="宋体" w:hAnsi="宋体" w:eastAsia="宋体"/>
                <w:b/>
                <w:bCs/>
              </w:rPr>
            </w:pPr>
            <w:r>
              <w:rPr>
                <w:rFonts w:hint="eastAsia" w:ascii="宋体" w:hAnsi="宋体" w:eastAsia="宋体"/>
                <w:b/>
                <w:bCs/>
              </w:rPr>
              <w:t>序号</w:t>
            </w:r>
          </w:p>
        </w:tc>
        <w:tc>
          <w:tcPr>
            <w:tcW w:w="1162" w:type="pct"/>
            <w:tcBorders>
              <w:tl2br w:val="nil"/>
              <w:tr2bl w:val="nil"/>
            </w:tcBorders>
            <w:shd w:val="clear" w:color="auto" w:fill="BFBFBF"/>
            <w:noWrap/>
            <w:vAlign w:val="center"/>
          </w:tcPr>
          <w:p w14:paraId="0F24F3AE">
            <w:pPr>
              <w:jc w:val="center"/>
              <w:rPr>
                <w:rFonts w:hint="eastAsia" w:ascii="宋体" w:hAnsi="宋体" w:eastAsia="宋体"/>
                <w:b/>
                <w:bCs/>
              </w:rPr>
            </w:pPr>
            <w:r>
              <w:rPr>
                <w:rFonts w:hint="eastAsia" w:ascii="宋体" w:hAnsi="宋体" w:eastAsia="宋体"/>
                <w:b/>
                <w:bCs/>
              </w:rPr>
              <w:t>设备名称</w:t>
            </w:r>
          </w:p>
        </w:tc>
        <w:tc>
          <w:tcPr>
            <w:tcW w:w="637" w:type="pct"/>
            <w:tcBorders>
              <w:tl2br w:val="nil"/>
              <w:tr2bl w:val="nil"/>
            </w:tcBorders>
            <w:shd w:val="clear" w:color="auto" w:fill="BFBFBF"/>
            <w:noWrap/>
            <w:vAlign w:val="center"/>
          </w:tcPr>
          <w:p w14:paraId="17A51E66">
            <w:pPr>
              <w:jc w:val="center"/>
              <w:rPr>
                <w:rFonts w:hint="eastAsia" w:ascii="宋体" w:hAnsi="宋体" w:eastAsia="宋体"/>
                <w:b/>
                <w:bCs/>
              </w:rPr>
            </w:pPr>
            <w:r>
              <w:rPr>
                <w:rFonts w:hint="eastAsia" w:ascii="宋体" w:hAnsi="宋体" w:eastAsia="宋体"/>
                <w:b/>
                <w:bCs/>
              </w:rPr>
              <w:t>单位</w:t>
            </w:r>
          </w:p>
        </w:tc>
        <w:tc>
          <w:tcPr>
            <w:tcW w:w="637" w:type="pct"/>
            <w:tcBorders>
              <w:tl2br w:val="nil"/>
              <w:tr2bl w:val="nil"/>
            </w:tcBorders>
            <w:shd w:val="clear" w:color="auto" w:fill="BFBFBF"/>
            <w:noWrap/>
            <w:vAlign w:val="center"/>
          </w:tcPr>
          <w:p w14:paraId="348BEDC5">
            <w:pPr>
              <w:jc w:val="center"/>
              <w:rPr>
                <w:rFonts w:hint="eastAsia" w:ascii="宋体" w:hAnsi="宋体" w:eastAsia="宋体"/>
                <w:b/>
                <w:bCs/>
              </w:rPr>
            </w:pPr>
            <w:r>
              <w:rPr>
                <w:rFonts w:hint="eastAsia" w:ascii="宋体" w:hAnsi="宋体" w:eastAsia="宋体"/>
                <w:b/>
                <w:bCs/>
              </w:rPr>
              <w:t>数量</w:t>
            </w:r>
          </w:p>
        </w:tc>
        <w:tc>
          <w:tcPr>
            <w:tcW w:w="2171" w:type="pct"/>
            <w:tcBorders>
              <w:tl2br w:val="nil"/>
              <w:tr2bl w:val="nil"/>
            </w:tcBorders>
            <w:shd w:val="clear" w:color="auto" w:fill="BFBFBF"/>
            <w:noWrap/>
            <w:vAlign w:val="center"/>
          </w:tcPr>
          <w:p w14:paraId="772D79AD">
            <w:pPr>
              <w:jc w:val="center"/>
              <w:rPr>
                <w:rFonts w:hint="eastAsia" w:ascii="宋体" w:hAnsi="宋体" w:eastAsia="宋体"/>
                <w:b/>
                <w:bCs/>
              </w:rPr>
            </w:pPr>
            <w:r>
              <w:rPr>
                <w:rFonts w:hint="eastAsia" w:ascii="宋体" w:hAnsi="宋体" w:eastAsia="宋体"/>
                <w:b/>
                <w:bCs/>
              </w:rPr>
              <w:t>备注</w:t>
            </w:r>
          </w:p>
        </w:tc>
      </w:tr>
      <w:tr w14:paraId="4943E489">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392" w:type="pct"/>
            <w:tcBorders>
              <w:tl2br w:val="nil"/>
              <w:tr2bl w:val="nil"/>
            </w:tcBorders>
            <w:noWrap/>
            <w:vAlign w:val="center"/>
          </w:tcPr>
          <w:p w14:paraId="2AB1E6BF">
            <w:pPr>
              <w:jc w:val="center"/>
              <w:rPr>
                <w:rFonts w:hint="eastAsia" w:ascii="宋体" w:hAnsi="宋体" w:eastAsia="宋体"/>
              </w:rPr>
            </w:pPr>
            <w:r>
              <w:rPr>
                <w:rFonts w:hint="eastAsia" w:ascii="宋体" w:hAnsi="宋体" w:eastAsia="宋体"/>
              </w:rPr>
              <w:t>1</w:t>
            </w:r>
          </w:p>
        </w:tc>
        <w:tc>
          <w:tcPr>
            <w:tcW w:w="1162" w:type="pct"/>
            <w:tcBorders>
              <w:tl2br w:val="nil"/>
              <w:tr2bl w:val="nil"/>
            </w:tcBorders>
            <w:noWrap/>
            <w:vAlign w:val="center"/>
          </w:tcPr>
          <w:p w14:paraId="05EE08F4">
            <w:pPr>
              <w:rPr>
                <w:rFonts w:hint="eastAsia" w:ascii="宋体" w:hAnsi="宋体" w:eastAsia="宋体"/>
              </w:rPr>
            </w:pPr>
            <w:r>
              <w:rPr>
                <w:rFonts w:hint="eastAsia" w:ascii="宋体" w:hAnsi="宋体" w:eastAsia="宋体"/>
              </w:rPr>
              <w:t>卫星电话</w:t>
            </w:r>
          </w:p>
        </w:tc>
        <w:tc>
          <w:tcPr>
            <w:tcW w:w="637" w:type="pct"/>
            <w:tcBorders>
              <w:tl2br w:val="nil"/>
              <w:tr2bl w:val="nil"/>
            </w:tcBorders>
            <w:noWrap/>
            <w:vAlign w:val="center"/>
          </w:tcPr>
          <w:p w14:paraId="17DA2AC5">
            <w:pPr>
              <w:jc w:val="center"/>
              <w:rPr>
                <w:rFonts w:hint="eastAsia" w:ascii="宋体" w:hAnsi="宋体" w:eastAsia="宋体"/>
              </w:rPr>
            </w:pPr>
            <w:r>
              <w:rPr>
                <w:rFonts w:hint="eastAsia" w:ascii="宋体" w:hAnsi="宋体" w:eastAsia="宋体"/>
              </w:rPr>
              <w:t>台</w:t>
            </w:r>
          </w:p>
        </w:tc>
        <w:tc>
          <w:tcPr>
            <w:tcW w:w="637" w:type="pct"/>
            <w:tcBorders>
              <w:tl2br w:val="nil"/>
              <w:tr2bl w:val="nil"/>
            </w:tcBorders>
            <w:noWrap/>
            <w:vAlign w:val="center"/>
          </w:tcPr>
          <w:p w14:paraId="27A78EE6">
            <w:pPr>
              <w:jc w:val="center"/>
              <w:rPr>
                <w:rFonts w:hint="eastAsia" w:ascii="宋体" w:hAnsi="宋体" w:eastAsia="宋体"/>
              </w:rPr>
            </w:pPr>
            <w:r>
              <w:rPr>
                <w:rFonts w:hint="eastAsia" w:ascii="宋体" w:hAnsi="宋体" w:eastAsia="宋体"/>
              </w:rPr>
              <w:t>21</w:t>
            </w:r>
          </w:p>
        </w:tc>
        <w:tc>
          <w:tcPr>
            <w:tcW w:w="2171" w:type="pct"/>
            <w:tcBorders>
              <w:tl2br w:val="nil"/>
              <w:tr2bl w:val="nil"/>
            </w:tcBorders>
            <w:noWrap/>
            <w:vAlign w:val="center"/>
          </w:tcPr>
          <w:p w14:paraId="6221E465">
            <w:pPr>
              <w:rPr>
                <w:rFonts w:hint="eastAsia" w:ascii="宋体" w:hAnsi="宋体" w:eastAsia="宋体"/>
              </w:rPr>
            </w:pPr>
            <w:r>
              <w:rPr>
                <w:rFonts w:hint="eastAsia" w:ascii="宋体" w:hAnsi="宋体" w:eastAsia="宋体"/>
              </w:rPr>
              <w:t>规划21支队伍，每支队伍配1台</w:t>
            </w:r>
          </w:p>
        </w:tc>
      </w:tr>
      <w:tr w14:paraId="02330E83">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392" w:type="pct"/>
            <w:tcBorders>
              <w:tl2br w:val="nil"/>
              <w:tr2bl w:val="nil"/>
            </w:tcBorders>
            <w:noWrap/>
            <w:vAlign w:val="center"/>
          </w:tcPr>
          <w:p w14:paraId="4CA3408C">
            <w:pPr>
              <w:jc w:val="center"/>
              <w:rPr>
                <w:rFonts w:hint="eastAsia" w:ascii="宋体" w:hAnsi="宋体" w:eastAsia="宋体"/>
              </w:rPr>
            </w:pPr>
            <w:r>
              <w:rPr>
                <w:rFonts w:hint="eastAsia" w:ascii="宋体" w:hAnsi="宋体" w:eastAsia="宋体"/>
              </w:rPr>
              <w:t>2</w:t>
            </w:r>
          </w:p>
        </w:tc>
        <w:tc>
          <w:tcPr>
            <w:tcW w:w="1162" w:type="pct"/>
            <w:tcBorders>
              <w:tl2br w:val="nil"/>
              <w:tr2bl w:val="nil"/>
            </w:tcBorders>
            <w:noWrap/>
            <w:vAlign w:val="center"/>
          </w:tcPr>
          <w:p w14:paraId="2DF02077">
            <w:pPr>
              <w:rPr>
                <w:rFonts w:hint="eastAsia" w:ascii="宋体" w:hAnsi="宋体" w:eastAsia="宋体"/>
              </w:rPr>
            </w:pPr>
            <w:r>
              <w:rPr>
                <w:rFonts w:hint="eastAsia" w:ascii="宋体" w:hAnsi="宋体" w:eastAsia="宋体"/>
              </w:rPr>
              <w:t>布控球</w:t>
            </w:r>
          </w:p>
        </w:tc>
        <w:tc>
          <w:tcPr>
            <w:tcW w:w="637" w:type="pct"/>
            <w:tcBorders>
              <w:tl2br w:val="nil"/>
              <w:tr2bl w:val="nil"/>
            </w:tcBorders>
            <w:noWrap/>
            <w:vAlign w:val="center"/>
          </w:tcPr>
          <w:p w14:paraId="701A3464">
            <w:pPr>
              <w:jc w:val="center"/>
              <w:rPr>
                <w:rFonts w:hint="eastAsia" w:ascii="宋体" w:hAnsi="宋体" w:eastAsia="宋体"/>
              </w:rPr>
            </w:pPr>
            <w:r>
              <w:rPr>
                <w:rFonts w:hint="eastAsia" w:ascii="宋体" w:hAnsi="宋体" w:eastAsia="宋体"/>
              </w:rPr>
              <w:t>个</w:t>
            </w:r>
          </w:p>
        </w:tc>
        <w:tc>
          <w:tcPr>
            <w:tcW w:w="637" w:type="pct"/>
            <w:tcBorders>
              <w:tl2br w:val="nil"/>
              <w:tr2bl w:val="nil"/>
            </w:tcBorders>
            <w:noWrap/>
            <w:vAlign w:val="center"/>
          </w:tcPr>
          <w:p w14:paraId="3858E540">
            <w:pPr>
              <w:jc w:val="center"/>
              <w:rPr>
                <w:rFonts w:hint="eastAsia" w:ascii="宋体" w:hAnsi="宋体" w:eastAsia="宋体"/>
              </w:rPr>
            </w:pPr>
            <w:r>
              <w:rPr>
                <w:rFonts w:hint="eastAsia" w:ascii="宋体" w:hAnsi="宋体" w:eastAsia="宋体"/>
              </w:rPr>
              <w:t>1</w:t>
            </w:r>
          </w:p>
        </w:tc>
        <w:tc>
          <w:tcPr>
            <w:tcW w:w="2171" w:type="pct"/>
            <w:tcBorders>
              <w:tl2br w:val="nil"/>
              <w:tr2bl w:val="nil"/>
            </w:tcBorders>
            <w:noWrap/>
            <w:vAlign w:val="center"/>
          </w:tcPr>
          <w:p w14:paraId="455FAB15">
            <w:pPr>
              <w:rPr>
                <w:rFonts w:hint="eastAsia" w:ascii="宋体" w:hAnsi="宋体" w:eastAsia="宋体"/>
              </w:rPr>
            </w:pPr>
            <w:r>
              <w:rPr>
                <w:rFonts w:hint="eastAsia" w:ascii="宋体" w:hAnsi="宋体" w:eastAsia="宋体"/>
              </w:rPr>
              <w:t>规划21支队伍，每支队伍配1个</w:t>
            </w:r>
          </w:p>
        </w:tc>
      </w:tr>
      <w:tr w14:paraId="6F771F84">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392" w:type="pct"/>
            <w:tcBorders>
              <w:tl2br w:val="nil"/>
              <w:tr2bl w:val="nil"/>
            </w:tcBorders>
            <w:noWrap/>
            <w:vAlign w:val="center"/>
          </w:tcPr>
          <w:p w14:paraId="7BC06ECF">
            <w:pPr>
              <w:jc w:val="center"/>
              <w:rPr>
                <w:rFonts w:hint="eastAsia" w:ascii="宋体" w:hAnsi="宋体" w:eastAsia="宋体"/>
              </w:rPr>
            </w:pPr>
            <w:r>
              <w:rPr>
                <w:rFonts w:hint="eastAsia" w:ascii="宋体" w:hAnsi="宋体" w:eastAsia="宋体"/>
              </w:rPr>
              <w:t>3</w:t>
            </w:r>
          </w:p>
        </w:tc>
        <w:tc>
          <w:tcPr>
            <w:tcW w:w="1162" w:type="pct"/>
            <w:tcBorders>
              <w:tl2br w:val="nil"/>
              <w:tr2bl w:val="nil"/>
            </w:tcBorders>
            <w:noWrap/>
            <w:vAlign w:val="center"/>
          </w:tcPr>
          <w:p w14:paraId="2067F663">
            <w:pPr>
              <w:rPr>
                <w:rFonts w:hint="eastAsia" w:ascii="宋体" w:hAnsi="宋体" w:eastAsia="宋体"/>
              </w:rPr>
            </w:pPr>
            <w:r>
              <w:rPr>
                <w:rFonts w:hint="eastAsia" w:ascii="宋体" w:hAnsi="宋体" w:eastAsia="宋体"/>
              </w:rPr>
              <w:t>单兵记录仪</w:t>
            </w:r>
          </w:p>
        </w:tc>
        <w:tc>
          <w:tcPr>
            <w:tcW w:w="637" w:type="pct"/>
            <w:tcBorders>
              <w:tl2br w:val="nil"/>
              <w:tr2bl w:val="nil"/>
            </w:tcBorders>
            <w:noWrap/>
            <w:vAlign w:val="center"/>
          </w:tcPr>
          <w:p w14:paraId="4F63EFD5">
            <w:pPr>
              <w:jc w:val="center"/>
              <w:rPr>
                <w:rFonts w:hint="eastAsia" w:ascii="宋体" w:hAnsi="宋体" w:eastAsia="宋体"/>
              </w:rPr>
            </w:pPr>
            <w:r>
              <w:rPr>
                <w:rFonts w:hint="eastAsia" w:ascii="宋体" w:hAnsi="宋体" w:eastAsia="宋体"/>
              </w:rPr>
              <w:t>台</w:t>
            </w:r>
          </w:p>
        </w:tc>
        <w:tc>
          <w:tcPr>
            <w:tcW w:w="637" w:type="pct"/>
            <w:tcBorders>
              <w:tl2br w:val="nil"/>
              <w:tr2bl w:val="nil"/>
            </w:tcBorders>
            <w:noWrap/>
            <w:vAlign w:val="center"/>
          </w:tcPr>
          <w:p w14:paraId="47F49D3D">
            <w:pPr>
              <w:jc w:val="center"/>
              <w:rPr>
                <w:rFonts w:hint="eastAsia" w:ascii="宋体" w:hAnsi="宋体" w:eastAsia="宋体"/>
              </w:rPr>
            </w:pPr>
            <w:r>
              <w:rPr>
                <w:rFonts w:hint="eastAsia" w:ascii="宋体" w:hAnsi="宋体" w:eastAsia="宋体"/>
              </w:rPr>
              <w:t>105</w:t>
            </w:r>
          </w:p>
        </w:tc>
        <w:tc>
          <w:tcPr>
            <w:tcW w:w="2171" w:type="pct"/>
            <w:tcBorders>
              <w:tl2br w:val="nil"/>
              <w:tr2bl w:val="nil"/>
            </w:tcBorders>
            <w:noWrap/>
            <w:vAlign w:val="center"/>
          </w:tcPr>
          <w:p w14:paraId="0E41055B">
            <w:pPr>
              <w:rPr>
                <w:rFonts w:hint="eastAsia" w:ascii="宋体" w:hAnsi="宋体" w:eastAsia="宋体"/>
              </w:rPr>
            </w:pPr>
            <w:r>
              <w:rPr>
                <w:rFonts w:hint="eastAsia" w:ascii="宋体" w:hAnsi="宋体" w:eastAsia="宋体"/>
              </w:rPr>
              <w:t>规划21支队伍，每支队伍配5台</w:t>
            </w:r>
          </w:p>
        </w:tc>
      </w:tr>
      <w:tr w14:paraId="29B6BB78">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392" w:type="pct"/>
            <w:tcBorders>
              <w:tl2br w:val="nil"/>
              <w:tr2bl w:val="nil"/>
            </w:tcBorders>
            <w:noWrap/>
            <w:vAlign w:val="center"/>
          </w:tcPr>
          <w:p w14:paraId="4800F247">
            <w:pPr>
              <w:jc w:val="center"/>
              <w:rPr>
                <w:rFonts w:hint="eastAsia" w:ascii="宋体" w:hAnsi="宋体" w:eastAsia="宋体"/>
              </w:rPr>
            </w:pPr>
            <w:r>
              <w:rPr>
                <w:rFonts w:hint="eastAsia" w:ascii="宋体" w:hAnsi="宋体" w:eastAsia="宋体"/>
              </w:rPr>
              <w:t>4</w:t>
            </w:r>
          </w:p>
        </w:tc>
        <w:tc>
          <w:tcPr>
            <w:tcW w:w="1162" w:type="pct"/>
            <w:tcBorders>
              <w:tl2br w:val="nil"/>
              <w:tr2bl w:val="nil"/>
            </w:tcBorders>
            <w:noWrap/>
            <w:vAlign w:val="center"/>
          </w:tcPr>
          <w:p w14:paraId="675B7A36">
            <w:pPr>
              <w:rPr>
                <w:rFonts w:hint="eastAsia" w:ascii="宋体" w:hAnsi="宋体" w:eastAsia="宋体"/>
              </w:rPr>
            </w:pPr>
            <w:r>
              <w:rPr>
                <w:rFonts w:hint="eastAsia" w:ascii="宋体" w:hAnsi="宋体" w:eastAsia="宋体"/>
              </w:rPr>
              <w:t>手持单北斗定位终端</w:t>
            </w:r>
          </w:p>
        </w:tc>
        <w:tc>
          <w:tcPr>
            <w:tcW w:w="637" w:type="pct"/>
            <w:tcBorders>
              <w:tl2br w:val="nil"/>
              <w:tr2bl w:val="nil"/>
            </w:tcBorders>
            <w:noWrap/>
            <w:vAlign w:val="center"/>
          </w:tcPr>
          <w:p w14:paraId="3B6C6374">
            <w:pPr>
              <w:jc w:val="center"/>
              <w:rPr>
                <w:rFonts w:hint="eastAsia" w:ascii="宋体" w:hAnsi="宋体" w:eastAsia="宋体"/>
              </w:rPr>
            </w:pPr>
            <w:r>
              <w:rPr>
                <w:rFonts w:hint="eastAsia" w:ascii="宋体" w:hAnsi="宋体" w:eastAsia="宋体"/>
              </w:rPr>
              <w:t>台</w:t>
            </w:r>
          </w:p>
        </w:tc>
        <w:tc>
          <w:tcPr>
            <w:tcW w:w="637" w:type="pct"/>
            <w:tcBorders>
              <w:tl2br w:val="nil"/>
              <w:tr2bl w:val="nil"/>
            </w:tcBorders>
            <w:noWrap/>
            <w:vAlign w:val="center"/>
          </w:tcPr>
          <w:p w14:paraId="483019F4">
            <w:pPr>
              <w:jc w:val="center"/>
              <w:rPr>
                <w:rFonts w:hint="eastAsia" w:ascii="宋体" w:hAnsi="宋体" w:eastAsia="宋体"/>
              </w:rPr>
            </w:pPr>
            <w:r>
              <w:rPr>
                <w:rFonts w:hint="eastAsia" w:ascii="宋体" w:hAnsi="宋体" w:eastAsia="宋体"/>
              </w:rPr>
              <w:t>21</w:t>
            </w:r>
          </w:p>
        </w:tc>
        <w:tc>
          <w:tcPr>
            <w:tcW w:w="2171" w:type="pct"/>
            <w:tcBorders>
              <w:tl2br w:val="nil"/>
              <w:tr2bl w:val="nil"/>
            </w:tcBorders>
            <w:noWrap/>
            <w:vAlign w:val="center"/>
          </w:tcPr>
          <w:p w14:paraId="7860840C">
            <w:pPr>
              <w:rPr>
                <w:rFonts w:hint="eastAsia" w:ascii="宋体" w:hAnsi="宋体" w:eastAsia="宋体"/>
              </w:rPr>
            </w:pPr>
            <w:r>
              <w:rPr>
                <w:rFonts w:hint="eastAsia" w:ascii="宋体" w:hAnsi="宋体" w:eastAsia="宋体"/>
              </w:rPr>
              <w:t>规划21支队伍，每支队伍配1台</w:t>
            </w:r>
          </w:p>
        </w:tc>
      </w:tr>
      <w:tr w14:paraId="1CD40EB7">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392" w:type="pct"/>
            <w:tcBorders>
              <w:tl2br w:val="nil"/>
              <w:tr2bl w:val="nil"/>
            </w:tcBorders>
            <w:noWrap/>
            <w:vAlign w:val="center"/>
          </w:tcPr>
          <w:p w14:paraId="6242AEDA">
            <w:pPr>
              <w:jc w:val="center"/>
              <w:rPr>
                <w:rFonts w:hint="eastAsia" w:ascii="宋体" w:hAnsi="宋体" w:eastAsia="宋体"/>
              </w:rPr>
            </w:pPr>
            <w:r>
              <w:rPr>
                <w:rFonts w:hint="eastAsia" w:ascii="宋体" w:hAnsi="宋体" w:eastAsia="宋体"/>
              </w:rPr>
              <w:t>5</w:t>
            </w:r>
          </w:p>
        </w:tc>
        <w:tc>
          <w:tcPr>
            <w:tcW w:w="1162" w:type="pct"/>
            <w:tcBorders>
              <w:tl2br w:val="nil"/>
              <w:tr2bl w:val="nil"/>
            </w:tcBorders>
            <w:noWrap/>
            <w:vAlign w:val="center"/>
          </w:tcPr>
          <w:p w14:paraId="333ACD3E">
            <w:pPr>
              <w:rPr>
                <w:rFonts w:hint="eastAsia" w:ascii="宋体" w:hAnsi="宋体" w:eastAsia="宋体"/>
              </w:rPr>
            </w:pPr>
            <w:r>
              <w:rPr>
                <w:rFonts w:hint="eastAsia" w:ascii="宋体" w:hAnsi="宋体" w:eastAsia="宋体"/>
              </w:rPr>
              <w:t>贴片定位终端</w:t>
            </w:r>
          </w:p>
        </w:tc>
        <w:tc>
          <w:tcPr>
            <w:tcW w:w="637" w:type="pct"/>
            <w:tcBorders>
              <w:tl2br w:val="nil"/>
              <w:tr2bl w:val="nil"/>
            </w:tcBorders>
            <w:noWrap/>
            <w:vAlign w:val="center"/>
          </w:tcPr>
          <w:p w14:paraId="71E09A83">
            <w:pPr>
              <w:jc w:val="center"/>
              <w:rPr>
                <w:rFonts w:hint="eastAsia" w:ascii="宋体" w:hAnsi="宋体" w:eastAsia="宋体"/>
              </w:rPr>
            </w:pPr>
            <w:r>
              <w:rPr>
                <w:rFonts w:hint="eastAsia" w:ascii="宋体" w:hAnsi="宋体" w:eastAsia="宋体"/>
              </w:rPr>
              <w:t>个</w:t>
            </w:r>
          </w:p>
        </w:tc>
        <w:tc>
          <w:tcPr>
            <w:tcW w:w="637" w:type="pct"/>
            <w:tcBorders>
              <w:tl2br w:val="nil"/>
              <w:tr2bl w:val="nil"/>
            </w:tcBorders>
            <w:noWrap/>
            <w:vAlign w:val="center"/>
          </w:tcPr>
          <w:p w14:paraId="50948F5F">
            <w:pPr>
              <w:jc w:val="center"/>
              <w:rPr>
                <w:rFonts w:hint="eastAsia" w:ascii="宋体" w:hAnsi="宋体" w:eastAsia="宋体"/>
              </w:rPr>
            </w:pPr>
            <w:r>
              <w:rPr>
                <w:rFonts w:hint="eastAsia" w:ascii="宋体" w:hAnsi="宋体" w:eastAsia="宋体"/>
              </w:rPr>
              <w:t>210</w:t>
            </w:r>
          </w:p>
        </w:tc>
        <w:tc>
          <w:tcPr>
            <w:tcW w:w="2171" w:type="pct"/>
            <w:tcBorders>
              <w:tl2br w:val="nil"/>
              <w:tr2bl w:val="nil"/>
            </w:tcBorders>
            <w:noWrap/>
            <w:vAlign w:val="center"/>
          </w:tcPr>
          <w:p w14:paraId="6E4D0C0C">
            <w:pPr>
              <w:rPr>
                <w:rFonts w:hint="eastAsia" w:ascii="宋体" w:hAnsi="宋体" w:eastAsia="宋体"/>
              </w:rPr>
            </w:pPr>
            <w:r>
              <w:rPr>
                <w:rFonts w:hint="eastAsia" w:ascii="宋体" w:hAnsi="宋体" w:eastAsia="宋体"/>
              </w:rPr>
              <w:t>规划21支队伍，每支队伍配10台</w:t>
            </w:r>
          </w:p>
        </w:tc>
      </w:tr>
      <w:tr w14:paraId="62258EE8">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392" w:type="pct"/>
            <w:tcBorders>
              <w:tl2br w:val="nil"/>
              <w:tr2bl w:val="nil"/>
            </w:tcBorders>
            <w:noWrap/>
            <w:vAlign w:val="center"/>
          </w:tcPr>
          <w:p w14:paraId="0E453AC1">
            <w:pPr>
              <w:jc w:val="center"/>
              <w:rPr>
                <w:rFonts w:hint="eastAsia" w:ascii="宋体" w:hAnsi="宋体" w:eastAsia="宋体"/>
              </w:rPr>
            </w:pPr>
            <w:r>
              <w:rPr>
                <w:rFonts w:hint="eastAsia" w:ascii="宋体" w:hAnsi="宋体" w:eastAsia="宋体"/>
              </w:rPr>
              <w:t>6</w:t>
            </w:r>
          </w:p>
        </w:tc>
        <w:tc>
          <w:tcPr>
            <w:tcW w:w="1162" w:type="pct"/>
            <w:tcBorders>
              <w:tl2br w:val="nil"/>
              <w:tr2bl w:val="nil"/>
            </w:tcBorders>
            <w:noWrap/>
            <w:vAlign w:val="center"/>
          </w:tcPr>
          <w:p w14:paraId="10EBC167">
            <w:pPr>
              <w:rPr>
                <w:rFonts w:hint="eastAsia" w:ascii="宋体" w:hAnsi="宋体" w:eastAsia="宋体"/>
              </w:rPr>
            </w:pPr>
            <w:r>
              <w:rPr>
                <w:rFonts w:hint="eastAsia" w:ascii="宋体" w:hAnsi="宋体" w:eastAsia="宋体"/>
              </w:rPr>
              <w:t>天通猫</w:t>
            </w:r>
          </w:p>
        </w:tc>
        <w:tc>
          <w:tcPr>
            <w:tcW w:w="637" w:type="pct"/>
            <w:tcBorders>
              <w:tl2br w:val="nil"/>
              <w:tr2bl w:val="nil"/>
            </w:tcBorders>
            <w:noWrap/>
            <w:vAlign w:val="center"/>
          </w:tcPr>
          <w:p w14:paraId="3F67443D">
            <w:pPr>
              <w:jc w:val="center"/>
              <w:rPr>
                <w:rFonts w:hint="eastAsia" w:ascii="宋体" w:hAnsi="宋体" w:eastAsia="宋体"/>
              </w:rPr>
            </w:pPr>
            <w:r>
              <w:rPr>
                <w:rFonts w:hint="eastAsia" w:ascii="宋体" w:hAnsi="宋体" w:eastAsia="宋体"/>
              </w:rPr>
              <w:t>台</w:t>
            </w:r>
          </w:p>
        </w:tc>
        <w:tc>
          <w:tcPr>
            <w:tcW w:w="637" w:type="pct"/>
            <w:tcBorders>
              <w:tl2br w:val="nil"/>
              <w:tr2bl w:val="nil"/>
            </w:tcBorders>
            <w:noWrap/>
            <w:vAlign w:val="center"/>
          </w:tcPr>
          <w:p w14:paraId="77B1BE5C">
            <w:pPr>
              <w:jc w:val="center"/>
              <w:rPr>
                <w:rFonts w:hint="eastAsia" w:ascii="宋体" w:hAnsi="宋体" w:eastAsia="宋体"/>
              </w:rPr>
            </w:pPr>
            <w:r>
              <w:rPr>
                <w:rFonts w:hint="eastAsia" w:ascii="宋体" w:hAnsi="宋体" w:eastAsia="宋体"/>
              </w:rPr>
              <w:t>63</w:t>
            </w:r>
          </w:p>
        </w:tc>
        <w:tc>
          <w:tcPr>
            <w:tcW w:w="2171" w:type="pct"/>
            <w:tcBorders>
              <w:tl2br w:val="nil"/>
              <w:tr2bl w:val="nil"/>
            </w:tcBorders>
            <w:noWrap/>
            <w:vAlign w:val="center"/>
          </w:tcPr>
          <w:p w14:paraId="78E0C654">
            <w:pPr>
              <w:rPr>
                <w:rFonts w:hint="eastAsia" w:ascii="宋体" w:hAnsi="宋体" w:eastAsia="宋体"/>
              </w:rPr>
            </w:pPr>
            <w:r>
              <w:rPr>
                <w:rFonts w:hint="eastAsia" w:ascii="宋体" w:hAnsi="宋体" w:eastAsia="宋体"/>
              </w:rPr>
              <w:t>规划21支队伍，每支队伍配3台</w:t>
            </w:r>
          </w:p>
        </w:tc>
      </w:tr>
    </w:tbl>
    <w:p w14:paraId="55E84700">
      <w:pPr>
        <w:pStyle w:val="15"/>
      </w:pPr>
      <w:r>
        <w:rPr>
          <w:rFonts w:hint="eastAsia"/>
        </w:rPr>
        <w:t>3.设备携带情况说明</w:t>
      </w:r>
    </w:p>
    <w:p w14:paraId="4AF8BA58">
      <w:pPr>
        <w:pStyle w:val="15"/>
      </w:pPr>
      <w:r>
        <w:rPr>
          <w:rFonts w:hint="eastAsia"/>
        </w:rPr>
        <w:t>紧急应急医学救援队伍配置的设备简单、实用，且体积小，1人即可携带。每个小分队必备的设备是：卫星电话1台、单兵记录仪若干台（具体数量可根据小分队的人数来定）、布控球1个、贴片定位终端若干、天通猫若干个（具体数量可根据小分队的人数来定）。</w:t>
      </w:r>
    </w:p>
    <w:p w14:paraId="431198A9">
      <w:pPr>
        <w:pStyle w:val="10"/>
        <w:keepNext/>
        <w:keepLines/>
        <w:pageBreakBefore w:val="0"/>
        <w:widowControl w:val="0"/>
        <w:tabs>
          <w:tab w:val="left" w:pos="0"/>
        </w:tabs>
        <w:kinsoku/>
        <w:wordWrap/>
        <w:overflowPunct/>
        <w:topLinePunct w:val="0"/>
        <w:autoSpaceDE/>
        <w:autoSpaceDN/>
        <w:bidi w:val="0"/>
        <w:adjustRightInd/>
        <w:snapToGrid/>
        <w:spacing w:line="320" w:lineRule="auto"/>
        <w:ind w:left="0"/>
        <w:textAlignment w:val="auto"/>
      </w:pPr>
      <w:r>
        <w:rPr>
          <w:rFonts w:hint="eastAsia"/>
        </w:rPr>
        <w:t>国家紧急医学救援队前突小分队</w:t>
      </w:r>
    </w:p>
    <w:p w14:paraId="151A6B4E">
      <w:pPr>
        <w:pStyle w:val="15"/>
      </w:pPr>
      <w:r>
        <w:rPr>
          <w:rFonts w:hint="eastAsia"/>
        </w:rPr>
        <w:t>1.配置原则</w:t>
      </w:r>
    </w:p>
    <w:p w14:paraId="319355FF">
      <w:pPr>
        <w:pStyle w:val="15"/>
      </w:pPr>
      <w:r>
        <w:rPr>
          <w:rFonts w:hint="eastAsia"/>
        </w:rPr>
        <w:t>国家紧急医学救援队是福建省紧急应急医学救援的核心，规划1支队伍，总人数76人，拟扩充至150人；能拆分成多个前突队，前突队中1个小分队部署在主战场，装备配置齐全，能独立地提供音视频回传通道，同时也用于支援极端情况下（应急现场无公网信号、通信指挥车无法到达且无法提供应急通信车、空中应急通信服务保障）其它地区的应急通信保障；其余小分队配置简单的通信设备，能满足小分队只有1人时也能方便携带实施救援。本期拟考虑两类队伍：车载型队伍、帐篷型队伍，当车载型队伍与帐篷型队伍分开的情况下，保证两类队伍均具备通信保障能力。</w:t>
      </w:r>
    </w:p>
    <w:p w14:paraId="7C56D620">
      <w:pPr>
        <w:pStyle w:val="15"/>
      </w:pPr>
      <w:r>
        <w:rPr>
          <w:rFonts w:hint="eastAsia"/>
        </w:rPr>
        <w:t>应急保障设备根据应急现场的实际情况灵活调配，以满足不同规模不同场景的救援行动。</w:t>
      </w:r>
    </w:p>
    <w:p w14:paraId="2A617633">
      <w:pPr>
        <w:pStyle w:val="15"/>
      </w:pPr>
      <w:r>
        <w:rPr>
          <w:rFonts w:hint="eastAsia"/>
        </w:rPr>
        <w:t>2.设备配置说明</w:t>
      </w:r>
    </w:p>
    <w:p w14:paraId="78003DA5">
      <w:pPr>
        <w:pStyle w:val="15"/>
      </w:pPr>
      <w:r>
        <w:rPr>
          <w:rFonts w:hint="eastAsia"/>
        </w:rPr>
        <w:t>（1）灾难现场办公设备</w:t>
      </w:r>
    </w:p>
    <w:p w14:paraId="3C49C8D8">
      <w:pPr>
        <w:pStyle w:val="15"/>
      </w:pPr>
      <w:r>
        <w:rPr>
          <w:rFonts w:hint="eastAsia"/>
        </w:rPr>
        <w:t>为保障国家紧急医学救援队在车载型队伍与帐篷型队伍分开的情况下能够正常办公，本期部分主要设备拟部署复数以上数量，本期配置2台三防加固终端（加固型电脑）、2台打印机、2台投影仪（折叠投影布）、1架相机、2个云台相机、1台聚合路由、1台交换机、2台无线路由、6套室外无线基站（含升降杆）（其中利旧3套）、2台无线控制器（其中利旧1台）。</w:t>
      </w:r>
    </w:p>
    <w:p w14:paraId="75AAE181">
      <w:pPr>
        <w:pStyle w:val="15"/>
      </w:pPr>
      <w:r>
        <w:rPr>
          <w:rFonts w:hint="eastAsia"/>
        </w:rPr>
        <w:t>（2）终端方面</w:t>
      </w:r>
    </w:p>
    <w:p w14:paraId="379A064D">
      <w:pPr>
        <w:pStyle w:val="15"/>
        <w:keepNext w:val="0"/>
        <w:keepLines w:val="0"/>
        <w:pageBreakBefore w:val="0"/>
        <w:widowControl w:val="0"/>
        <w:kinsoku/>
        <w:wordWrap/>
        <w:overflowPunct/>
        <w:topLinePunct w:val="0"/>
        <w:autoSpaceDE/>
        <w:autoSpaceDN/>
        <w:bidi w:val="0"/>
        <w:adjustRightInd/>
        <w:snapToGrid/>
        <w:textAlignment w:val="auto"/>
      </w:pPr>
      <w:r>
        <w:rPr>
          <w:rFonts w:hint="eastAsia"/>
        </w:rPr>
        <w:t>整个前突队共配备4个布控球（其中利旧2个）、4副单兵眼镜、20台单兵记录仪、4个智能头盔、5台手持单北斗定位终端、150个贴片定位终端、10台双模对讲机、1台卫星电话。</w:t>
      </w:r>
    </w:p>
    <w:p w14:paraId="2AF09C4E">
      <w:pPr>
        <w:pStyle w:val="15"/>
      </w:pPr>
      <w:r>
        <w:rPr>
          <w:rFonts w:hint="eastAsia"/>
        </w:rPr>
        <w:t>（3）网络方面</w:t>
      </w:r>
    </w:p>
    <w:p w14:paraId="6BA91820">
      <w:pPr>
        <w:pStyle w:val="15"/>
      </w:pPr>
      <w:r>
        <w:rPr>
          <w:rFonts w:hint="eastAsia"/>
        </w:rPr>
        <w:t>整个前突队共配备1台卫星便携站、2台现场单兵宽带自组网通信机、5台天通猫作为应急现场音视频的回传设备。</w:t>
      </w:r>
    </w:p>
    <w:p w14:paraId="510F81E1">
      <w:pPr>
        <w:pStyle w:val="15"/>
      </w:pPr>
      <w:r>
        <w:rPr>
          <w:rFonts w:hint="eastAsia"/>
        </w:rPr>
        <w:t>在主战场配备1台卫星便携站，灵活调配。卫星便携站除了能为Mesh自组网提供音视频回传通道外，其自身还能提供Wi-Fi信号，直接为双模对讲机、布控球、智能头盔、单兵记录仪、单兵眼镜提供音视频回传通道。</w:t>
      </w:r>
    </w:p>
    <w:p w14:paraId="5AF67120">
      <w:pPr>
        <w:pStyle w:val="15"/>
      </w:pPr>
      <w:r>
        <w:rPr>
          <w:rFonts w:hint="eastAsia"/>
        </w:rPr>
        <w:t>在主战场配备1台Mesh自组网背负电台，并备用1台灵活调配。Mesh自组网背负电台能提供宽带或Wi-Fi信号供双模对讲机、布控球、智能头盔、单兵记录仪、单兵眼镜接入，传输音视频；其能通过前突队配备的卫星便携站或通信指挥车上的宽带自组网中继通信机进行回传。</w:t>
      </w:r>
    </w:p>
    <w:p w14:paraId="3B5EB10A">
      <w:pPr>
        <w:pStyle w:val="15"/>
      </w:pPr>
      <w:r>
        <w:rPr>
          <w:rFonts w:hint="eastAsia"/>
        </w:rPr>
        <w:t>每支小分队配备1台天通猫。天通猫能提供Wi-Fi信号供双模对讲机接入，通过天通卫星将语音信号传回指挥中心，保障语音通话。</w:t>
      </w:r>
    </w:p>
    <w:p w14:paraId="3ABAB35C">
      <w:pPr>
        <w:pStyle w:val="15"/>
      </w:pPr>
      <w:r>
        <w:rPr>
          <w:rFonts w:hint="eastAsia"/>
        </w:rPr>
        <w:t>（4）通信指挥车</w:t>
      </w:r>
    </w:p>
    <w:p w14:paraId="277FAB63">
      <w:pPr>
        <w:pStyle w:val="15"/>
      </w:pPr>
      <w:r>
        <w:rPr>
          <w:rFonts w:hint="eastAsia"/>
        </w:rPr>
        <w:t>通信指挥车模块是移动的指挥中枢，当应急情况发生时，能将前突队运输到离应急现场最近的地方，其除了能为前突队提供网络支撑、物资补给等作用外，还是移动的指挥中枢。本项目部署一台通信指挥车（利旧）。</w:t>
      </w:r>
    </w:p>
    <w:p w14:paraId="67DEBC12">
      <w:pPr>
        <w:pStyle w:val="15"/>
      </w:pPr>
      <w:r>
        <w:rPr>
          <w:rFonts w:hint="eastAsia"/>
        </w:rPr>
        <w:t>在终端方面，部署1台云台摄像机（利旧）采集通信指挥车周边的音视频信号；配备1台车辆单北斗定位终端用于上报车辆的定位信息。</w:t>
      </w:r>
    </w:p>
    <w:p w14:paraId="66E1E6D6">
      <w:pPr>
        <w:pStyle w:val="15"/>
      </w:pPr>
      <w:r>
        <w:rPr>
          <w:rFonts w:hint="eastAsia"/>
        </w:rPr>
        <w:t>在网络方面，部署1套高通量车载卫星终端（利旧）、1套现场宽带自组网中继通信机、1套CPE（利旧）作为应急现场音视频的回传设备。其中现场宽带自组网中继通信机与前突队的现场单兵宽带自组网通信机组成Mesh自组网，将前突队的布控球、智能头盔、单兵眼镜、单兵记录仪、单兵眼镜等音视频信号传回通信指挥车。</w:t>
      </w:r>
    </w:p>
    <w:p w14:paraId="036199F4">
      <w:pPr>
        <w:pStyle w:val="15"/>
      </w:pPr>
      <w:r>
        <w:rPr>
          <w:rFonts w:hint="eastAsia"/>
        </w:rPr>
        <w:t>在系统方面，部署2套三屏指挥系统（利旧1套，当车载与帐篷分开的情况下，其中1套三屏指挥跟着移动帐篷走，保障帐篷队伍），实现应急现场的语音调度、视频调度、数据调度等指挥调度功能。</w:t>
      </w:r>
    </w:p>
    <w:p w14:paraId="525BE2EE">
      <w:pPr>
        <w:pStyle w:val="44"/>
        <w:spacing w:before="0" w:after="0" w:line="240" w:lineRule="auto"/>
        <w:ind w:firstLine="0" w:firstLineChars="0"/>
        <w:jc w:val="center"/>
        <w:rPr>
          <w:rFonts w:hint="eastAsia"/>
        </w:rPr>
      </w:pPr>
      <w:r>
        <w:drawing>
          <wp:inline distT="0" distB="0" distL="0" distR="0">
            <wp:extent cx="2609850" cy="2457450"/>
            <wp:effectExtent l="0" t="0" r="11430" b="11430"/>
            <wp:docPr id="181488050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4880506" name="图片 1"/>
                    <pic:cNvPicPr>
                      <a:picLocks noChangeAspect="1"/>
                    </pic:cNvPicPr>
                  </pic:nvPicPr>
                  <pic:blipFill>
                    <a:blip r:embed="rId10"/>
                    <a:stretch>
                      <a:fillRect/>
                    </a:stretch>
                  </pic:blipFill>
                  <pic:spPr>
                    <a:xfrm>
                      <a:off x="0" y="0"/>
                      <a:ext cx="2609850" cy="2457450"/>
                    </a:xfrm>
                    <a:prstGeom prst="rect">
                      <a:avLst/>
                    </a:prstGeom>
                  </pic:spPr>
                </pic:pic>
              </a:graphicData>
            </a:graphic>
          </wp:inline>
        </w:drawing>
      </w:r>
    </w:p>
    <w:p w14:paraId="50A75B1B">
      <w:pPr>
        <w:pStyle w:val="44"/>
        <w:ind w:firstLine="480"/>
        <w:jc w:val="center"/>
      </w:pPr>
      <w:r>
        <w:t xml:space="preserve">图 </w:t>
      </w:r>
      <w:r>
        <w:fldChar w:fldCharType="begin"/>
      </w:r>
      <w:r>
        <w:instrText xml:space="preserve"> STYLEREF 1 \s </w:instrText>
      </w:r>
      <w:r>
        <w:fldChar w:fldCharType="separate"/>
      </w:r>
      <w:r>
        <w:t>0</w:t>
      </w:r>
      <w:r>
        <w:rPr>
          <w:rFonts w:hint="eastAsia"/>
        </w:rPr>
        <w:fldChar w:fldCharType="end"/>
      </w:r>
      <w:r>
        <w:rPr>
          <w:rFonts w:hint="eastAsia"/>
        </w:rPr>
        <w:t>-</w:t>
      </w:r>
      <w:r>
        <w:fldChar w:fldCharType="begin"/>
      </w:r>
      <w:r>
        <w:instrText xml:space="preserve"> SEQ 图 \* ARABIC \s 1 </w:instrText>
      </w:r>
      <w:r>
        <w:fldChar w:fldCharType="separate"/>
      </w:r>
      <w:r>
        <w:t>7</w:t>
      </w:r>
      <w:r>
        <w:rPr>
          <w:rFonts w:hint="eastAsia"/>
        </w:rPr>
        <w:fldChar w:fldCharType="end"/>
      </w:r>
      <w:bookmarkStart w:id="13" w:name="_Toc6215"/>
      <w:r>
        <w:rPr>
          <w:rFonts w:hint="eastAsia"/>
          <w:sz w:val="21"/>
        </w:rPr>
        <w:t>通信指挥车模块组成</w:t>
      </w:r>
      <w:bookmarkEnd w:id="13"/>
    </w:p>
    <w:p w14:paraId="3F5EF3C0">
      <w:pPr>
        <w:pStyle w:val="15"/>
      </w:pPr>
      <w:r>
        <w:rPr>
          <w:rFonts w:hint="eastAsia"/>
        </w:rPr>
        <w:t>（5）其他设备方面</w:t>
      </w:r>
    </w:p>
    <w:p w14:paraId="38B9D787">
      <w:pPr>
        <w:pStyle w:val="15"/>
      </w:pPr>
      <w:r>
        <w:rPr>
          <w:rFonts w:hint="eastAsia"/>
        </w:rPr>
        <w:t>整个前突队共配备2台喊话器。</w:t>
      </w:r>
    </w:p>
    <w:p w14:paraId="4C8E3A85">
      <w:pPr>
        <w:pStyle w:val="15"/>
      </w:pPr>
      <w:r>
        <w:rPr>
          <w:rFonts w:hint="eastAsia"/>
        </w:rPr>
        <w:t>在主战场配备1台喊话器，并备用1台灵活调配，用于应急救援工作中的远距离喊话及循环录音喊话，解放人力。</w:t>
      </w:r>
    </w:p>
    <w:p w14:paraId="0767F06A">
      <w:pPr>
        <w:pStyle w:val="15"/>
      </w:pPr>
      <w:r>
        <w:rPr>
          <w:rFonts w:hint="eastAsia"/>
        </w:rPr>
        <w:t>国家紧急医学救援队前突小分队模块组成图如下：</w:t>
      </w:r>
    </w:p>
    <w:p w14:paraId="397EBBCB">
      <w:pPr>
        <w:pStyle w:val="44"/>
        <w:spacing w:before="0" w:after="0"/>
        <w:ind w:firstLine="0" w:firstLineChars="0"/>
        <w:jc w:val="center"/>
        <w:rPr>
          <w:rFonts w:hint="eastAsia"/>
        </w:rPr>
      </w:pPr>
      <w:r>
        <w:drawing>
          <wp:inline distT="0" distB="0" distL="0" distR="0">
            <wp:extent cx="2330450" cy="2337435"/>
            <wp:effectExtent l="0" t="0" r="1270" b="9525"/>
            <wp:docPr id="5502369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236919" name="图片 1"/>
                    <pic:cNvPicPr>
                      <a:picLocks noChangeAspect="1"/>
                    </pic:cNvPicPr>
                  </pic:nvPicPr>
                  <pic:blipFill>
                    <a:blip r:embed="rId11"/>
                    <a:stretch>
                      <a:fillRect/>
                    </a:stretch>
                  </pic:blipFill>
                  <pic:spPr>
                    <a:xfrm>
                      <a:off x="0" y="0"/>
                      <a:ext cx="2330450" cy="2337435"/>
                    </a:xfrm>
                    <a:prstGeom prst="rect">
                      <a:avLst/>
                    </a:prstGeom>
                  </pic:spPr>
                </pic:pic>
              </a:graphicData>
            </a:graphic>
          </wp:inline>
        </w:drawing>
      </w:r>
    </w:p>
    <w:p w14:paraId="4DF737CE">
      <w:pPr>
        <w:pStyle w:val="50"/>
        <w:spacing w:line="240" w:lineRule="auto"/>
        <w:ind w:firstLine="0" w:firstLineChars="0"/>
        <w:jc w:val="center"/>
        <w:rPr>
          <w:rFonts w:hint="eastAsia"/>
          <w:sz w:val="21"/>
        </w:rPr>
      </w:pPr>
      <w:r>
        <w:rPr>
          <w:rFonts w:hint="eastAsia" w:ascii="黑体" w:hAnsi="黑体" w:eastAsia="黑体" w:cs="黑体"/>
          <w:sz w:val="20"/>
        </w:rPr>
        <w:t>图</w:t>
      </w:r>
      <w:r>
        <w:rPr>
          <w:rFonts w:hint="eastAsia" w:ascii="黑体" w:hAnsi="黑体" w:eastAsia="黑体" w:cs="黑体"/>
          <w:sz w:val="20"/>
        </w:rPr>
        <w:fldChar w:fldCharType="begin"/>
      </w:r>
      <w:r>
        <w:rPr>
          <w:rFonts w:hint="eastAsia" w:ascii="黑体" w:hAnsi="黑体" w:eastAsia="黑体" w:cs="黑体"/>
          <w:sz w:val="20"/>
        </w:rPr>
        <w:instrText xml:space="preserve"> STYLEREF 1 \s </w:instrText>
      </w:r>
      <w:r>
        <w:rPr>
          <w:rFonts w:hint="eastAsia" w:ascii="黑体" w:hAnsi="黑体" w:eastAsia="黑体" w:cs="黑体"/>
          <w:sz w:val="20"/>
        </w:rPr>
        <w:fldChar w:fldCharType="separate"/>
      </w:r>
      <w:r>
        <w:rPr>
          <w:rFonts w:hint="eastAsia" w:ascii="黑体" w:hAnsi="黑体" w:eastAsia="黑体" w:cs="黑体"/>
          <w:sz w:val="20"/>
        </w:rPr>
        <w:t>0</w:t>
      </w:r>
      <w:r>
        <w:rPr>
          <w:rFonts w:hint="eastAsia" w:ascii="黑体" w:hAnsi="黑体" w:eastAsia="黑体" w:cs="黑体"/>
          <w:sz w:val="20"/>
        </w:rPr>
        <w:fldChar w:fldCharType="end"/>
      </w:r>
      <w:r>
        <w:rPr>
          <w:rFonts w:hint="eastAsia" w:ascii="黑体" w:hAnsi="黑体" w:eastAsia="黑体" w:cs="黑体"/>
          <w:sz w:val="20"/>
        </w:rPr>
        <w:noBreakHyphen/>
      </w:r>
      <w:r>
        <w:rPr>
          <w:rFonts w:hint="eastAsia" w:ascii="黑体" w:hAnsi="黑体" w:eastAsia="黑体" w:cs="黑体"/>
          <w:sz w:val="20"/>
        </w:rPr>
        <w:fldChar w:fldCharType="begin"/>
      </w:r>
      <w:r>
        <w:rPr>
          <w:rFonts w:hint="eastAsia" w:ascii="黑体" w:hAnsi="黑体" w:eastAsia="黑体" w:cs="黑体"/>
          <w:sz w:val="20"/>
        </w:rPr>
        <w:instrText xml:space="preserve"> SEQ 图 \* ARABIC \s 1 </w:instrText>
      </w:r>
      <w:r>
        <w:rPr>
          <w:rFonts w:hint="eastAsia" w:ascii="黑体" w:hAnsi="黑体" w:eastAsia="黑体" w:cs="黑体"/>
          <w:sz w:val="20"/>
        </w:rPr>
        <w:fldChar w:fldCharType="separate"/>
      </w:r>
      <w:r>
        <w:rPr>
          <w:rFonts w:hint="eastAsia" w:ascii="黑体" w:hAnsi="黑体" w:eastAsia="黑体" w:cs="黑体"/>
          <w:sz w:val="20"/>
        </w:rPr>
        <w:t>8</w:t>
      </w:r>
      <w:r>
        <w:rPr>
          <w:rFonts w:hint="eastAsia" w:ascii="黑体" w:hAnsi="黑体" w:eastAsia="黑体" w:cs="黑体"/>
          <w:sz w:val="20"/>
        </w:rPr>
        <w:fldChar w:fldCharType="end"/>
      </w:r>
      <w:bookmarkStart w:id="14" w:name="_Toc9108"/>
      <w:bookmarkStart w:id="15" w:name="_Toc28311"/>
      <w:r>
        <w:rPr>
          <w:rFonts w:hint="eastAsia" w:ascii="黑体" w:hAnsi="黑体" w:eastAsia="黑体" w:cs="黑体"/>
          <w:sz w:val="20"/>
        </w:rPr>
        <w:t>前突小分队（国家紧急医学救援队）模块组成</w:t>
      </w:r>
      <w:bookmarkEnd w:id="14"/>
      <w:bookmarkEnd w:id="15"/>
    </w:p>
    <w:p w14:paraId="2024CA9B">
      <w:pPr>
        <w:pStyle w:val="15"/>
      </w:pPr>
      <w:r>
        <w:rPr>
          <w:rFonts w:hint="eastAsia"/>
        </w:rPr>
        <w:t>具体配置情况如下：</w:t>
      </w:r>
    </w:p>
    <w:p w14:paraId="3E7D5DF2">
      <w:pPr>
        <w:pStyle w:val="15"/>
      </w:pPr>
      <w:r>
        <w:rPr>
          <w:rFonts w:hint="eastAsia"/>
        </w:rPr>
        <w:t>前突小分队（国家紧急医学救援队）配置清单：</w:t>
      </w:r>
    </w:p>
    <w:p w14:paraId="6A89EB3F">
      <w:pPr>
        <w:pStyle w:val="19"/>
      </w:pPr>
      <w:r>
        <w:t xml:space="preserve">表 </w:t>
      </w:r>
      <w:r>
        <w:fldChar w:fldCharType="begin"/>
      </w:r>
      <w:r>
        <w:instrText xml:space="preserve"> STYLEREF 1 \s </w:instrText>
      </w:r>
      <w:r>
        <w:fldChar w:fldCharType="separate"/>
      </w:r>
      <w:r>
        <w:t>0</w:t>
      </w:r>
      <w:r>
        <w:rPr>
          <w:rFonts w:hint="eastAsia"/>
        </w:rPr>
        <w:fldChar w:fldCharType="end"/>
      </w:r>
      <w:r>
        <w:rPr>
          <w:rFonts w:hint="eastAsia"/>
        </w:rPr>
        <w:t>-</w:t>
      </w:r>
      <w:r>
        <w:fldChar w:fldCharType="begin"/>
      </w:r>
      <w:r>
        <w:instrText xml:space="preserve"> SEQ 表 \* ARABIC \s 1 </w:instrText>
      </w:r>
      <w:r>
        <w:fldChar w:fldCharType="separate"/>
      </w:r>
      <w:r>
        <w:t>2</w:t>
      </w:r>
      <w:r>
        <w:fldChar w:fldCharType="end"/>
      </w:r>
      <w:bookmarkStart w:id="16" w:name="_Toc11737"/>
      <w:r>
        <w:rPr>
          <w:rFonts w:hint="eastAsia"/>
        </w:rPr>
        <w:t>前突小分队（国家紧急医学救援队）配置清单表</w:t>
      </w:r>
      <w:bookmarkEnd w:id="16"/>
    </w:p>
    <w:tbl>
      <w:tblPr>
        <w:tblStyle w:val="25"/>
        <w:tblW w:w="5000" w:type="pct"/>
        <w:tblInd w:w="0" w:type="dxa"/>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16"/>
        <w:gridCol w:w="4434"/>
        <w:gridCol w:w="1617"/>
        <w:gridCol w:w="1619"/>
      </w:tblGrid>
      <w:tr w14:paraId="14A20012">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blHeader/>
        </w:trPr>
        <w:tc>
          <w:tcPr>
            <w:tcW w:w="870" w:type="pct"/>
            <w:tcBorders>
              <w:tl2br w:val="nil"/>
              <w:tr2bl w:val="nil"/>
            </w:tcBorders>
            <w:shd w:val="clear" w:color="auto" w:fill="BFBFBF"/>
            <w:noWrap/>
            <w:vAlign w:val="center"/>
          </w:tcPr>
          <w:p w14:paraId="4812C407">
            <w:pPr>
              <w:widowControl/>
              <w:jc w:val="center"/>
              <w:rPr>
                <w:rFonts w:hint="eastAsia" w:ascii="宋体" w:hAnsi="宋体" w:eastAsia="宋体" w:cs="宋体"/>
                <w:b/>
                <w:bCs/>
                <w:kern w:val="0"/>
              </w:rPr>
            </w:pPr>
            <w:r>
              <w:rPr>
                <w:rFonts w:hint="eastAsia" w:ascii="宋体" w:hAnsi="宋体" w:eastAsia="宋体" w:cs="宋体"/>
                <w:b/>
                <w:bCs/>
                <w:kern w:val="0"/>
              </w:rPr>
              <w:t>序号</w:t>
            </w:r>
          </w:p>
        </w:tc>
        <w:tc>
          <w:tcPr>
            <w:tcW w:w="2386" w:type="pct"/>
            <w:tcBorders>
              <w:tl2br w:val="nil"/>
              <w:tr2bl w:val="nil"/>
            </w:tcBorders>
            <w:shd w:val="clear" w:color="auto" w:fill="BFBFBF"/>
            <w:noWrap/>
            <w:vAlign w:val="center"/>
          </w:tcPr>
          <w:p w14:paraId="12F708DA">
            <w:pPr>
              <w:widowControl/>
              <w:jc w:val="center"/>
              <w:rPr>
                <w:rFonts w:hint="eastAsia" w:ascii="宋体" w:hAnsi="宋体" w:eastAsia="宋体" w:cs="宋体"/>
                <w:b/>
                <w:bCs/>
                <w:kern w:val="0"/>
              </w:rPr>
            </w:pPr>
            <w:r>
              <w:rPr>
                <w:rFonts w:hint="eastAsia" w:ascii="宋体" w:hAnsi="宋体" w:eastAsia="宋体" w:cs="宋体"/>
                <w:b/>
                <w:bCs/>
                <w:kern w:val="0"/>
              </w:rPr>
              <w:t>设备名称</w:t>
            </w:r>
          </w:p>
        </w:tc>
        <w:tc>
          <w:tcPr>
            <w:tcW w:w="870" w:type="pct"/>
            <w:tcBorders>
              <w:tl2br w:val="nil"/>
              <w:tr2bl w:val="nil"/>
            </w:tcBorders>
            <w:shd w:val="clear" w:color="auto" w:fill="BFBFBF"/>
            <w:noWrap/>
            <w:vAlign w:val="center"/>
          </w:tcPr>
          <w:p w14:paraId="2A1B518A">
            <w:pPr>
              <w:widowControl/>
              <w:jc w:val="center"/>
              <w:rPr>
                <w:rFonts w:hint="eastAsia" w:ascii="宋体" w:hAnsi="宋体" w:eastAsia="宋体" w:cs="宋体"/>
                <w:b/>
                <w:bCs/>
                <w:kern w:val="0"/>
              </w:rPr>
            </w:pPr>
            <w:r>
              <w:rPr>
                <w:rFonts w:hint="eastAsia" w:ascii="宋体" w:hAnsi="宋体" w:eastAsia="宋体" w:cs="宋体"/>
                <w:b/>
                <w:bCs/>
                <w:kern w:val="0"/>
              </w:rPr>
              <w:t>数量</w:t>
            </w:r>
          </w:p>
        </w:tc>
        <w:tc>
          <w:tcPr>
            <w:tcW w:w="871" w:type="pct"/>
            <w:tcBorders>
              <w:tl2br w:val="nil"/>
              <w:tr2bl w:val="nil"/>
            </w:tcBorders>
            <w:shd w:val="clear" w:color="auto" w:fill="BFBFBF"/>
            <w:noWrap/>
            <w:vAlign w:val="center"/>
          </w:tcPr>
          <w:p w14:paraId="7513D367">
            <w:pPr>
              <w:widowControl/>
              <w:jc w:val="center"/>
              <w:rPr>
                <w:rFonts w:hint="eastAsia" w:ascii="宋体" w:hAnsi="宋体" w:eastAsia="宋体" w:cs="宋体"/>
                <w:b/>
                <w:bCs/>
                <w:kern w:val="0"/>
              </w:rPr>
            </w:pPr>
            <w:r>
              <w:rPr>
                <w:rFonts w:hint="eastAsia" w:ascii="宋体" w:hAnsi="宋体" w:eastAsia="宋体" w:cs="宋体"/>
                <w:b/>
                <w:bCs/>
                <w:kern w:val="0"/>
              </w:rPr>
              <w:t>单位</w:t>
            </w:r>
          </w:p>
        </w:tc>
      </w:tr>
      <w:tr w14:paraId="2C1EAE1B">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870" w:type="pct"/>
            <w:tcBorders>
              <w:tl2br w:val="nil"/>
              <w:tr2bl w:val="nil"/>
            </w:tcBorders>
            <w:shd w:val="clear" w:color="000000" w:fill="FFFFFF"/>
            <w:vAlign w:val="center"/>
          </w:tcPr>
          <w:p w14:paraId="25E96A83">
            <w:pPr>
              <w:widowControl/>
              <w:jc w:val="center"/>
              <w:rPr>
                <w:rFonts w:hint="eastAsia" w:ascii="宋体" w:hAnsi="宋体" w:eastAsia="宋体" w:cs="宋体"/>
                <w:kern w:val="0"/>
              </w:rPr>
            </w:pPr>
            <w:r>
              <w:rPr>
                <w:rFonts w:hint="eastAsia"/>
              </w:rPr>
              <w:t>1</w:t>
            </w:r>
          </w:p>
        </w:tc>
        <w:tc>
          <w:tcPr>
            <w:tcW w:w="2386" w:type="pct"/>
            <w:tcBorders>
              <w:tl2br w:val="nil"/>
              <w:tr2bl w:val="nil"/>
            </w:tcBorders>
            <w:noWrap/>
            <w:vAlign w:val="center"/>
          </w:tcPr>
          <w:p w14:paraId="06A7F15F">
            <w:pPr>
              <w:widowControl/>
              <w:jc w:val="center"/>
              <w:rPr>
                <w:rFonts w:hint="eastAsia" w:ascii="宋体" w:hAnsi="宋体" w:eastAsia="宋体" w:cs="宋体"/>
                <w:kern w:val="0"/>
              </w:rPr>
            </w:pPr>
            <w:r>
              <w:rPr>
                <w:rFonts w:hint="eastAsia" w:ascii="宋体" w:hAnsi="宋体" w:eastAsia="宋体" w:cs="宋体"/>
                <w:kern w:val="0"/>
              </w:rPr>
              <w:t>三防加固终端（加固型电脑）</w:t>
            </w:r>
          </w:p>
        </w:tc>
        <w:tc>
          <w:tcPr>
            <w:tcW w:w="870" w:type="pct"/>
            <w:tcBorders>
              <w:tl2br w:val="nil"/>
              <w:tr2bl w:val="nil"/>
            </w:tcBorders>
            <w:noWrap/>
            <w:vAlign w:val="center"/>
          </w:tcPr>
          <w:p w14:paraId="73E36B74">
            <w:pPr>
              <w:widowControl/>
              <w:jc w:val="center"/>
              <w:rPr>
                <w:rFonts w:hint="eastAsia" w:ascii="宋体" w:hAnsi="宋体" w:eastAsia="宋体" w:cs="宋体"/>
                <w:kern w:val="0"/>
              </w:rPr>
            </w:pPr>
            <w:r>
              <w:rPr>
                <w:rFonts w:hint="eastAsia" w:ascii="宋体" w:hAnsi="宋体" w:eastAsia="宋体" w:cs="宋体"/>
                <w:kern w:val="0"/>
              </w:rPr>
              <w:t>2</w:t>
            </w:r>
          </w:p>
        </w:tc>
        <w:tc>
          <w:tcPr>
            <w:tcW w:w="871" w:type="pct"/>
            <w:tcBorders>
              <w:tl2br w:val="nil"/>
              <w:tr2bl w:val="nil"/>
            </w:tcBorders>
            <w:noWrap/>
            <w:vAlign w:val="center"/>
          </w:tcPr>
          <w:p w14:paraId="769E25D7">
            <w:pPr>
              <w:widowControl/>
              <w:jc w:val="center"/>
              <w:rPr>
                <w:rFonts w:hint="eastAsia" w:ascii="宋体" w:hAnsi="宋体" w:eastAsia="宋体" w:cs="宋体"/>
                <w:kern w:val="0"/>
              </w:rPr>
            </w:pPr>
            <w:r>
              <w:rPr>
                <w:rFonts w:hint="eastAsia" w:ascii="宋体" w:hAnsi="宋体" w:eastAsia="宋体" w:cs="宋体"/>
                <w:kern w:val="0"/>
              </w:rPr>
              <w:t>台</w:t>
            </w:r>
          </w:p>
        </w:tc>
      </w:tr>
      <w:tr w14:paraId="7CF84885">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870" w:type="pct"/>
            <w:tcBorders>
              <w:tl2br w:val="nil"/>
              <w:tr2bl w:val="nil"/>
            </w:tcBorders>
            <w:shd w:val="clear" w:color="000000" w:fill="FFFFFF"/>
            <w:vAlign w:val="center"/>
          </w:tcPr>
          <w:p w14:paraId="300A052C">
            <w:pPr>
              <w:widowControl/>
              <w:jc w:val="center"/>
              <w:rPr>
                <w:rFonts w:hint="eastAsia" w:ascii="宋体" w:hAnsi="宋体" w:eastAsia="宋体" w:cs="宋体"/>
                <w:kern w:val="0"/>
              </w:rPr>
            </w:pPr>
            <w:r>
              <w:rPr>
                <w:rFonts w:hint="eastAsia"/>
              </w:rPr>
              <w:t>2</w:t>
            </w:r>
          </w:p>
        </w:tc>
        <w:tc>
          <w:tcPr>
            <w:tcW w:w="2386" w:type="pct"/>
            <w:tcBorders>
              <w:tl2br w:val="nil"/>
              <w:tr2bl w:val="nil"/>
            </w:tcBorders>
            <w:noWrap/>
            <w:vAlign w:val="center"/>
          </w:tcPr>
          <w:p w14:paraId="0B7527C7">
            <w:pPr>
              <w:widowControl/>
              <w:jc w:val="center"/>
              <w:rPr>
                <w:rFonts w:hint="eastAsia" w:ascii="宋体" w:hAnsi="宋体" w:eastAsia="宋体" w:cs="宋体"/>
                <w:kern w:val="0"/>
              </w:rPr>
            </w:pPr>
            <w:r>
              <w:rPr>
                <w:rFonts w:hint="eastAsia" w:ascii="宋体" w:hAnsi="宋体" w:eastAsia="宋体" w:cs="宋体"/>
                <w:kern w:val="0"/>
              </w:rPr>
              <w:t>打印机</w:t>
            </w:r>
          </w:p>
        </w:tc>
        <w:tc>
          <w:tcPr>
            <w:tcW w:w="870" w:type="pct"/>
            <w:tcBorders>
              <w:tl2br w:val="nil"/>
              <w:tr2bl w:val="nil"/>
            </w:tcBorders>
            <w:noWrap/>
            <w:vAlign w:val="center"/>
          </w:tcPr>
          <w:p w14:paraId="2883B903">
            <w:pPr>
              <w:widowControl/>
              <w:jc w:val="center"/>
              <w:rPr>
                <w:rFonts w:hint="eastAsia" w:ascii="宋体" w:hAnsi="宋体" w:eastAsia="宋体" w:cs="宋体"/>
                <w:kern w:val="0"/>
              </w:rPr>
            </w:pPr>
            <w:r>
              <w:rPr>
                <w:rFonts w:hint="eastAsia" w:ascii="宋体" w:hAnsi="宋体" w:eastAsia="宋体" w:cs="宋体"/>
                <w:kern w:val="0"/>
              </w:rPr>
              <w:t>2</w:t>
            </w:r>
          </w:p>
        </w:tc>
        <w:tc>
          <w:tcPr>
            <w:tcW w:w="871" w:type="pct"/>
            <w:tcBorders>
              <w:tl2br w:val="nil"/>
              <w:tr2bl w:val="nil"/>
            </w:tcBorders>
            <w:noWrap/>
            <w:vAlign w:val="center"/>
          </w:tcPr>
          <w:p w14:paraId="605D7903">
            <w:pPr>
              <w:widowControl/>
              <w:jc w:val="center"/>
              <w:rPr>
                <w:rFonts w:hint="eastAsia" w:ascii="宋体" w:hAnsi="宋体" w:eastAsia="宋体" w:cs="宋体"/>
                <w:kern w:val="0"/>
              </w:rPr>
            </w:pPr>
            <w:r>
              <w:rPr>
                <w:rFonts w:hint="eastAsia" w:ascii="宋体" w:hAnsi="宋体" w:eastAsia="宋体" w:cs="宋体"/>
                <w:kern w:val="0"/>
              </w:rPr>
              <w:t>台</w:t>
            </w:r>
          </w:p>
        </w:tc>
      </w:tr>
      <w:tr w14:paraId="07252642">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870" w:type="pct"/>
            <w:tcBorders>
              <w:tl2br w:val="nil"/>
              <w:tr2bl w:val="nil"/>
            </w:tcBorders>
            <w:shd w:val="clear" w:color="000000" w:fill="FFFFFF"/>
            <w:vAlign w:val="center"/>
          </w:tcPr>
          <w:p w14:paraId="5C030DC0">
            <w:pPr>
              <w:widowControl/>
              <w:jc w:val="center"/>
              <w:rPr>
                <w:rFonts w:hint="eastAsia" w:ascii="宋体" w:hAnsi="宋体" w:eastAsia="宋体" w:cs="宋体"/>
                <w:kern w:val="0"/>
              </w:rPr>
            </w:pPr>
            <w:r>
              <w:rPr>
                <w:rFonts w:hint="eastAsia"/>
              </w:rPr>
              <w:t>3</w:t>
            </w:r>
          </w:p>
        </w:tc>
        <w:tc>
          <w:tcPr>
            <w:tcW w:w="2386" w:type="pct"/>
            <w:tcBorders>
              <w:tl2br w:val="nil"/>
              <w:tr2bl w:val="nil"/>
            </w:tcBorders>
            <w:noWrap/>
            <w:vAlign w:val="center"/>
          </w:tcPr>
          <w:p w14:paraId="7C336D44">
            <w:pPr>
              <w:widowControl/>
              <w:jc w:val="center"/>
              <w:rPr>
                <w:rFonts w:hint="eastAsia" w:ascii="宋体" w:hAnsi="宋体" w:eastAsia="宋体" w:cs="宋体"/>
                <w:kern w:val="0"/>
              </w:rPr>
            </w:pPr>
            <w:r>
              <w:rPr>
                <w:rFonts w:hint="eastAsia" w:ascii="宋体" w:hAnsi="宋体" w:eastAsia="宋体" w:cs="宋体"/>
                <w:kern w:val="0"/>
              </w:rPr>
              <w:t>投影仪（折叠投影布）</w:t>
            </w:r>
          </w:p>
        </w:tc>
        <w:tc>
          <w:tcPr>
            <w:tcW w:w="870" w:type="pct"/>
            <w:tcBorders>
              <w:tl2br w:val="nil"/>
              <w:tr2bl w:val="nil"/>
            </w:tcBorders>
            <w:noWrap/>
            <w:vAlign w:val="center"/>
          </w:tcPr>
          <w:p w14:paraId="5BF3C6D5">
            <w:pPr>
              <w:widowControl/>
              <w:jc w:val="center"/>
              <w:rPr>
                <w:rFonts w:hint="eastAsia" w:ascii="宋体" w:hAnsi="宋体" w:eastAsia="宋体" w:cs="宋体"/>
                <w:kern w:val="0"/>
              </w:rPr>
            </w:pPr>
            <w:r>
              <w:rPr>
                <w:rFonts w:hint="eastAsia" w:ascii="宋体" w:hAnsi="宋体" w:eastAsia="宋体" w:cs="宋体"/>
                <w:kern w:val="0"/>
              </w:rPr>
              <w:t>2</w:t>
            </w:r>
          </w:p>
        </w:tc>
        <w:tc>
          <w:tcPr>
            <w:tcW w:w="871" w:type="pct"/>
            <w:tcBorders>
              <w:tl2br w:val="nil"/>
              <w:tr2bl w:val="nil"/>
            </w:tcBorders>
            <w:noWrap/>
            <w:vAlign w:val="center"/>
          </w:tcPr>
          <w:p w14:paraId="321FC068">
            <w:pPr>
              <w:widowControl/>
              <w:jc w:val="center"/>
              <w:rPr>
                <w:rFonts w:hint="eastAsia" w:ascii="宋体" w:hAnsi="宋体" w:eastAsia="宋体" w:cs="宋体"/>
                <w:kern w:val="0"/>
              </w:rPr>
            </w:pPr>
            <w:r>
              <w:rPr>
                <w:rFonts w:hint="eastAsia" w:ascii="宋体" w:hAnsi="宋体" w:eastAsia="宋体" w:cs="宋体"/>
                <w:kern w:val="0"/>
              </w:rPr>
              <w:t>台</w:t>
            </w:r>
          </w:p>
        </w:tc>
      </w:tr>
      <w:tr w14:paraId="2CE523E6">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870" w:type="pct"/>
            <w:tcBorders>
              <w:tl2br w:val="nil"/>
              <w:tr2bl w:val="nil"/>
            </w:tcBorders>
            <w:shd w:val="clear" w:color="000000" w:fill="FFFFFF"/>
            <w:vAlign w:val="center"/>
          </w:tcPr>
          <w:p w14:paraId="3739689A">
            <w:pPr>
              <w:widowControl/>
              <w:jc w:val="center"/>
              <w:rPr>
                <w:rFonts w:hint="eastAsia" w:ascii="宋体" w:hAnsi="宋体" w:eastAsia="宋体" w:cs="宋体"/>
                <w:kern w:val="0"/>
              </w:rPr>
            </w:pPr>
            <w:r>
              <w:rPr>
                <w:rFonts w:hint="eastAsia"/>
              </w:rPr>
              <w:t>4</w:t>
            </w:r>
          </w:p>
        </w:tc>
        <w:tc>
          <w:tcPr>
            <w:tcW w:w="2386" w:type="pct"/>
            <w:tcBorders>
              <w:tl2br w:val="nil"/>
              <w:tr2bl w:val="nil"/>
            </w:tcBorders>
            <w:noWrap/>
            <w:vAlign w:val="center"/>
          </w:tcPr>
          <w:p w14:paraId="306E9F62">
            <w:pPr>
              <w:widowControl/>
              <w:jc w:val="center"/>
              <w:rPr>
                <w:rFonts w:hint="eastAsia" w:ascii="宋体" w:hAnsi="宋体" w:eastAsia="宋体" w:cs="宋体"/>
                <w:kern w:val="0"/>
              </w:rPr>
            </w:pPr>
            <w:r>
              <w:rPr>
                <w:rFonts w:hint="eastAsia" w:ascii="宋体" w:hAnsi="宋体" w:eastAsia="宋体" w:cs="宋体"/>
                <w:kern w:val="0"/>
              </w:rPr>
              <w:t>相机</w:t>
            </w:r>
          </w:p>
        </w:tc>
        <w:tc>
          <w:tcPr>
            <w:tcW w:w="870" w:type="pct"/>
            <w:tcBorders>
              <w:tl2br w:val="nil"/>
              <w:tr2bl w:val="nil"/>
            </w:tcBorders>
            <w:noWrap/>
            <w:vAlign w:val="center"/>
          </w:tcPr>
          <w:p w14:paraId="1EE5385D">
            <w:pPr>
              <w:widowControl/>
              <w:jc w:val="center"/>
              <w:rPr>
                <w:rFonts w:hint="eastAsia" w:ascii="宋体" w:hAnsi="宋体" w:eastAsia="宋体" w:cs="宋体"/>
                <w:kern w:val="0"/>
              </w:rPr>
            </w:pPr>
            <w:r>
              <w:rPr>
                <w:rFonts w:hint="eastAsia" w:ascii="宋体" w:hAnsi="宋体" w:eastAsia="宋体" w:cs="宋体"/>
                <w:kern w:val="0"/>
              </w:rPr>
              <w:t>1</w:t>
            </w:r>
          </w:p>
        </w:tc>
        <w:tc>
          <w:tcPr>
            <w:tcW w:w="871" w:type="pct"/>
            <w:tcBorders>
              <w:tl2br w:val="nil"/>
              <w:tr2bl w:val="nil"/>
            </w:tcBorders>
            <w:noWrap/>
            <w:vAlign w:val="center"/>
          </w:tcPr>
          <w:p w14:paraId="5AAFFF61">
            <w:pPr>
              <w:widowControl/>
              <w:jc w:val="center"/>
              <w:rPr>
                <w:rFonts w:hint="eastAsia" w:ascii="宋体" w:hAnsi="宋体" w:eastAsia="宋体" w:cs="宋体"/>
                <w:kern w:val="0"/>
              </w:rPr>
            </w:pPr>
            <w:r>
              <w:rPr>
                <w:rFonts w:hint="eastAsia" w:ascii="宋体" w:hAnsi="宋体" w:eastAsia="宋体" w:cs="宋体"/>
                <w:kern w:val="0"/>
              </w:rPr>
              <w:t>架</w:t>
            </w:r>
          </w:p>
        </w:tc>
      </w:tr>
      <w:tr w14:paraId="50B3B42C">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870" w:type="pct"/>
            <w:tcBorders>
              <w:tl2br w:val="nil"/>
              <w:tr2bl w:val="nil"/>
            </w:tcBorders>
            <w:shd w:val="clear" w:color="000000" w:fill="FFFFFF"/>
            <w:vAlign w:val="center"/>
          </w:tcPr>
          <w:p w14:paraId="6D9F0B77">
            <w:pPr>
              <w:widowControl/>
              <w:jc w:val="center"/>
              <w:rPr>
                <w:rFonts w:hint="eastAsia" w:ascii="宋体" w:hAnsi="宋体" w:eastAsia="宋体" w:cs="宋体"/>
                <w:kern w:val="0"/>
              </w:rPr>
            </w:pPr>
            <w:r>
              <w:rPr>
                <w:rFonts w:hint="eastAsia"/>
              </w:rPr>
              <w:t>5</w:t>
            </w:r>
          </w:p>
        </w:tc>
        <w:tc>
          <w:tcPr>
            <w:tcW w:w="2386" w:type="pct"/>
            <w:tcBorders>
              <w:tl2br w:val="nil"/>
              <w:tr2bl w:val="nil"/>
            </w:tcBorders>
            <w:noWrap/>
            <w:vAlign w:val="center"/>
          </w:tcPr>
          <w:p w14:paraId="0987B711">
            <w:pPr>
              <w:widowControl/>
              <w:jc w:val="center"/>
              <w:rPr>
                <w:rFonts w:hint="eastAsia" w:ascii="宋体" w:hAnsi="宋体" w:eastAsia="宋体" w:cs="宋体"/>
                <w:kern w:val="0"/>
              </w:rPr>
            </w:pPr>
            <w:r>
              <w:rPr>
                <w:rFonts w:hint="eastAsia" w:ascii="宋体" w:hAnsi="宋体" w:eastAsia="宋体" w:cs="宋体"/>
                <w:kern w:val="0"/>
              </w:rPr>
              <w:t>云台相机</w:t>
            </w:r>
          </w:p>
        </w:tc>
        <w:tc>
          <w:tcPr>
            <w:tcW w:w="870" w:type="pct"/>
            <w:tcBorders>
              <w:tl2br w:val="nil"/>
              <w:tr2bl w:val="nil"/>
            </w:tcBorders>
            <w:noWrap/>
            <w:vAlign w:val="center"/>
          </w:tcPr>
          <w:p w14:paraId="3686AAC5">
            <w:pPr>
              <w:widowControl/>
              <w:jc w:val="center"/>
              <w:rPr>
                <w:rFonts w:hint="eastAsia" w:ascii="宋体" w:hAnsi="宋体" w:eastAsia="宋体" w:cs="宋体"/>
                <w:kern w:val="0"/>
              </w:rPr>
            </w:pPr>
            <w:r>
              <w:rPr>
                <w:rFonts w:hint="eastAsia" w:ascii="宋体" w:hAnsi="宋体" w:eastAsia="宋体" w:cs="宋体"/>
                <w:kern w:val="0"/>
              </w:rPr>
              <w:t>2</w:t>
            </w:r>
          </w:p>
        </w:tc>
        <w:tc>
          <w:tcPr>
            <w:tcW w:w="871" w:type="pct"/>
            <w:tcBorders>
              <w:tl2br w:val="nil"/>
              <w:tr2bl w:val="nil"/>
            </w:tcBorders>
            <w:noWrap/>
            <w:vAlign w:val="center"/>
          </w:tcPr>
          <w:p w14:paraId="675205C1">
            <w:pPr>
              <w:widowControl/>
              <w:jc w:val="center"/>
              <w:rPr>
                <w:rFonts w:hint="eastAsia" w:ascii="宋体" w:hAnsi="宋体" w:eastAsia="宋体" w:cs="宋体"/>
                <w:kern w:val="0"/>
              </w:rPr>
            </w:pPr>
            <w:r>
              <w:rPr>
                <w:rFonts w:hint="eastAsia" w:ascii="宋体" w:hAnsi="宋体" w:eastAsia="宋体" w:cs="宋体"/>
                <w:kern w:val="0"/>
              </w:rPr>
              <w:t>个</w:t>
            </w:r>
          </w:p>
        </w:tc>
      </w:tr>
      <w:tr w14:paraId="501BD268">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870" w:type="pct"/>
            <w:tcBorders>
              <w:tl2br w:val="nil"/>
              <w:tr2bl w:val="nil"/>
            </w:tcBorders>
            <w:shd w:val="clear" w:color="000000" w:fill="FFFFFF"/>
            <w:vAlign w:val="center"/>
          </w:tcPr>
          <w:p w14:paraId="1913EDE1">
            <w:pPr>
              <w:widowControl/>
              <w:jc w:val="center"/>
              <w:rPr>
                <w:rFonts w:hint="eastAsia" w:ascii="宋体" w:hAnsi="宋体" w:eastAsia="宋体" w:cs="宋体"/>
                <w:kern w:val="0"/>
              </w:rPr>
            </w:pPr>
            <w:r>
              <w:rPr>
                <w:rFonts w:hint="eastAsia"/>
              </w:rPr>
              <w:t>6</w:t>
            </w:r>
          </w:p>
        </w:tc>
        <w:tc>
          <w:tcPr>
            <w:tcW w:w="2386" w:type="pct"/>
            <w:tcBorders>
              <w:tl2br w:val="nil"/>
              <w:tr2bl w:val="nil"/>
            </w:tcBorders>
            <w:noWrap/>
            <w:vAlign w:val="center"/>
          </w:tcPr>
          <w:p w14:paraId="2C9987D0">
            <w:pPr>
              <w:widowControl/>
              <w:jc w:val="center"/>
              <w:rPr>
                <w:rFonts w:hint="eastAsia" w:ascii="宋体" w:hAnsi="宋体" w:eastAsia="宋体" w:cs="宋体"/>
                <w:kern w:val="0"/>
              </w:rPr>
            </w:pPr>
            <w:r>
              <w:rPr>
                <w:rFonts w:hint="eastAsia" w:ascii="宋体" w:hAnsi="宋体" w:eastAsia="宋体" w:cs="宋体"/>
                <w:kern w:val="0"/>
              </w:rPr>
              <w:t>聚合路由器</w:t>
            </w:r>
          </w:p>
        </w:tc>
        <w:tc>
          <w:tcPr>
            <w:tcW w:w="870" w:type="pct"/>
            <w:tcBorders>
              <w:tl2br w:val="nil"/>
              <w:tr2bl w:val="nil"/>
            </w:tcBorders>
            <w:noWrap/>
            <w:vAlign w:val="center"/>
          </w:tcPr>
          <w:p w14:paraId="18FBFD73">
            <w:pPr>
              <w:widowControl/>
              <w:jc w:val="center"/>
              <w:rPr>
                <w:rFonts w:hint="eastAsia" w:ascii="宋体" w:hAnsi="宋体" w:eastAsia="宋体" w:cs="宋体"/>
                <w:kern w:val="0"/>
              </w:rPr>
            </w:pPr>
            <w:r>
              <w:rPr>
                <w:rFonts w:hint="eastAsia" w:ascii="宋体" w:hAnsi="宋体" w:eastAsia="宋体" w:cs="宋体"/>
                <w:kern w:val="0"/>
              </w:rPr>
              <w:t>1</w:t>
            </w:r>
          </w:p>
        </w:tc>
        <w:tc>
          <w:tcPr>
            <w:tcW w:w="871" w:type="pct"/>
            <w:tcBorders>
              <w:tl2br w:val="nil"/>
              <w:tr2bl w:val="nil"/>
            </w:tcBorders>
            <w:noWrap/>
            <w:vAlign w:val="center"/>
          </w:tcPr>
          <w:p w14:paraId="1636D1D0">
            <w:pPr>
              <w:widowControl/>
              <w:jc w:val="center"/>
              <w:rPr>
                <w:rFonts w:hint="eastAsia" w:ascii="宋体" w:hAnsi="宋体" w:eastAsia="宋体" w:cs="宋体"/>
                <w:kern w:val="0"/>
              </w:rPr>
            </w:pPr>
            <w:r>
              <w:rPr>
                <w:rFonts w:hint="eastAsia" w:ascii="宋体" w:hAnsi="宋体" w:eastAsia="宋体" w:cs="宋体"/>
                <w:kern w:val="0"/>
              </w:rPr>
              <w:t>台</w:t>
            </w:r>
          </w:p>
        </w:tc>
      </w:tr>
      <w:tr w14:paraId="33AF6950">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870" w:type="pct"/>
            <w:tcBorders>
              <w:tl2br w:val="nil"/>
              <w:tr2bl w:val="nil"/>
            </w:tcBorders>
            <w:shd w:val="clear" w:color="000000" w:fill="FFFFFF"/>
            <w:vAlign w:val="center"/>
          </w:tcPr>
          <w:p w14:paraId="5663C250">
            <w:pPr>
              <w:widowControl/>
              <w:jc w:val="center"/>
              <w:rPr>
                <w:rFonts w:hint="eastAsia" w:ascii="宋体" w:hAnsi="宋体" w:eastAsia="宋体" w:cs="宋体"/>
                <w:kern w:val="0"/>
              </w:rPr>
            </w:pPr>
            <w:r>
              <w:rPr>
                <w:rFonts w:hint="eastAsia"/>
              </w:rPr>
              <w:t>7</w:t>
            </w:r>
          </w:p>
        </w:tc>
        <w:tc>
          <w:tcPr>
            <w:tcW w:w="2386" w:type="pct"/>
            <w:tcBorders>
              <w:tl2br w:val="nil"/>
              <w:tr2bl w:val="nil"/>
            </w:tcBorders>
            <w:noWrap/>
            <w:vAlign w:val="center"/>
          </w:tcPr>
          <w:p w14:paraId="4C224B6E">
            <w:pPr>
              <w:widowControl/>
              <w:jc w:val="center"/>
              <w:rPr>
                <w:rFonts w:hint="eastAsia" w:ascii="宋体" w:hAnsi="宋体" w:eastAsia="宋体" w:cs="宋体"/>
                <w:kern w:val="0"/>
              </w:rPr>
            </w:pPr>
            <w:r>
              <w:rPr>
                <w:rFonts w:hint="eastAsia" w:ascii="宋体" w:hAnsi="宋体" w:eastAsia="宋体" w:cs="宋体"/>
                <w:kern w:val="0"/>
              </w:rPr>
              <w:t>交换机</w:t>
            </w:r>
          </w:p>
        </w:tc>
        <w:tc>
          <w:tcPr>
            <w:tcW w:w="870" w:type="pct"/>
            <w:tcBorders>
              <w:tl2br w:val="nil"/>
              <w:tr2bl w:val="nil"/>
            </w:tcBorders>
            <w:noWrap/>
            <w:vAlign w:val="center"/>
          </w:tcPr>
          <w:p w14:paraId="5AB4A907">
            <w:pPr>
              <w:widowControl/>
              <w:jc w:val="center"/>
              <w:rPr>
                <w:rFonts w:hint="eastAsia" w:ascii="宋体" w:hAnsi="宋体" w:eastAsia="宋体" w:cs="宋体"/>
                <w:kern w:val="0"/>
              </w:rPr>
            </w:pPr>
            <w:r>
              <w:rPr>
                <w:rFonts w:hint="eastAsia" w:ascii="宋体" w:hAnsi="宋体" w:eastAsia="宋体" w:cs="宋体"/>
                <w:kern w:val="0"/>
              </w:rPr>
              <w:t>1</w:t>
            </w:r>
          </w:p>
        </w:tc>
        <w:tc>
          <w:tcPr>
            <w:tcW w:w="871" w:type="pct"/>
            <w:tcBorders>
              <w:tl2br w:val="nil"/>
              <w:tr2bl w:val="nil"/>
            </w:tcBorders>
            <w:noWrap/>
            <w:vAlign w:val="center"/>
          </w:tcPr>
          <w:p w14:paraId="5FC56B3A">
            <w:pPr>
              <w:widowControl/>
              <w:jc w:val="center"/>
              <w:rPr>
                <w:rFonts w:hint="eastAsia" w:ascii="宋体" w:hAnsi="宋体" w:eastAsia="宋体" w:cs="宋体"/>
                <w:kern w:val="0"/>
              </w:rPr>
            </w:pPr>
            <w:r>
              <w:rPr>
                <w:rFonts w:hint="eastAsia" w:ascii="宋体" w:hAnsi="宋体" w:eastAsia="宋体" w:cs="宋体"/>
                <w:kern w:val="0"/>
              </w:rPr>
              <w:t>台</w:t>
            </w:r>
          </w:p>
        </w:tc>
      </w:tr>
      <w:tr w14:paraId="58FA705A">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870" w:type="pct"/>
            <w:tcBorders>
              <w:tl2br w:val="nil"/>
              <w:tr2bl w:val="nil"/>
            </w:tcBorders>
            <w:shd w:val="clear" w:color="000000" w:fill="FFFFFF"/>
            <w:vAlign w:val="center"/>
          </w:tcPr>
          <w:p w14:paraId="6B67E259">
            <w:pPr>
              <w:widowControl/>
              <w:jc w:val="center"/>
              <w:rPr>
                <w:rFonts w:hint="eastAsia" w:ascii="宋体" w:hAnsi="宋体" w:eastAsia="宋体" w:cs="宋体"/>
                <w:kern w:val="0"/>
              </w:rPr>
            </w:pPr>
            <w:r>
              <w:rPr>
                <w:rFonts w:hint="eastAsia"/>
              </w:rPr>
              <w:t>8</w:t>
            </w:r>
          </w:p>
        </w:tc>
        <w:tc>
          <w:tcPr>
            <w:tcW w:w="2386" w:type="pct"/>
            <w:tcBorders>
              <w:tl2br w:val="nil"/>
              <w:tr2bl w:val="nil"/>
            </w:tcBorders>
            <w:noWrap/>
            <w:vAlign w:val="center"/>
          </w:tcPr>
          <w:p w14:paraId="0B636AB2">
            <w:pPr>
              <w:widowControl/>
              <w:jc w:val="center"/>
              <w:rPr>
                <w:rFonts w:hint="eastAsia" w:ascii="宋体" w:hAnsi="宋体" w:eastAsia="宋体" w:cs="宋体"/>
                <w:kern w:val="0"/>
              </w:rPr>
            </w:pPr>
            <w:r>
              <w:rPr>
                <w:rFonts w:hint="eastAsia" w:ascii="宋体" w:hAnsi="宋体" w:eastAsia="宋体" w:cs="宋体"/>
                <w:kern w:val="0"/>
              </w:rPr>
              <w:t>无线路由</w:t>
            </w:r>
          </w:p>
        </w:tc>
        <w:tc>
          <w:tcPr>
            <w:tcW w:w="870" w:type="pct"/>
            <w:tcBorders>
              <w:tl2br w:val="nil"/>
              <w:tr2bl w:val="nil"/>
            </w:tcBorders>
            <w:noWrap/>
            <w:vAlign w:val="center"/>
          </w:tcPr>
          <w:p w14:paraId="0000D39C">
            <w:pPr>
              <w:widowControl/>
              <w:jc w:val="center"/>
              <w:rPr>
                <w:rFonts w:hint="eastAsia" w:ascii="宋体" w:hAnsi="宋体" w:eastAsia="宋体" w:cs="宋体"/>
                <w:kern w:val="0"/>
              </w:rPr>
            </w:pPr>
            <w:r>
              <w:rPr>
                <w:rFonts w:hint="eastAsia" w:ascii="宋体" w:hAnsi="宋体" w:eastAsia="宋体" w:cs="宋体"/>
                <w:kern w:val="0"/>
              </w:rPr>
              <w:t>2</w:t>
            </w:r>
          </w:p>
        </w:tc>
        <w:tc>
          <w:tcPr>
            <w:tcW w:w="871" w:type="pct"/>
            <w:tcBorders>
              <w:tl2br w:val="nil"/>
              <w:tr2bl w:val="nil"/>
            </w:tcBorders>
            <w:noWrap/>
            <w:vAlign w:val="center"/>
          </w:tcPr>
          <w:p w14:paraId="3AC2A9D7">
            <w:pPr>
              <w:widowControl/>
              <w:jc w:val="center"/>
              <w:rPr>
                <w:rFonts w:hint="eastAsia" w:ascii="宋体" w:hAnsi="宋体" w:eastAsia="宋体" w:cs="宋体"/>
                <w:kern w:val="0"/>
              </w:rPr>
            </w:pPr>
            <w:r>
              <w:rPr>
                <w:rFonts w:hint="eastAsia" w:ascii="宋体" w:hAnsi="宋体" w:eastAsia="宋体" w:cs="宋体"/>
                <w:kern w:val="0"/>
              </w:rPr>
              <w:t>台</w:t>
            </w:r>
          </w:p>
        </w:tc>
      </w:tr>
      <w:tr w14:paraId="5785972C">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870" w:type="pct"/>
            <w:tcBorders>
              <w:tl2br w:val="nil"/>
              <w:tr2bl w:val="nil"/>
            </w:tcBorders>
            <w:shd w:val="clear" w:color="000000" w:fill="FFFFFF"/>
            <w:vAlign w:val="center"/>
          </w:tcPr>
          <w:p w14:paraId="1AB50CC2">
            <w:pPr>
              <w:widowControl/>
              <w:jc w:val="center"/>
              <w:rPr>
                <w:rFonts w:hint="eastAsia" w:ascii="宋体" w:hAnsi="宋体" w:eastAsia="宋体" w:cs="宋体"/>
                <w:kern w:val="0"/>
              </w:rPr>
            </w:pPr>
            <w:r>
              <w:rPr>
                <w:rFonts w:hint="eastAsia"/>
              </w:rPr>
              <w:t>9</w:t>
            </w:r>
          </w:p>
        </w:tc>
        <w:tc>
          <w:tcPr>
            <w:tcW w:w="2386" w:type="pct"/>
            <w:tcBorders>
              <w:tl2br w:val="nil"/>
              <w:tr2bl w:val="nil"/>
            </w:tcBorders>
            <w:noWrap/>
            <w:vAlign w:val="center"/>
          </w:tcPr>
          <w:p w14:paraId="2EB71CB5">
            <w:pPr>
              <w:widowControl/>
              <w:jc w:val="center"/>
              <w:rPr>
                <w:rFonts w:hint="eastAsia" w:ascii="宋体" w:hAnsi="宋体" w:eastAsia="宋体" w:cs="宋体"/>
                <w:kern w:val="0"/>
              </w:rPr>
            </w:pPr>
            <w:r>
              <w:rPr>
                <w:rFonts w:hint="eastAsia" w:ascii="宋体" w:hAnsi="宋体" w:eastAsia="宋体" w:cs="宋体"/>
                <w:kern w:val="0"/>
              </w:rPr>
              <w:t>室外无线基站（含升降杆）</w:t>
            </w:r>
          </w:p>
        </w:tc>
        <w:tc>
          <w:tcPr>
            <w:tcW w:w="870" w:type="pct"/>
            <w:tcBorders>
              <w:tl2br w:val="nil"/>
              <w:tr2bl w:val="nil"/>
            </w:tcBorders>
            <w:noWrap/>
            <w:vAlign w:val="center"/>
          </w:tcPr>
          <w:p w14:paraId="41D5285E">
            <w:pPr>
              <w:widowControl/>
              <w:jc w:val="center"/>
              <w:rPr>
                <w:rFonts w:hint="eastAsia" w:ascii="宋体" w:hAnsi="宋体" w:eastAsia="宋体" w:cs="宋体"/>
                <w:kern w:val="0"/>
              </w:rPr>
            </w:pPr>
            <w:r>
              <w:rPr>
                <w:rFonts w:hint="eastAsia" w:ascii="宋体" w:hAnsi="宋体" w:eastAsia="宋体" w:cs="宋体"/>
                <w:kern w:val="0"/>
              </w:rPr>
              <w:t>3</w:t>
            </w:r>
          </w:p>
        </w:tc>
        <w:tc>
          <w:tcPr>
            <w:tcW w:w="871" w:type="pct"/>
            <w:tcBorders>
              <w:tl2br w:val="nil"/>
              <w:tr2bl w:val="nil"/>
            </w:tcBorders>
            <w:noWrap/>
            <w:vAlign w:val="center"/>
          </w:tcPr>
          <w:p w14:paraId="297A651B">
            <w:pPr>
              <w:widowControl/>
              <w:jc w:val="center"/>
              <w:rPr>
                <w:rFonts w:hint="eastAsia" w:ascii="宋体" w:hAnsi="宋体" w:eastAsia="宋体" w:cs="宋体"/>
                <w:kern w:val="0"/>
              </w:rPr>
            </w:pPr>
            <w:r>
              <w:rPr>
                <w:rFonts w:hint="eastAsia" w:ascii="宋体" w:hAnsi="宋体" w:eastAsia="宋体" w:cs="宋体"/>
                <w:kern w:val="0"/>
              </w:rPr>
              <w:t>套</w:t>
            </w:r>
          </w:p>
        </w:tc>
      </w:tr>
      <w:tr w14:paraId="044A292F">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870" w:type="pct"/>
            <w:tcBorders>
              <w:tl2br w:val="nil"/>
              <w:tr2bl w:val="nil"/>
            </w:tcBorders>
            <w:shd w:val="clear" w:color="000000" w:fill="FFFFFF"/>
            <w:vAlign w:val="center"/>
          </w:tcPr>
          <w:p w14:paraId="3B054F12">
            <w:pPr>
              <w:widowControl/>
              <w:jc w:val="center"/>
              <w:rPr>
                <w:rFonts w:hint="eastAsia" w:ascii="宋体" w:hAnsi="宋体" w:eastAsia="宋体" w:cs="宋体"/>
                <w:kern w:val="0"/>
              </w:rPr>
            </w:pPr>
            <w:r>
              <w:rPr>
                <w:rFonts w:hint="eastAsia"/>
              </w:rPr>
              <w:t>10</w:t>
            </w:r>
          </w:p>
        </w:tc>
        <w:tc>
          <w:tcPr>
            <w:tcW w:w="2386" w:type="pct"/>
            <w:tcBorders>
              <w:tl2br w:val="nil"/>
              <w:tr2bl w:val="nil"/>
            </w:tcBorders>
            <w:noWrap/>
            <w:vAlign w:val="center"/>
          </w:tcPr>
          <w:p w14:paraId="55B74872">
            <w:pPr>
              <w:widowControl/>
              <w:jc w:val="center"/>
              <w:rPr>
                <w:rFonts w:hint="eastAsia" w:ascii="宋体" w:hAnsi="宋体" w:eastAsia="宋体" w:cs="宋体"/>
                <w:kern w:val="0"/>
              </w:rPr>
            </w:pPr>
            <w:r>
              <w:rPr>
                <w:rFonts w:hint="eastAsia" w:ascii="宋体" w:hAnsi="宋体" w:eastAsia="宋体" w:cs="宋体"/>
                <w:kern w:val="0"/>
              </w:rPr>
              <w:t>无线控制器</w:t>
            </w:r>
          </w:p>
        </w:tc>
        <w:tc>
          <w:tcPr>
            <w:tcW w:w="870" w:type="pct"/>
            <w:tcBorders>
              <w:tl2br w:val="nil"/>
              <w:tr2bl w:val="nil"/>
            </w:tcBorders>
            <w:noWrap/>
            <w:vAlign w:val="center"/>
          </w:tcPr>
          <w:p w14:paraId="73630E42">
            <w:pPr>
              <w:widowControl/>
              <w:jc w:val="center"/>
              <w:rPr>
                <w:rFonts w:hint="eastAsia" w:ascii="宋体" w:hAnsi="宋体" w:eastAsia="宋体" w:cs="宋体"/>
                <w:kern w:val="0"/>
              </w:rPr>
            </w:pPr>
            <w:r>
              <w:rPr>
                <w:rFonts w:hint="eastAsia" w:ascii="宋体" w:hAnsi="宋体" w:eastAsia="宋体" w:cs="宋体"/>
                <w:kern w:val="0"/>
              </w:rPr>
              <w:t>1</w:t>
            </w:r>
          </w:p>
        </w:tc>
        <w:tc>
          <w:tcPr>
            <w:tcW w:w="871" w:type="pct"/>
            <w:tcBorders>
              <w:tl2br w:val="nil"/>
              <w:tr2bl w:val="nil"/>
            </w:tcBorders>
            <w:noWrap/>
            <w:vAlign w:val="center"/>
          </w:tcPr>
          <w:p w14:paraId="3A26F9CE">
            <w:pPr>
              <w:widowControl/>
              <w:jc w:val="center"/>
              <w:rPr>
                <w:rFonts w:hint="eastAsia" w:ascii="宋体" w:hAnsi="宋体" w:eastAsia="宋体" w:cs="宋体"/>
                <w:kern w:val="0"/>
              </w:rPr>
            </w:pPr>
            <w:r>
              <w:rPr>
                <w:rFonts w:hint="eastAsia" w:ascii="宋体" w:hAnsi="宋体" w:eastAsia="宋体" w:cs="宋体"/>
                <w:kern w:val="0"/>
              </w:rPr>
              <w:t>台</w:t>
            </w:r>
          </w:p>
        </w:tc>
      </w:tr>
      <w:tr w14:paraId="50319BC7">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870" w:type="pct"/>
            <w:tcBorders>
              <w:tl2br w:val="nil"/>
              <w:tr2bl w:val="nil"/>
            </w:tcBorders>
            <w:shd w:val="clear" w:color="000000" w:fill="FFFFFF"/>
            <w:vAlign w:val="center"/>
          </w:tcPr>
          <w:p w14:paraId="2C1A9F48">
            <w:pPr>
              <w:widowControl/>
              <w:jc w:val="center"/>
              <w:rPr>
                <w:rFonts w:hint="eastAsia" w:ascii="宋体" w:hAnsi="宋体" w:eastAsia="宋体" w:cs="宋体"/>
                <w:kern w:val="0"/>
              </w:rPr>
            </w:pPr>
            <w:r>
              <w:rPr>
                <w:rFonts w:hint="eastAsia"/>
              </w:rPr>
              <w:t>11</w:t>
            </w:r>
          </w:p>
        </w:tc>
        <w:tc>
          <w:tcPr>
            <w:tcW w:w="2386" w:type="pct"/>
            <w:tcBorders>
              <w:tl2br w:val="nil"/>
              <w:tr2bl w:val="nil"/>
            </w:tcBorders>
            <w:noWrap/>
            <w:vAlign w:val="center"/>
          </w:tcPr>
          <w:p w14:paraId="145D5145">
            <w:pPr>
              <w:widowControl/>
              <w:jc w:val="center"/>
              <w:rPr>
                <w:rFonts w:hint="eastAsia" w:ascii="宋体" w:hAnsi="宋体" w:eastAsia="宋体" w:cs="宋体"/>
                <w:kern w:val="0"/>
              </w:rPr>
            </w:pPr>
            <w:r>
              <w:rPr>
                <w:rFonts w:hint="eastAsia" w:ascii="宋体" w:hAnsi="宋体" w:eastAsia="宋体" w:cs="宋体"/>
                <w:kern w:val="0"/>
              </w:rPr>
              <w:t>室外无线布控球</w:t>
            </w:r>
          </w:p>
        </w:tc>
        <w:tc>
          <w:tcPr>
            <w:tcW w:w="870" w:type="pct"/>
            <w:tcBorders>
              <w:tl2br w:val="nil"/>
              <w:tr2bl w:val="nil"/>
            </w:tcBorders>
            <w:noWrap/>
            <w:vAlign w:val="center"/>
          </w:tcPr>
          <w:p w14:paraId="5B037BD0">
            <w:pPr>
              <w:widowControl/>
              <w:jc w:val="center"/>
              <w:rPr>
                <w:rFonts w:hint="eastAsia" w:ascii="宋体" w:hAnsi="宋体" w:eastAsia="宋体" w:cs="宋体"/>
                <w:kern w:val="0"/>
              </w:rPr>
            </w:pPr>
            <w:r>
              <w:rPr>
                <w:rFonts w:hint="eastAsia" w:ascii="宋体" w:hAnsi="宋体" w:eastAsia="宋体" w:cs="宋体"/>
                <w:kern w:val="0"/>
              </w:rPr>
              <w:t>2</w:t>
            </w:r>
          </w:p>
        </w:tc>
        <w:tc>
          <w:tcPr>
            <w:tcW w:w="871" w:type="pct"/>
            <w:tcBorders>
              <w:tl2br w:val="nil"/>
              <w:tr2bl w:val="nil"/>
            </w:tcBorders>
            <w:noWrap/>
            <w:vAlign w:val="center"/>
          </w:tcPr>
          <w:p w14:paraId="2FB1B9CC">
            <w:pPr>
              <w:widowControl/>
              <w:jc w:val="center"/>
              <w:rPr>
                <w:rFonts w:hint="eastAsia" w:ascii="宋体" w:hAnsi="宋体" w:eastAsia="宋体" w:cs="宋体"/>
                <w:kern w:val="0"/>
              </w:rPr>
            </w:pPr>
            <w:r>
              <w:rPr>
                <w:rFonts w:hint="eastAsia" w:ascii="宋体" w:hAnsi="宋体" w:eastAsia="宋体" w:cs="宋体"/>
                <w:kern w:val="0"/>
              </w:rPr>
              <w:t>个</w:t>
            </w:r>
          </w:p>
        </w:tc>
      </w:tr>
      <w:tr w14:paraId="221A616D">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870" w:type="pct"/>
            <w:tcBorders>
              <w:tl2br w:val="nil"/>
              <w:tr2bl w:val="nil"/>
            </w:tcBorders>
            <w:shd w:val="clear" w:color="000000" w:fill="FFFFFF"/>
            <w:vAlign w:val="center"/>
          </w:tcPr>
          <w:p w14:paraId="1A3204E0">
            <w:pPr>
              <w:widowControl/>
              <w:jc w:val="center"/>
              <w:rPr>
                <w:rFonts w:hint="eastAsia" w:ascii="宋体" w:hAnsi="宋体" w:eastAsia="宋体" w:cs="宋体"/>
                <w:kern w:val="0"/>
              </w:rPr>
            </w:pPr>
            <w:r>
              <w:rPr>
                <w:rFonts w:hint="eastAsia"/>
              </w:rPr>
              <w:t>12</w:t>
            </w:r>
          </w:p>
        </w:tc>
        <w:tc>
          <w:tcPr>
            <w:tcW w:w="2386" w:type="pct"/>
            <w:tcBorders>
              <w:tl2br w:val="nil"/>
              <w:tr2bl w:val="nil"/>
            </w:tcBorders>
            <w:noWrap/>
            <w:vAlign w:val="center"/>
          </w:tcPr>
          <w:p w14:paraId="0BF1C837">
            <w:pPr>
              <w:widowControl/>
              <w:jc w:val="center"/>
              <w:rPr>
                <w:rFonts w:hint="eastAsia" w:ascii="宋体" w:hAnsi="宋体" w:eastAsia="宋体" w:cs="宋体"/>
                <w:kern w:val="0"/>
              </w:rPr>
            </w:pPr>
            <w:r>
              <w:rPr>
                <w:rFonts w:hint="eastAsia" w:ascii="宋体" w:hAnsi="宋体" w:eastAsia="宋体" w:cs="宋体"/>
                <w:kern w:val="0"/>
              </w:rPr>
              <w:t>单兵眼镜</w:t>
            </w:r>
          </w:p>
        </w:tc>
        <w:tc>
          <w:tcPr>
            <w:tcW w:w="870" w:type="pct"/>
            <w:tcBorders>
              <w:tl2br w:val="nil"/>
              <w:tr2bl w:val="nil"/>
            </w:tcBorders>
            <w:noWrap/>
            <w:vAlign w:val="center"/>
          </w:tcPr>
          <w:p w14:paraId="559A9A5B">
            <w:pPr>
              <w:widowControl/>
              <w:jc w:val="center"/>
              <w:rPr>
                <w:rFonts w:hint="eastAsia" w:ascii="宋体" w:hAnsi="宋体" w:eastAsia="宋体" w:cs="宋体"/>
                <w:kern w:val="0"/>
              </w:rPr>
            </w:pPr>
            <w:r>
              <w:rPr>
                <w:rFonts w:hint="eastAsia" w:ascii="宋体" w:hAnsi="宋体" w:eastAsia="宋体" w:cs="宋体"/>
                <w:kern w:val="0"/>
              </w:rPr>
              <w:t>4</w:t>
            </w:r>
          </w:p>
        </w:tc>
        <w:tc>
          <w:tcPr>
            <w:tcW w:w="871" w:type="pct"/>
            <w:tcBorders>
              <w:tl2br w:val="nil"/>
              <w:tr2bl w:val="nil"/>
            </w:tcBorders>
            <w:noWrap/>
            <w:vAlign w:val="center"/>
          </w:tcPr>
          <w:p w14:paraId="27206DA0">
            <w:pPr>
              <w:widowControl/>
              <w:jc w:val="center"/>
              <w:rPr>
                <w:rFonts w:hint="eastAsia" w:ascii="宋体" w:hAnsi="宋体" w:eastAsia="宋体" w:cs="宋体"/>
                <w:kern w:val="0"/>
              </w:rPr>
            </w:pPr>
            <w:r>
              <w:rPr>
                <w:rFonts w:hint="eastAsia" w:ascii="宋体" w:hAnsi="宋体" w:eastAsia="宋体" w:cs="宋体"/>
                <w:kern w:val="0"/>
              </w:rPr>
              <w:t>个</w:t>
            </w:r>
          </w:p>
        </w:tc>
      </w:tr>
      <w:tr w14:paraId="1135FA15">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870" w:type="pct"/>
            <w:tcBorders>
              <w:tl2br w:val="nil"/>
              <w:tr2bl w:val="nil"/>
            </w:tcBorders>
            <w:shd w:val="clear" w:color="000000" w:fill="FFFFFF"/>
            <w:vAlign w:val="center"/>
          </w:tcPr>
          <w:p w14:paraId="69186551">
            <w:pPr>
              <w:widowControl/>
              <w:jc w:val="center"/>
              <w:rPr>
                <w:rFonts w:hint="eastAsia" w:ascii="宋体" w:hAnsi="宋体" w:eastAsia="宋体" w:cs="宋体"/>
                <w:kern w:val="0"/>
              </w:rPr>
            </w:pPr>
            <w:r>
              <w:rPr>
                <w:rFonts w:hint="eastAsia"/>
              </w:rPr>
              <w:t>13</w:t>
            </w:r>
          </w:p>
        </w:tc>
        <w:tc>
          <w:tcPr>
            <w:tcW w:w="2386" w:type="pct"/>
            <w:tcBorders>
              <w:tl2br w:val="nil"/>
              <w:tr2bl w:val="nil"/>
            </w:tcBorders>
            <w:noWrap/>
            <w:vAlign w:val="center"/>
          </w:tcPr>
          <w:p w14:paraId="67F3C2A5">
            <w:pPr>
              <w:widowControl/>
              <w:jc w:val="center"/>
              <w:rPr>
                <w:rFonts w:hint="eastAsia" w:ascii="宋体" w:hAnsi="宋体" w:eastAsia="宋体" w:cs="宋体"/>
                <w:kern w:val="0"/>
              </w:rPr>
            </w:pPr>
            <w:r>
              <w:rPr>
                <w:rFonts w:hint="eastAsia" w:ascii="宋体" w:hAnsi="宋体" w:eastAsia="宋体" w:cs="宋体"/>
                <w:kern w:val="0"/>
              </w:rPr>
              <w:t>单兵记录仪</w:t>
            </w:r>
          </w:p>
        </w:tc>
        <w:tc>
          <w:tcPr>
            <w:tcW w:w="870" w:type="pct"/>
            <w:tcBorders>
              <w:tl2br w:val="nil"/>
              <w:tr2bl w:val="nil"/>
            </w:tcBorders>
            <w:noWrap/>
            <w:vAlign w:val="center"/>
          </w:tcPr>
          <w:p w14:paraId="0D7F1534">
            <w:pPr>
              <w:widowControl/>
              <w:jc w:val="center"/>
              <w:rPr>
                <w:rFonts w:hint="eastAsia" w:ascii="宋体" w:hAnsi="宋体" w:eastAsia="宋体" w:cs="宋体"/>
                <w:kern w:val="0"/>
              </w:rPr>
            </w:pPr>
            <w:r>
              <w:rPr>
                <w:rFonts w:hint="eastAsia" w:ascii="宋体" w:hAnsi="宋体" w:eastAsia="宋体" w:cs="宋体"/>
                <w:kern w:val="0"/>
              </w:rPr>
              <w:t>20</w:t>
            </w:r>
          </w:p>
        </w:tc>
        <w:tc>
          <w:tcPr>
            <w:tcW w:w="871" w:type="pct"/>
            <w:tcBorders>
              <w:tl2br w:val="nil"/>
              <w:tr2bl w:val="nil"/>
            </w:tcBorders>
            <w:noWrap/>
            <w:vAlign w:val="center"/>
          </w:tcPr>
          <w:p w14:paraId="5F5D1686">
            <w:pPr>
              <w:widowControl/>
              <w:jc w:val="center"/>
              <w:rPr>
                <w:rFonts w:hint="eastAsia" w:ascii="宋体" w:hAnsi="宋体" w:eastAsia="宋体" w:cs="宋体"/>
                <w:kern w:val="0"/>
              </w:rPr>
            </w:pPr>
            <w:r>
              <w:rPr>
                <w:rFonts w:hint="eastAsia" w:ascii="宋体" w:hAnsi="宋体" w:eastAsia="宋体" w:cs="宋体"/>
                <w:kern w:val="0"/>
              </w:rPr>
              <w:t>个</w:t>
            </w:r>
          </w:p>
        </w:tc>
      </w:tr>
      <w:tr w14:paraId="1DACE634">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870" w:type="pct"/>
            <w:tcBorders>
              <w:tl2br w:val="nil"/>
              <w:tr2bl w:val="nil"/>
            </w:tcBorders>
            <w:shd w:val="clear" w:color="000000" w:fill="FFFFFF"/>
            <w:vAlign w:val="center"/>
          </w:tcPr>
          <w:p w14:paraId="5EC7C494">
            <w:pPr>
              <w:widowControl/>
              <w:jc w:val="center"/>
              <w:rPr>
                <w:rFonts w:hint="eastAsia" w:ascii="宋体" w:hAnsi="宋体" w:eastAsia="宋体" w:cs="宋体"/>
                <w:kern w:val="0"/>
              </w:rPr>
            </w:pPr>
            <w:r>
              <w:rPr>
                <w:rFonts w:hint="eastAsia"/>
              </w:rPr>
              <w:t>14</w:t>
            </w:r>
          </w:p>
        </w:tc>
        <w:tc>
          <w:tcPr>
            <w:tcW w:w="2386" w:type="pct"/>
            <w:tcBorders>
              <w:tl2br w:val="nil"/>
              <w:tr2bl w:val="nil"/>
            </w:tcBorders>
            <w:noWrap/>
            <w:vAlign w:val="center"/>
          </w:tcPr>
          <w:p w14:paraId="30CD5083">
            <w:pPr>
              <w:widowControl/>
              <w:jc w:val="center"/>
              <w:rPr>
                <w:rFonts w:hint="eastAsia" w:ascii="宋体" w:hAnsi="宋体" w:eastAsia="宋体" w:cs="宋体"/>
                <w:kern w:val="0"/>
              </w:rPr>
            </w:pPr>
            <w:r>
              <w:rPr>
                <w:rFonts w:hint="eastAsia" w:ascii="宋体" w:hAnsi="宋体" w:eastAsia="宋体" w:cs="宋体"/>
                <w:kern w:val="0"/>
              </w:rPr>
              <w:t>智能头盔</w:t>
            </w:r>
          </w:p>
        </w:tc>
        <w:tc>
          <w:tcPr>
            <w:tcW w:w="870" w:type="pct"/>
            <w:tcBorders>
              <w:tl2br w:val="nil"/>
              <w:tr2bl w:val="nil"/>
            </w:tcBorders>
            <w:noWrap/>
            <w:vAlign w:val="center"/>
          </w:tcPr>
          <w:p w14:paraId="4F9676E6">
            <w:pPr>
              <w:widowControl/>
              <w:jc w:val="center"/>
              <w:rPr>
                <w:rFonts w:hint="eastAsia" w:ascii="宋体" w:hAnsi="宋体" w:eastAsia="宋体" w:cs="宋体"/>
                <w:kern w:val="0"/>
              </w:rPr>
            </w:pPr>
            <w:r>
              <w:rPr>
                <w:rFonts w:hint="eastAsia" w:ascii="宋体" w:hAnsi="宋体" w:eastAsia="宋体" w:cs="宋体"/>
                <w:kern w:val="0"/>
              </w:rPr>
              <w:t>4</w:t>
            </w:r>
          </w:p>
        </w:tc>
        <w:tc>
          <w:tcPr>
            <w:tcW w:w="871" w:type="pct"/>
            <w:tcBorders>
              <w:tl2br w:val="nil"/>
              <w:tr2bl w:val="nil"/>
            </w:tcBorders>
            <w:noWrap/>
            <w:vAlign w:val="center"/>
          </w:tcPr>
          <w:p w14:paraId="5A5C3011">
            <w:pPr>
              <w:widowControl/>
              <w:jc w:val="center"/>
              <w:rPr>
                <w:rFonts w:hint="eastAsia" w:ascii="宋体" w:hAnsi="宋体" w:eastAsia="宋体" w:cs="宋体"/>
                <w:kern w:val="0"/>
              </w:rPr>
            </w:pPr>
            <w:r>
              <w:rPr>
                <w:rFonts w:hint="eastAsia" w:ascii="宋体" w:hAnsi="宋体" w:eastAsia="宋体" w:cs="宋体"/>
                <w:kern w:val="0"/>
              </w:rPr>
              <w:t>个</w:t>
            </w:r>
          </w:p>
        </w:tc>
      </w:tr>
      <w:tr w14:paraId="54897A7F">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870" w:type="pct"/>
            <w:tcBorders>
              <w:tl2br w:val="nil"/>
              <w:tr2bl w:val="nil"/>
            </w:tcBorders>
            <w:shd w:val="clear" w:color="000000" w:fill="FFFFFF"/>
            <w:vAlign w:val="center"/>
          </w:tcPr>
          <w:p w14:paraId="0D080D32">
            <w:pPr>
              <w:widowControl/>
              <w:jc w:val="center"/>
              <w:rPr>
                <w:rFonts w:hint="eastAsia" w:ascii="宋体" w:hAnsi="宋体" w:eastAsia="宋体" w:cs="宋体"/>
                <w:kern w:val="0"/>
              </w:rPr>
            </w:pPr>
            <w:r>
              <w:rPr>
                <w:rFonts w:hint="eastAsia"/>
              </w:rPr>
              <w:t>15</w:t>
            </w:r>
          </w:p>
        </w:tc>
        <w:tc>
          <w:tcPr>
            <w:tcW w:w="2386" w:type="pct"/>
            <w:tcBorders>
              <w:tl2br w:val="nil"/>
              <w:tr2bl w:val="nil"/>
            </w:tcBorders>
            <w:noWrap/>
            <w:vAlign w:val="center"/>
          </w:tcPr>
          <w:p w14:paraId="08EEE267">
            <w:pPr>
              <w:widowControl/>
              <w:jc w:val="center"/>
              <w:rPr>
                <w:rFonts w:hint="eastAsia" w:ascii="宋体" w:hAnsi="宋体" w:eastAsia="宋体" w:cs="宋体"/>
                <w:kern w:val="0"/>
              </w:rPr>
            </w:pPr>
            <w:r>
              <w:rPr>
                <w:rFonts w:hint="eastAsia" w:ascii="宋体" w:hAnsi="宋体" w:eastAsia="宋体" w:cs="宋体"/>
                <w:kern w:val="0"/>
              </w:rPr>
              <w:t>手持单北斗定位终端</w:t>
            </w:r>
          </w:p>
        </w:tc>
        <w:tc>
          <w:tcPr>
            <w:tcW w:w="870" w:type="pct"/>
            <w:tcBorders>
              <w:tl2br w:val="nil"/>
              <w:tr2bl w:val="nil"/>
            </w:tcBorders>
            <w:noWrap/>
            <w:vAlign w:val="center"/>
          </w:tcPr>
          <w:p w14:paraId="4F70357A">
            <w:pPr>
              <w:widowControl/>
              <w:jc w:val="center"/>
              <w:rPr>
                <w:rFonts w:hint="eastAsia" w:ascii="宋体" w:hAnsi="宋体" w:eastAsia="宋体" w:cs="宋体"/>
                <w:kern w:val="0"/>
              </w:rPr>
            </w:pPr>
            <w:r>
              <w:rPr>
                <w:rFonts w:hint="eastAsia" w:ascii="宋体" w:hAnsi="宋体" w:eastAsia="宋体" w:cs="宋体"/>
                <w:kern w:val="0"/>
              </w:rPr>
              <w:t>5</w:t>
            </w:r>
          </w:p>
        </w:tc>
        <w:tc>
          <w:tcPr>
            <w:tcW w:w="871" w:type="pct"/>
            <w:tcBorders>
              <w:tl2br w:val="nil"/>
              <w:tr2bl w:val="nil"/>
            </w:tcBorders>
            <w:noWrap/>
            <w:vAlign w:val="center"/>
          </w:tcPr>
          <w:p w14:paraId="1EC05BAB">
            <w:pPr>
              <w:widowControl/>
              <w:jc w:val="center"/>
              <w:rPr>
                <w:rFonts w:hint="eastAsia" w:ascii="宋体" w:hAnsi="宋体" w:eastAsia="宋体" w:cs="宋体"/>
                <w:kern w:val="0"/>
              </w:rPr>
            </w:pPr>
            <w:r>
              <w:rPr>
                <w:rFonts w:hint="eastAsia" w:ascii="宋体" w:hAnsi="宋体" w:eastAsia="宋体" w:cs="宋体"/>
                <w:kern w:val="0"/>
              </w:rPr>
              <w:t>个</w:t>
            </w:r>
          </w:p>
        </w:tc>
      </w:tr>
      <w:tr w14:paraId="195FF7CE">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870" w:type="pct"/>
            <w:tcBorders>
              <w:tl2br w:val="nil"/>
              <w:tr2bl w:val="nil"/>
            </w:tcBorders>
            <w:shd w:val="clear" w:color="000000" w:fill="FFFFFF"/>
            <w:vAlign w:val="center"/>
          </w:tcPr>
          <w:p w14:paraId="392D5000">
            <w:pPr>
              <w:widowControl/>
              <w:jc w:val="center"/>
              <w:rPr>
                <w:rFonts w:hint="eastAsia" w:ascii="宋体" w:hAnsi="宋体" w:eastAsia="宋体" w:cs="宋体"/>
                <w:kern w:val="0"/>
              </w:rPr>
            </w:pPr>
            <w:r>
              <w:rPr>
                <w:rFonts w:hint="eastAsia"/>
              </w:rPr>
              <w:t>16</w:t>
            </w:r>
          </w:p>
        </w:tc>
        <w:tc>
          <w:tcPr>
            <w:tcW w:w="2386" w:type="pct"/>
            <w:tcBorders>
              <w:tl2br w:val="nil"/>
              <w:tr2bl w:val="nil"/>
            </w:tcBorders>
            <w:noWrap/>
            <w:vAlign w:val="center"/>
          </w:tcPr>
          <w:p w14:paraId="1A62DF20">
            <w:pPr>
              <w:widowControl/>
              <w:jc w:val="center"/>
              <w:rPr>
                <w:rFonts w:hint="eastAsia" w:ascii="宋体" w:hAnsi="宋体" w:eastAsia="宋体" w:cs="宋体"/>
                <w:kern w:val="0"/>
              </w:rPr>
            </w:pPr>
            <w:r>
              <w:rPr>
                <w:rFonts w:hint="eastAsia" w:ascii="宋体" w:hAnsi="宋体" w:eastAsia="宋体" w:cs="宋体"/>
                <w:kern w:val="0"/>
              </w:rPr>
              <w:t>贴片定位终端</w:t>
            </w:r>
          </w:p>
        </w:tc>
        <w:tc>
          <w:tcPr>
            <w:tcW w:w="870" w:type="pct"/>
            <w:tcBorders>
              <w:tl2br w:val="nil"/>
              <w:tr2bl w:val="nil"/>
            </w:tcBorders>
            <w:noWrap/>
            <w:vAlign w:val="center"/>
          </w:tcPr>
          <w:p w14:paraId="5E16A145">
            <w:pPr>
              <w:widowControl/>
              <w:jc w:val="center"/>
              <w:rPr>
                <w:rFonts w:hint="eastAsia" w:ascii="宋体" w:hAnsi="宋体" w:eastAsia="宋体" w:cs="宋体"/>
                <w:kern w:val="0"/>
              </w:rPr>
            </w:pPr>
            <w:r>
              <w:rPr>
                <w:rFonts w:hint="eastAsia" w:ascii="宋体" w:hAnsi="宋体" w:eastAsia="宋体" w:cs="宋体"/>
                <w:kern w:val="0"/>
              </w:rPr>
              <w:t>150</w:t>
            </w:r>
          </w:p>
        </w:tc>
        <w:tc>
          <w:tcPr>
            <w:tcW w:w="871" w:type="pct"/>
            <w:tcBorders>
              <w:tl2br w:val="nil"/>
              <w:tr2bl w:val="nil"/>
            </w:tcBorders>
            <w:noWrap/>
            <w:vAlign w:val="center"/>
          </w:tcPr>
          <w:p w14:paraId="2535BB52">
            <w:pPr>
              <w:widowControl/>
              <w:jc w:val="center"/>
              <w:rPr>
                <w:rFonts w:hint="eastAsia" w:ascii="宋体" w:hAnsi="宋体" w:eastAsia="宋体" w:cs="宋体"/>
                <w:kern w:val="0"/>
              </w:rPr>
            </w:pPr>
            <w:r>
              <w:rPr>
                <w:rFonts w:hint="eastAsia" w:ascii="宋体" w:hAnsi="宋体" w:eastAsia="宋体" w:cs="宋体"/>
                <w:kern w:val="0"/>
              </w:rPr>
              <w:t>个</w:t>
            </w:r>
          </w:p>
        </w:tc>
      </w:tr>
      <w:tr w14:paraId="3467DF8D">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870" w:type="pct"/>
            <w:tcBorders>
              <w:tl2br w:val="nil"/>
              <w:tr2bl w:val="nil"/>
            </w:tcBorders>
            <w:shd w:val="clear" w:color="000000" w:fill="FFFFFF"/>
            <w:vAlign w:val="center"/>
          </w:tcPr>
          <w:p w14:paraId="11B26A76">
            <w:pPr>
              <w:widowControl/>
              <w:jc w:val="center"/>
              <w:rPr>
                <w:rFonts w:hint="eastAsia" w:ascii="宋体" w:hAnsi="宋体" w:eastAsia="宋体" w:cs="宋体"/>
                <w:kern w:val="0"/>
              </w:rPr>
            </w:pPr>
            <w:r>
              <w:rPr>
                <w:rFonts w:hint="eastAsia"/>
              </w:rPr>
              <w:t>17</w:t>
            </w:r>
          </w:p>
        </w:tc>
        <w:tc>
          <w:tcPr>
            <w:tcW w:w="2386" w:type="pct"/>
            <w:tcBorders>
              <w:tl2br w:val="nil"/>
              <w:tr2bl w:val="nil"/>
            </w:tcBorders>
            <w:noWrap/>
            <w:vAlign w:val="center"/>
          </w:tcPr>
          <w:p w14:paraId="04AAF56E">
            <w:pPr>
              <w:widowControl/>
              <w:jc w:val="center"/>
              <w:rPr>
                <w:rFonts w:hint="eastAsia" w:ascii="宋体" w:hAnsi="宋体" w:eastAsia="宋体" w:cs="宋体"/>
                <w:kern w:val="0"/>
              </w:rPr>
            </w:pPr>
            <w:r>
              <w:rPr>
                <w:rFonts w:hint="eastAsia" w:ascii="宋体" w:hAnsi="宋体" w:eastAsia="宋体" w:cs="宋体"/>
                <w:kern w:val="0"/>
              </w:rPr>
              <w:t>双模对讲机</w:t>
            </w:r>
          </w:p>
        </w:tc>
        <w:tc>
          <w:tcPr>
            <w:tcW w:w="870" w:type="pct"/>
            <w:tcBorders>
              <w:tl2br w:val="nil"/>
              <w:tr2bl w:val="nil"/>
            </w:tcBorders>
            <w:noWrap/>
            <w:vAlign w:val="center"/>
          </w:tcPr>
          <w:p w14:paraId="2D963828">
            <w:pPr>
              <w:widowControl/>
              <w:jc w:val="center"/>
              <w:rPr>
                <w:rFonts w:hint="eastAsia" w:ascii="宋体" w:hAnsi="宋体" w:eastAsia="宋体" w:cs="宋体"/>
                <w:kern w:val="0"/>
              </w:rPr>
            </w:pPr>
            <w:r>
              <w:rPr>
                <w:rFonts w:hint="eastAsia" w:ascii="宋体" w:hAnsi="宋体" w:eastAsia="宋体" w:cs="宋体"/>
                <w:kern w:val="0"/>
              </w:rPr>
              <w:t>10</w:t>
            </w:r>
          </w:p>
        </w:tc>
        <w:tc>
          <w:tcPr>
            <w:tcW w:w="871" w:type="pct"/>
            <w:tcBorders>
              <w:tl2br w:val="nil"/>
              <w:tr2bl w:val="nil"/>
            </w:tcBorders>
            <w:noWrap/>
            <w:vAlign w:val="center"/>
          </w:tcPr>
          <w:p w14:paraId="76F51D09">
            <w:pPr>
              <w:widowControl/>
              <w:jc w:val="center"/>
              <w:rPr>
                <w:rFonts w:hint="eastAsia" w:ascii="宋体" w:hAnsi="宋体" w:eastAsia="宋体" w:cs="宋体"/>
                <w:kern w:val="0"/>
              </w:rPr>
            </w:pPr>
            <w:r>
              <w:rPr>
                <w:rFonts w:hint="eastAsia" w:ascii="宋体" w:hAnsi="宋体" w:eastAsia="宋体" w:cs="宋体"/>
                <w:kern w:val="0"/>
              </w:rPr>
              <w:t>台</w:t>
            </w:r>
          </w:p>
        </w:tc>
      </w:tr>
      <w:tr w14:paraId="4B8349AC">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870" w:type="pct"/>
            <w:tcBorders>
              <w:tl2br w:val="nil"/>
              <w:tr2bl w:val="nil"/>
            </w:tcBorders>
            <w:shd w:val="clear" w:color="000000" w:fill="FFFFFF"/>
            <w:vAlign w:val="center"/>
          </w:tcPr>
          <w:p w14:paraId="0FF7F2AD">
            <w:pPr>
              <w:widowControl/>
              <w:jc w:val="center"/>
              <w:rPr>
                <w:rFonts w:hint="eastAsia" w:ascii="宋体" w:hAnsi="宋体" w:eastAsia="宋体" w:cs="宋体"/>
                <w:kern w:val="0"/>
              </w:rPr>
            </w:pPr>
            <w:r>
              <w:rPr>
                <w:rFonts w:hint="eastAsia"/>
              </w:rPr>
              <w:t>18</w:t>
            </w:r>
          </w:p>
        </w:tc>
        <w:tc>
          <w:tcPr>
            <w:tcW w:w="2386" w:type="pct"/>
            <w:tcBorders>
              <w:tl2br w:val="nil"/>
              <w:tr2bl w:val="nil"/>
            </w:tcBorders>
            <w:noWrap/>
            <w:vAlign w:val="center"/>
          </w:tcPr>
          <w:p w14:paraId="36259125">
            <w:pPr>
              <w:widowControl/>
              <w:jc w:val="center"/>
              <w:rPr>
                <w:rFonts w:hint="eastAsia" w:ascii="宋体" w:hAnsi="宋体" w:eastAsia="宋体" w:cs="宋体"/>
                <w:kern w:val="0"/>
              </w:rPr>
            </w:pPr>
            <w:r>
              <w:rPr>
                <w:rFonts w:hint="eastAsia" w:ascii="宋体" w:hAnsi="宋体" w:eastAsia="宋体" w:cs="宋体"/>
                <w:kern w:val="0"/>
              </w:rPr>
              <w:t>卫星电话</w:t>
            </w:r>
          </w:p>
        </w:tc>
        <w:tc>
          <w:tcPr>
            <w:tcW w:w="870" w:type="pct"/>
            <w:tcBorders>
              <w:tl2br w:val="nil"/>
              <w:tr2bl w:val="nil"/>
            </w:tcBorders>
            <w:noWrap/>
            <w:vAlign w:val="center"/>
          </w:tcPr>
          <w:p w14:paraId="5A3DF80E">
            <w:pPr>
              <w:widowControl/>
              <w:jc w:val="center"/>
              <w:rPr>
                <w:rFonts w:hint="eastAsia" w:ascii="宋体" w:hAnsi="宋体" w:eastAsia="宋体" w:cs="宋体"/>
                <w:kern w:val="0"/>
              </w:rPr>
            </w:pPr>
            <w:r>
              <w:rPr>
                <w:rFonts w:hint="eastAsia" w:ascii="宋体" w:hAnsi="宋体" w:eastAsia="宋体" w:cs="宋体"/>
                <w:kern w:val="0"/>
              </w:rPr>
              <w:t>1</w:t>
            </w:r>
          </w:p>
        </w:tc>
        <w:tc>
          <w:tcPr>
            <w:tcW w:w="871" w:type="pct"/>
            <w:tcBorders>
              <w:tl2br w:val="nil"/>
              <w:tr2bl w:val="nil"/>
            </w:tcBorders>
            <w:noWrap/>
            <w:vAlign w:val="center"/>
          </w:tcPr>
          <w:p w14:paraId="16621318">
            <w:pPr>
              <w:widowControl/>
              <w:jc w:val="center"/>
              <w:rPr>
                <w:rFonts w:hint="eastAsia" w:ascii="宋体" w:hAnsi="宋体" w:eastAsia="宋体" w:cs="宋体"/>
                <w:kern w:val="0"/>
              </w:rPr>
            </w:pPr>
            <w:r>
              <w:rPr>
                <w:rFonts w:hint="eastAsia" w:ascii="宋体" w:hAnsi="宋体" w:eastAsia="宋体" w:cs="宋体"/>
                <w:kern w:val="0"/>
              </w:rPr>
              <w:t>台</w:t>
            </w:r>
          </w:p>
        </w:tc>
      </w:tr>
      <w:tr w14:paraId="753D7A39">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870" w:type="pct"/>
            <w:tcBorders>
              <w:tl2br w:val="nil"/>
              <w:tr2bl w:val="nil"/>
            </w:tcBorders>
            <w:shd w:val="clear" w:color="000000" w:fill="FFFFFF"/>
            <w:vAlign w:val="center"/>
          </w:tcPr>
          <w:p w14:paraId="06AE300B">
            <w:pPr>
              <w:widowControl/>
              <w:jc w:val="center"/>
              <w:rPr>
                <w:rFonts w:hint="eastAsia" w:ascii="宋体" w:hAnsi="宋体" w:eastAsia="宋体" w:cs="宋体"/>
                <w:kern w:val="0"/>
              </w:rPr>
            </w:pPr>
            <w:r>
              <w:rPr>
                <w:rFonts w:hint="eastAsia"/>
              </w:rPr>
              <w:t>19</w:t>
            </w:r>
          </w:p>
        </w:tc>
        <w:tc>
          <w:tcPr>
            <w:tcW w:w="2386" w:type="pct"/>
            <w:tcBorders>
              <w:tl2br w:val="nil"/>
              <w:tr2bl w:val="nil"/>
            </w:tcBorders>
            <w:noWrap/>
            <w:vAlign w:val="center"/>
          </w:tcPr>
          <w:p w14:paraId="6375C054">
            <w:pPr>
              <w:widowControl/>
              <w:jc w:val="center"/>
              <w:rPr>
                <w:rFonts w:hint="eastAsia" w:ascii="宋体" w:hAnsi="宋体" w:eastAsia="宋体" w:cs="宋体"/>
                <w:kern w:val="0"/>
              </w:rPr>
            </w:pPr>
            <w:r>
              <w:rPr>
                <w:rFonts w:hint="eastAsia" w:ascii="宋体" w:hAnsi="宋体" w:eastAsia="宋体" w:cs="宋体"/>
                <w:kern w:val="0"/>
              </w:rPr>
              <w:t>卫星便携站</w:t>
            </w:r>
          </w:p>
        </w:tc>
        <w:tc>
          <w:tcPr>
            <w:tcW w:w="870" w:type="pct"/>
            <w:tcBorders>
              <w:tl2br w:val="nil"/>
              <w:tr2bl w:val="nil"/>
            </w:tcBorders>
            <w:noWrap/>
            <w:vAlign w:val="center"/>
          </w:tcPr>
          <w:p w14:paraId="37604868">
            <w:pPr>
              <w:widowControl/>
              <w:jc w:val="center"/>
              <w:rPr>
                <w:rFonts w:hint="eastAsia" w:ascii="宋体" w:hAnsi="宋体" w:eastAsia="宋体" w:cs="宋体"/>
                <w:kern w:val="0"/>
              </w:rPr>
            </w:pPr>
            <w:r>
              <w:rPr>
                <w:rFonts w:hint="eastAsia" w:ascii="宋体" w:hAnsi="宋体" w:eastAsia="宋体" w:cs="宋体"/>
                <w:kern w:val="0"/>
              </w:rPr>
              <w:t>1</w:t>
            </w:r>
          </w:p>
        </w:tc>
        <w:tc>
          <w:tcPr>
            <w:tcW w:w="871" w:type="pct"/>
            <w:tcBorders>
              <w:tl2br w:val="nil"/>
              <w:tr2bl w:val="nil"/>
            </w:tcBorders>
            <w:noWrap/>
            <w:vAlign w:val="center"/>
          </w:tcPr>
          <w:p w14:paraId="03C69B39">
            <w:pPr>
              <w:widowControl/>
              <w:jc w:val="center"/>
              <w:rPr>
                <w:rFonts w:hint="eastAsia" w:ascii="宋体" w:hAnsi="宋体" w:eastAsia="宋体" w:cs="宋体"/>
                <w:kern w:val="0"/>
              </w:rPr>
            </w:pPr>
            <w:r>
              <w:rPr>
                <w:rFonts w:hint="eastAsia" w:ascii="宋体" w:hAnsi="宋体" w:eastAsia="宋体" w:cs="宋体"/>
                <w:kern w:val="0"/>
              </w:rPr>
              <w:t>台</w:t>
            </w:r>
          </w:p>
        </w:tc>
      </w:tr>
      <w:tr w14:paraId="76345E63">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870" w:type="pct"/>
            <w:tcBorders>
              <w:tl2br w:val="nil"/>
              <w:tr2bl w:val="nil"/>
            </w:tcBorders>
            <w:shd w:val="clear" w:color="000000" w:fill="FFFFFF"/>
            <w:vAlign w:val="center"/>
          </w:tcPr>
          <w:p w14:paraId="5286D677">
            <w:pPr>
              <w:widowControl/>
              <w:jc w:val="center"/>
              <w:rPr>
                <w:rFonts w:hint="eastAsia" w:ascii="宋体" w:hAnsi="宋体" w:eastAsia="宋体" w:cs="宋体"/>
                <w:kern w:val="0"/>
              </w:rPr>
            </w:pPr>
            <w:r>
              <w:rPr>
                <w:rFonts w:hint="eastAsia"/>
              </w:rPr>
              <w:t>20</w:t>
            </w:r>
          </w:p>
        </w:tc>
        <w:tc>
          <w:tcPr>
            <w:tcW w:w="2386" w:type="pct"/>
            <w:tcBorders>
              <w:tl2br w:val="nil"/>
              <w:tr2bl w:val="nil"/>
            </w:tcBorders>
            <w:noWrap/>
            <w:vAlign w:val="center"/>
          </w:tcPr>
          <w:p w14:paraId="19DE7384">
            <w:pPr>
              <w:widowControl/>
              <w:jc w:val="center"/>
              <w:rPr>
                <w:rFonts w:hint="eastAsia" w:ascii="宋体" w:hAnsi="宋体" w:eastAsia="宋体" w:cs="宋体"/>
                <w:kern w:val="0"/>
              </w:rPr>
            </w:pPr>
            <w:r>
              <w:rPr>
                <w:rFonts w:hint="eastAsia" w:ascii="宋体" w:hAnsi="宋体" w:eastAsia="宋体" w:cs="宋体"/>
                <w:kern w:val="0"/>
              </w:rPr>
              <w:t>现场单兵宽带自组网通信机</w:t>
            </w:r>
          </w:p>
        </w:tc>
        <w:tc>
          <w:tcPr>
            <w:tcW w:w="870" w:type="pct"/>
            <w:tcBorders>
              <w:tl2br w:val="nil"/>
              <w:tr2bl w:val="nil"/>
            </w:tcBorders>
            <w:noWrap/>
            <w:vAlign w:val="center"/>
          </w:tcPr>
          <w:p w14:paraId="06025218">
            <w:pPr>
              <w:widowControl/>
              <w:jc w:val="center"/>
              <w:rPr>
                <w:rFonts w:hint="eastAsia" w:ascii="宋体" w:hAnsi="宋体" w:eastAsia="宋体" w:cs="宋体"/>
                <w:kern w:val="0"/>
              </w:rPr>
            </w:pPr>
            <w:r>
              <w:rPr>
                <w:rFonts w:hint="eastAsia" w:ascii="宋体" w:hAnsi="宋体" w:eastAsia="宋体" w:cs="宋体"/>
                <w:kern w:val="0"/>
              </w:rPr>
              <w:t>2</w:t>
            </w:r>
          </w:p>
        </w:tc>
        <w:tc>
          <w:tcPr>
            <w:tcW w:w="871" w:type="pct"/>
            <w:tcBorders>
              <w:tl2br w:val="nil"/>
              <w:tr2bl w:val="nil"/>
            </w:tcBorders>
            <w:noWrap/>
            <w:vAlign w:val="center"/>
          </w:tcPr>
          <w:p w14:paraId="22140C9B">
            <w:pPr>
              <w:widowControl/>
              <w:jc w:val="center"/>
              <w:rPr>
                <w:rFonts w:hint="eastAsia" w:ascii="宋体" w:hAnsi="宋体" w:eastAsia="宋体" w:cs="宋体"/>
                <w:kern w:val="0"/>
              </w:rPr>
            </w:pPr>
            <w:r>
              <w:rPr>
                <w:rFonts w:hint="eastAsia" w:ascii="宋体" w:hAnsi="宋体" w:eastAsia="宋体" w:cs="宋体"/>
                <w:kern w:val="0"/>
              </w:rPr>
              <w:t>台</w:t>
            </w:r>
          </w:p>
        </w:tc>
      </w:tr>
      <w:tr w14:paraId="2AB80F90">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870" w:type="pct"/>
            <w:tcBorders>
              <w:tl2br w:val="nil"/>
              <w:tr2bl w:val="nil"/>
            </w:tcBorders>
            <w:shd w:val="clear" w:color="000000" w:fill="FFFFFF"/>
            <w:vAlign w:val="center"/>
          </w:tcPr>
          <w:p w14:paraId="5215F220">
            <w:pPr>
              <w:widowControl/>
              <w:jc w:val="center"/>
              <w:rPr>
                <w:rFonts w:hint="eastAsia" w:ascii="宋体" w:hAnsi="宋体" w:eastAsia="宋体" w:cs="宋体"/>
                <w:kern w:val="0"/>
              </w:rPr>
            </w:pPr>
            <w:r>
              <w:rPr>
                <w:rFonts w:hint="eastAsia"/>
              </w:rPr>
              <w:t>21</w:t>
            </w:r>
          </w:p>
        </w:tc>
        <w:tc>
          <w:tcPr>
            <w:tcW w:w="2386" w:type="pct"/>
            <w:tcBorders>
              <w:tl2br w:val="nil"/>
              <w:tr2bl w:val="nil"/>
            </w:tcBorders>
            <w:noWrap/>
            <w:vAlign w:val="center"/>
          </w:tcPr>
          <w:p w14:paraId="2EF6A0B3">
            <w:pPr>
              <w:widowControl/>
              <w:jc w:val="center"/>
              <w:rPr>
                <w:rFonts w:hint="eastAsia" w:ascii="宋体" w:hAnsi="宋体" w:eastAsia="宋体" w:cs="宋体"/>
                <w:kern w:val="0"/>
              </w:rPr>
            </w:pPr>
            <w:r>
              <w:rPr>
                <w:rFonts w:hint="eastAsia" w:ascii="宋体" w:hAnsi="宋体" w:eastAsia="宋体" w:cs="宋体"/>
                <w:kern w:val="0"/>
              </w:rPr>
              <w:t>天通猫</w:t>
            </w:r>
          </w:p>
        </w:tc>
        <w:tc>
          <w:tcPr>
            <w:tcW w:w="870" w:type="pct"/>
            <w:tcBorders>
              <w:tl2br w:val="nil"/>
              <w:tr2bl w:val="nil"/>
            </w:tcBorders>
            <w:noWrap/>
            <w:vAlign w:val="center"/>
          </w:tcPr>
          <w:p w14:paraId="467FBC28">
            <w:pPr>
              <w:widowControl/>
              <w:jc w:val="center"/>
              <w:rPr>
                <w:rFonts w:hint="eastAsia" w:ascii="宋体" w:hAnsi="宋体" w:eastAsia="宋体" w:cs="宋体"/>
                <w:kern w:val="0"/>
              </w:rPr>
            </w:pPr>
            <w:r>
              <w:rPr>
                <w:rFonts w:hint="eastAsia" w:ascii="宋体" w:hAnsi="宋体" w:eastAsia="宋体" w:cs="宋体"/>
                <w:kern w:val="0"/>
              </w:rPr>
              <w:t>5</w:t>
            </w:r>
          </w:p>
        </w:tc>
        <w:tc>
          <w:tcPr>
            <w:tcW w:w="871" w:type="pct"/>
            <w:tcBorders>
              <w:tl2br w:val="nil"/>
              <w:tr2bl w:val="nil"/>
            </w:tcBorders>
            <w:noWrap/>
            <w:vAlign w:val="center"/>
          </w:tcPr>
          <w:p w14:paraId="2D622F29">
            <w:pPr>
              <w:widowControl/>
              <w:jc w:val="center"/>
              <w:rPr>
                <w:rFonts w:hint="eastAsia" w:ascii="宋体" w:hAnsi="宋体" w:eastAsia="宋体" w:cs="宋体"/>
                <w:kern w:val="0"/>
              </w:rPr>
            </w:pPr>
            <w:r>
              <w:rPr>
                <w:rFonts w:hint="eastAsia" w:ascii="宋体" w:hAnsi="宋体" w:eastAsia="宋体" w:cs="宋体"/>
                <w:kern w:val="0"/>
              </w:rPr>
              <w:t>个</w:t>
            </w:r>
          </w:p>
        </w:tc>
      </w:tr>
      <w:tr w14:paraId="2CFCDBC4">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870" w:type="pct"/>
            <w:tcBorders>
              <w:tl2br w:val="nil"/>
              <w:tr2bl w:val="nil"/>
            </w:tcBorders>
            <w:shd w:val="clear" w:color="000000" w:fill="FFFFFF"/>
            <w:vAlign w:val="center"/>
          </w:tcPr>
          <w:p w14:paraId="7239CEB7">
            <w:pPr>
              <w:widowControl/>
              <w:jc w:val="center"/>
              <w:rPr>
                <w:rFonts w:hint="eastAsia" w:ascii="宋体" w:hAnsi="宋体" w:eastAsia="宋体" w:cs="宋体"/>
                <w:kern w:val="0"/>
              </w:rPr>
            </w:pPr>
            <w:r>
              <w:rPr>
                <w:rFonts w:hint="eastAsia"/>
              </w:rPr>
              <w:t>22</w:t>
            </w:r>
          </w:p>
        </w:tc>
        <w:tc>
          <w:tcPr>
            <w:tcW w:w="2386" w:type="pct"/>
            <w:tcBorders>
              <w:tl2br w:val="nil"/>
              <w:tr2bl w:val="nil"/>
            </w:tcBorders>
            <w:noWrap/>
            <w:vAlign w:val="center"/>
          </w:tcPr>
          <w:p w14:paraId="2EBC46A8">
            <w:pPr>
              <w:widowControl/>
              <w:jc w:val="center"/>
              <w:rPr>
                <w:rFonts w:hint="eastAsia" w:ascii="宋体" w:hAnsi="宋体" w:eastAsia="宋体" w:cs="宋体"/>
                <w:kern w:val="0"/>
              </w:rPr>
            </w:pPr>
            <w:r>
              <w:rPr>
                <w:rFonts w:hint="eastAsia" w:ascii="宋体" w:hAnsi="宋体" w:eastAsia="宋体" w:cs="宋体"/>
                <w:kern w:val="0"/>
              </w:rPr>
              <w:t>车辆单北斗定位终端</w:t>
            </w:r>
          </w:p>
        </w:tc>
        <w:tc>
          <w:tcPr>
            <w:tcW w:w="870" w:type="pct"/>
            <w:tcBorders>
              <w:tl2br w:val="nil"/>
              <w:tr2bl w:val="nil"/>
            </w:tcBorders>
            <w:noWrap/>
            <w:vAlign w:val="center"/>
          </w:tcPr>
          <w:p w14:paraId="07EF5E65">
            <w:pPr>
              <w:widowControl/>
              <w:jc w:val="center"/>
              <w:rPr>
                <w:rFonts w:hint="eastAsia" w:ascii="宋体" w:hAnsi="宋体" w:eastAsia="宋体" w:cs="宋体"/>
                <w:kern w:val="0"/>
              </w:rPr>
            </w:pPr>
            <w:r>
              <w:rPr>
                <w:rFonts w:hint="eastAsia" w:ascii="宋体" w:hAnsi="宋体" w:eastAsia="宋体" w:cs="宋体"/>
                <w:kern w:val="0"/>
              </w:rPr>
              <w:t>20</w:t>
            </w:r>
          </w:p>
        </w:tc>
        <w:tc>
          <w:tcPr>
            <w:tcW w:w="871" w:type="pct"/>
            <w:tcBorders>
              <w:tl2br w:val="nil"/>
              <w:tr2bl w:val="nil"/>
            </w:tcBorders>
            <w:noWrap/>
            <w:vAlign w:val="center"/>
          </w:tcPr>
          <w:p w14:paraId="0505077C">
            <w:pPr>
              <w:widowControl/>
              <w:jc w:val="center"/>
              <w:rPr>
                <w:rFonts w:hint="eastAsia" w:ascii="宋体" w:hAnsi="宋体" w:eastAsia="宋体" w:cs="宋体"/>
                <w:kern w:val="0"/>
              </w:rPr>
            </w:pPr>
            <w:r>
              <w:rPr>
                <w:rFonts w:hint="eastAsia" w:ascii="宋体" w:hAnsi="宋体" w:eastAsia="宋体" w:cs="宋体"/>
                <w:kern w:val="0"/>
              </w:rPr>
              <w:t>台</w:t>
            </w:r>
          </w:p>
        </w:tc>
      </w:tr>
      <w:tr w14:paraId="040D59AA">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870" w:type="pct"/>
            <w:tcBorders>
              <w:tl2br w:val="nil"/>
              <w:tr2bl w:val="nil"/>
            </w:tcBorders>
            <w:shd w:val="clear" w:color="000000" w:fill="FFFFFF"/>
            <w:vAlign w:val="center"/>
          </w:tcPr>
          <w:p w14:paraId="7B87BF1F">
            <w:pPr>
              <w:widowControl/>
              <w:jc w:val="center"/>
              <w:rPr>
                <w:rFonts w:hint="eastAsia" w:ascii="宋体" w:hAnsi="宋体" w:eastAsia="宋体" w:cs="宋体"/>
                <w:kern w:val="0"/>
              </w:rPr>
            </w:pPr>
            <w:r>
              <w:rPr>
                <w:rFonts w:hint="eastAsia"/>
              </w:rPr>
              <w:t>23</w:t>
            </w:r>
          </w:p>
        </w:tc>
        <w:tc>
          <w:tcPr>
            <w:tcW w:w="2386" w:type="pct"/>
            <w:tcBorders>
              <w:tl2br w:val="nil"/>
              <w:tr2bl w:val="nil"/>
            </w:tcBorders>
            <w:noWrap/>
            <w:vAlign w:val="center"/>
          </w:tcPr>
          <w:p w14:paraId="21BC0F0F">
            <w:pPr>
              <w:widowControl/>
              <w:jc w:val="center"/>
              <w:rPr>
                <w:rFonts w:hint="eastAsia" w:ascii="宋体" w:hAnsi="宋体" w:eastAsia="宋体" w:cs="宋体"/>
                <w:kern w:val="0"/>
              </w:rPr>
            </w:pPr>
            <w:r>
              <w:rPr>
                <w:rFonts w:hint="eastAsia" w:ascii="宋体" w:hAnsi="宋体" w:eastAsia="宋体" w:cs="宋体"/>
                <w:kern w:val="0"/>
              </w:rPr>
              <w:t>现场宽带自组网中继通信机</w:t>
            </w:r>
          </w:p>
        </w:tc>
        <w:tc>
          <w:tcPr>
            <w:tcW w:w="870" w:type="pct"/>
            <w:tcBorders>
              <w:tl2br w:val="nil"/>
              <w:tr2bl w:val="nil"/>
            </w:tcBorders>
            <w:noWrap/>
            <w:vAlign w:val="center"/>
          </w:tcPr>
          <w:p w14:paraId="469A8399">
            <w:pPr>
              <w:widowControl/>
              <w:jc w:val="center"/>
              <w:rPr>
                <w:rFonts w:hint="eastAsia" w:ascii="宋体" w:hAnsi="宋体" w:eastAsia="宋体" w:cs="宋体"/>
                <w:kern w:val="0"/>
              </w:rPr>
            </w:pPr>
            <w:r>
              <w:rPr>
                <w:rFonts w:hint="eastAsia" w:ascii="宋体" w:hAnsi="宋体" w:eastAsia="宋体" w:cs="宋体"/>
                <w:kern w:val="0"/>
              </w:rPr>
              <w:t>1</w:t>
            </w:r>
          </w:p>
        </w:tc>
        <w:tc>
          <w:tcPr>
            <w:tcW w:w="871" w:type="pct"/>
            <w:tcBorders>
              <w:tl2br w:val="nil"/>
              <w:tr2bl w:val="nil"/>
            </w:tcBorders>
            <w:noWrap/>
            <w:vAlign w:val="center"/>
          </w:tcPr>
          <w:p w14:paraId="30B7538F">
            <w:pPr>
              <w:widowControl/>
              <w:jc w:val="center"/>
              <w:rPr>
                <w:rFonts w:hint="eastAsia" w:ascii="宋体" w:hAnsi="宋体" w:eastAsia="宋体" w:cs="宋体"/>
                <w:kern w:val="0"/>
              </w:rPr>
            </w:pPr>
            <w:r>
              <w:rPr>
                <w:rFonts w:hint="eastAsia" w:ascii="宋体" w:hAnsi="宋体" w:eastAsia="宋体" w:cs="宋体"/>
                <w:kern w:val="0"/>
              </w:rPr>
              <w:t>台</w:t>
            </w:r>
          </w:p>
        </w:tc>
      </w:tr>
      <w:tr w14:paraId="51CE2A65">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870" w:type="pct"/>
            <w:tcBorders>
              <w:tl2br w:val="nil"/>
              <w:tr2bl w:val="nil"/>
            </w:tcBorders>
            <w:shd w:val="clear" w:color="000000" w:fill="FFFFFF"/>
            <w:vAlign w:val="center"/>
          </w:tcPr>
          <w:p w14:paraId="0F357187">
            <w:pPr>
              <w:widowControl/>
              <w:jc w:val="center"/>
              <w:rPr>
                <w:rFonts w:hint="eastAsia" w:ascii="宋体" w:hAnsi="宋体" w:eastAsia="宋体" w:cs="宋体"/>
                <w:kern w:val="0"/>
              </w:rPr>
            </w:pPr>
            <w:r>
              <w:rPr>
                <w:rFonts w:hint="eastAsia"/>
              </w:rPr>
              <w:t>24</w:t>
            </w:r>
          </w:p>
        </w:tc>
        <w:tc>
          <w:tcPr>
            <w:tcW w:w="2386" w:type="pct"/>
            <w:tcBorders>
              <w:tl2br w:val="nil"/>
              <w:tr2bl w:val="nil"/>
            </w:tcBorders>
            <w:noWrap/>
            <w:vAlign w:val="center"/>
          </w:tcPr>
          <w:p w14:paraId="10510650">
            <w:pPr>
              <w:widowControl/>
              <w:jc w:val="center"/>
              <w:rPr>
                <w:rFonts w:hint="eastAsia" w:ascii="宋体" w:hAnsi="宋体" w:eastAsia="宋体" w:cs="宋体"/>
                <w:kern w:val="0"/>
              </w:rPr>
            </w:pPr>
            <w:r>
              <w:rPr>
                <w:rFonts w:hint="eastAsia" w:ascii="宋体" w:hAnsi="宋体" w:eastAsia="宋体" w:cs="宋体"/>
                <w:kern w:val="0"/>
              </w:rPr>
              <w:t>三屏指挥系统</w:t>
            </w:r>
          </w:p>
        </w:tc>
        <w:tc>
          <w:tcPr>
            <w:tcW w:w="870" w:type="pct"/>
            <w:tcBorders>
              <w:tl2br w:val="nil"/>
              <w:tr2bl w:val="nil"/>
            </w:tcBorders>
            <w:noWrap/>
            <w:vAlign w:val="center"/>
          </w:tcPr>
          <w:p w14:paraId="0F6BDC5E">
            <w:pPr>
              <w:widowControl/>
              <w:jc w:val="center"/>
              <w:rPr>
                <w:rFonts w:hint="eastAsia" w:ascii="宋体" w:hAnsi="宋体" w:eastAsia="宋体" w:cs="宋体"/>
                <w:kern w:val="0"/>
              </w:rPr>
            </w:pPr>
            <w:r>
              <w:rPr>
                <w:rFonts w:hint="eastAsia" w:ascii="宋体" w:hAnsi="宋体" w:eastAsia="宋体" w:cs="宋体"/>
                <w:kern w:val="0"/>
              </w:rPr>
              <w:t>1</w:t>
            </w:r>
          </w:p>
        </w:tc>
        <w:tc>
          <w:tcPr>
            <w:tcW w:w="871" w:type="pct"/>
            <w:tcBorders>
              <w:tl2br w:val="nil"/>
              <w:tr2bl w:val="nil"/>
            </w:tcBorders>
            <w:noWrap/>
            <w:vAlign w:val="center"/>
          </w:tcPr>
          <w:p w14:paraId="37F1C98E">
            <w:pPr>
              <w:widowControl/>
              <w:jc w:val="center"/>
              <w:rPr>
                <w:rFonts w:hint="eastAsia" w:ascii="宋体" w:hAnsi="宋体" w:eastAsia="宋体" w:cs="宋体"/>
                <w:kern w:val="0"/>
              </w:rPr>
            </w:pPr>
            <w:r>
              <w:rPr>
                <w:rFonts w:hint="eastAsia" w:ascii="宋体" w:hAnsi="宋体" w:eastAsia="宋体" w:cs="宋体"/>
                <w:kern w:val="0"/>
              </w:rPr>
              <w:t>台</w:t>
            </w:r>
          </w:p>
        </w:tc>
      </w:tr>
      <w:tr w14:paraId="223C41E4">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870" w:type="pct"/>
            <w:tcBorders>
              <w:tl2br w:val="nil"/>
              <w:tr2bl w:val="nil"/>
            </w:tcBorders>
            <w:shd w:val="clear" w:color="000000" w:fill="FFFFFF"/>
            <w:vAlign w:val="center"/>
          </w:tcPr>
          <w:p w14:paraId="6D3D4E6A">
            <w:pPr>
              <w:widowControl/>
              <w:jc w:val="center"/>
              <w:rPr>
                <w:rFonts w:hint="eastAsia" w:ascii="宋体" w:hAnsi="宋体" w:eastAsia="宋体" w:cs="宋体"/>
                <w:kern w:val="0"/>
              </w:rPr>
            </w:pPr>
            <w:r>
              <w:rPr>
                <w:rFonts w:hint="eastAsia"/>
              </w:rPr>
              <w:t>25</w:t>
            </w:r>
          </w:p>
        </w:tc>
        <w:tc>
          <w:tcPr>
            <w:tcW w:w="2386" w:type="pct"/>
            <w:tcBorders>
              <w:tl2br w:val="nil"/>
              <w:tr2bl w:val="nil"/>
            </w:tcBorders>
            <w:noWrap/>
            <w:vAlign w:val="center"/>
          </w:tcPr>
          <w:p w14:paraId="63F61DA9">
            <w:pPr>
              <w:widowControl/>
              <w:jc w:val="center"/>
              <w:rPr>
                <w:rFonts w:hint="eastAsia" w:ascii="宋体" w:hAnsi="宋体" w:eastAsia="宋体" w:cs="宋体"/>
                <w:kern w:val="0"/>
              </w:rPr>
            </w:pPr>
            <w:r>
              <w:rPr>
                <w:rFonts w:hint="eastAsia" w:ascii="宋体" w:hAnsi="宋体" w:eastAsia="宋体" w:cs="宋体"/>
                <w:kern w:val="0"/>
              </w:rPr>
              <w:t>喊话器</w:t>
            </w:r>
          </w:p>
        </w:tc>
        <w:tc>
          <w:tcPr>
            <w:tcW w:w="870" w:type="pct"/>
            <w:tcBorders>
              <w:tl2br w:val="nil"/>
              <w:tr2bl w:val="nil"/>
            </w:tcBorders>
            <w:noWrap/>
            <w:vAlign w:val="center"/>
          </w:tcPr>
          <w:p w14:paraId="73DCBE9F">
            <w:pPr>
              <w:widowControl/>
              <w:jc w:val="center"/>
              <w:rPr>
                <w:rFonts w:hint="eastAsia" w:ascii="宋体" w:hAnsi="宋体" w:eastAsia="宋体" w:cs="宋体"/>
                <w:kern w:val="0"/>
              </w:rPr>
            </w:pPr>
            <w:r>
              <w:rPr>
                <w:rFonts w:hint="eastAsia" w:ascii="宋体" w:hAnsi="宋体" w:eastAsia="宋体" w:cs="宋体"/>
                <w:kern w:val="0"/>
              </w:rPr>
              <w:t>2</w:t>
            </w:r>
          </w:p>
        </w:tc>
        <w:tc>
          <w:tcPr>
            <w:tcW w:w="871" w:type="pct"/>
            <w:tcBorders>
              <w:tl2br w:val="nil"/>
              <w:tr2bl w:val="nil"/>
            </w:tcBorders>
            <w:noWrap/>
            <w:vAlign w:val="center"/>
          </w:tcPr>
          <w:p w14:paraId="7689DEFB">
            <w:pPr>
              <w:widowControl/>
              <w:jc w:val="center"/>
              <w:rPr>
                <w:rFonts w:hint="eastAsia" w:ascii="宋体" w:hAnsi="宋体" w:eastAsia="宋体" w:cs="宋体"/>
                <w:kern w:val="0"/>
              </w:rPr>
            </w:pPr>
            <w:r>
              <w:rPr>
                <w:rFonts w:hint="eastAsia" w:ascii="宋体" w:hAnsi="宋体" w:eastAsia="宋体" w:cs="宋体"/>
                <w:kern w:val="0"/>
              </w:rPr>
              <w:t>个</w:t>
            </w:r>
          </w:p>
        </w:tc>
      </w:tr>
    </w:tbl>
    <w:p w14:paraId="7CB8814B">
      <w:pPr>
        <w:pStyle w:val="15"/>
      </w:pPr>
      <w:r>
        <w:rPr>
          <w:rFonts w:hint="eastAsia"/>
        </w:rPr>
        <w:t>3.各场景下设备携带情况说明</w:t>
      </w:r>
    </w:p>
    <w:p w14:paraId="4D4526A9">
      <w:pPr>
        <w:pStyle w:val="15"/>
      </w:pPr>
      <w:r>
        <w:rPr>
          <w:rFonts w:hint="eastAsia"/>
        </w:rPr>
        <w:t>（1）单人救援场景</w:t>
      </w:r>
    </w:p>
    <w:p w14:paraId="70E90A84">
      <w:pPr>
        <w:pStyle w:val="15"/>
      </w:pPr>
      <w:r>
        <w:rPr>
          <w:rFonts w:hint="eastAsia"/>
        </w:rPr>
        <w:t>当只能单人进行医学救援时，其背负的应急通信设备应简单、实用。其中的双模对讲机用于语音通话，智能头盔可起到防护和视频采集作用，贴片定位终端能提供救援人员的定位信息，这三样是基础应急通信设备，应急通信保障时各应携带1台。</w:t>
      </w:r>
    </w:p>
    <w:p w14:paraId="37456416">
      <w:pPr>
        <w:pStyle w:val="15"/>
      </w:pPr>
      <w:r>
        <w:rPr>
          <w:rFonts w:hint="eastAsia"/>
        </w:rPr>
        <w:t>若应急现场有4G/信号（包括公网、租赁应急通信车保障服务、租赁空中应急通信保障服务），可携带应急通信三件套即可前往；若需要全局视野，可再携带1个布控球。</w:t>
      </w:r>
    </w:p>
    <w:p w14:paraId="7C1D7CD3">
      <w:pPr>
        <w:pStyle w:val="15"/>
      </w:pPr>
      <w:r>
        <w:rPr>
          <w:rFonts w:hint="eastAsia"/>
        </w:rPr>
        <w:t>若应急现场无公网，可在应急终端三件套的基础上，加个天通猫或卫星电话。此时，可利用天通猫或卫星电话来进行语音通话，但不能传输视频；若要传输视频，可携带应急通信三件套和卫星便携站，由卫星便携站提供音视频的回传通道。</w:t>
      </w:r>
    </w:p>
    <w:p w14:paraId="124AACE1">
      <w:pPr>
        <w:pStyle w:val="15"/>
      </w:pPr>
      <w:r>
        <w:rPr>
          <w:rFonts w:hint="eastAsia"/>
        </w:rPr>
        <w:t>因天通猫、卫星电话体积小、重量轻，能在极端情况下提供天通语音通话通道，建议无论应急现场有没有公网，天通猫、卫星电话都应带上。</w:t>
      </w:r>
    </w:p>
    <w:p w14:paraId="55D701E3">
      <w:pPr>
        <w:pStyle w:val="44"/>
        <w:keepNext w:val="0"/>
        <w:keepLines w:val="0"/>
        <w:pageBreakBefore w:val="0"/>
        <w:widowControl w:val="0"/>
        <w:kinsoku/>
        <w:wordWrap/>
        <w:overflowPunct/>
        <w:topLinePunct w:val="0"/>
        <w:autoSpaceDE/>
        <w:autoSpaceDN/>
        <w:bidi w:val="0"/>
        <w:adjustRightInd/>
        <w:snapToGrid/>
        <w:spacing w:before="0" w:after="0" w:line="240" w:lineRule="auto"/>
        <w:ind w:firstLine="0" w:firstLineChars="0"/>
        <w:jc w:val="center"/>
        <w:textAlignment w:val="auto"/>
        <w:rPr>
          <w:rFonts w:hint="eastAsia"/>
        </w:rPr>
      </w:pPr>
      <w:r>
        <w:drawing>
          <wp:inline distT="0" distB="0" distL="0" distR="0">
            <wp:extent cx="5716270" cy="2175510"/>
            <wp:effectExtent l="0" t="0" r="13970" b="3810"/>
            <wp:docPr id="12524973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2497313" name="图片 1"/>
                    <pic:cNvPicPr>
                      <a:picLocks noChangeAspect="1"/>
                    </pic:cNvPicPr>
                  </pic:nvPicPr>
                  <pic:blipFill>
                    <a:blip r:embed="rId12"/>
                    <a:stretch>
                      <a:fillRect/>
                    </a:stretch>
                  </pic:blipFill>
                  <pic:spPr>
                    <a:xfrm>
                      <a:off x="0" y="0"/>
                      <a:ext cx="5716270" cy="2175510"/>
                    </a:xfrm>
                    <a:prstGeom prst="rect">
                      <a:avLst/>
                    </a:prstGeom>
                  </pic:spPr>
                </pic:pic>
              </a:graphicData>
            </a:graphic>
          </wp:inline>
        </w:drawing>
      </w:r>
    </w:p>
    <w:p w14:paraId="34704C9D">
      <w:pPr>
        <w:pStyle w:val="50"/>
        <w:spacing w:line="240" w:lineRule="auto"/>
        <w:ind w:firstLine="0" w:firstLineChars="0"/>
        <w:jc w:val="center"/>
        <w:rPr>
          <w:rFonts w:hint="eastAsia" w:ascii="黑体" w:hAnsi="黑体" w:eastAsia="黑体" w:cs="黑体"/>
          <w:sz w:val="20"/>
        </w:rPr>
      </w:pPr>
      <w:r>
        <w:rPr>
          <w:rFonts w:hint="eastAsia" w:ascii="黑体" w:hAnsi="黑体" w:eastAsia="黑体" w:cs="黑体"/>
          <w:sz w:val="20"/>
        </w:rPr>
        <w:t>图</w:t>
      </w:r>
      <w:r>
        <w:rPr>
          <w:rFonts w:hint="eastAsia" w:ascii="黑体" w:hAnsi="黑体" w:eastAsia="黑体" w:cs="黑体"/>
          <w:sz w:val="20"/>
        </w:rPr>
        <w:fldChar w:fldCharType="begin"/>
      </w:r>
      <w:r>
        <w:rPr>
          <w:rFonts w:hint="eastAsia" w:ascii="黑体" w:hAnsi="黑体" w:eastAsia="黑体" w:cs="黑体"/>
          <w:sz w:val="20"/>
        </w:rPr>
        <w:instrText xml:space="preserve"> STYLEREF 1 \s </w:instrText>
      </w:r>
      <w:r>
        <w:rPr>
          <w:rFonts w:hint="eastAsia" w:ascii="黑体" w:hAnsi="黑体" w:eastAsia="黑体" w:cs="黑体"/>
          <w:sz w:val="20"/>
        </w:rPr>
        <w:fldChar w:fldCharType="separate"/>
      </w:r>
      <w:r>
        <w:rPr>
          <w:rFonts w:hint="eastAsia" w:ascii="黑体" w:hAnsi="黑体" w:eastAsia="黑体" w:cs="黑体"/>
          <w:sz w:val="20"/>
        </w:rPr>
        <w:t>0</w:t>
      </w:r>
      <w:r>
        <w:rPr>
          <w:rFonts w:hint="eastAsia" w:ascii="黑体" w:hAnsi="黑体" w:eastAsia="黑体" w:cs="黑体"/>
          <w:sz w:val="20"/>
        </w:rPr>
        <w:fldChar w:fldCharType="end"/>
      </w:r>
      <w:r>
        <w:rPr>
          <w:rFonts w:hint="eastAsia" w:ascii="黑体" w:hAnsi="黑体" w:eastAsia="黑体" w:cs="黑体"/>
          <w:sz w:val="20"/>
        </w:rPr>
        <w:noBreakHyphen/>
      </w:r>
      <w:r>
        <w:rPr>
          <w:rFonts w:hint="eastAsia" w:ascii="黑体" w:hAnsi="黑体" w:eastAsia="黑体" w:cs="黑体"/>
          <w:sz w:val="20"/>
        </w:rPr>
        <w:fldChar w:fldCharType="begin"/>
      </w:r>
      <w:r>
        <w:rPr>
          <w:rFonts w:hint="eastAsia" w:ascii="黑体" w:hAnsi="黑体" w:eastAsia="黑体" w:cs="黑体"/>
          <w:sz w:val="20"/>
        </w:rPr>
        <w:instrText xml:space="preserve"> SEQ 图 \* ARABIC \s 1 </w:instrText>
      </w:r>
      <w:r>
        <w:rPr>
          <w:rFonts w:hint="eastAsia" w:ascii="黑体" w:hAnsi="黑体" w:eastAsia="黑体" w:cs="黑体"/>
          <w:sz w:val="20"/>
        </w:rPr>
        <w:fldChar w:fldCharType="separate"/>
      </w:r>
      <w:r>
        <w:rPr>
          <w:rFonts w:hint="eastAsia" w:ascii="黑体" w:hAnsi="黑体" w:eastAsia="黑体" w:cs="黑体"/>
          <w:sz w:val="20"/>
        </w:rPr>
        <w:t>9</w:t>
      </w:r>
      <w:r>
        <w:rPr>
          <w:rFonts w:hint="eastAsia" w:ascii="黑体" w:hAnsi="黑体" w:eastAsia="黑体" w:cs="黑体"/>
          <w:sz w:val="20"/>
        </w:rPr>
        <w:fldChar w:fldCharType="end"/>
      </w:r>
      <w:bookmarkStart w:id="17" w:name="_Toc1841"/>
      <w:bookmarkStart w:id="18" w:name="_Toc21069"/>
      <w:r>
        <w:rPr>
          <w:rFonts w:hint="eastAsia" w:ascii="黑体" w:hAnsi="黑体" w:eastAsia="黑体" w:cs="黑体"/>
          <w:sz w:val="20"/>
        </w:rPr>
        <w:t>各场景下设备携带与业务类型图（单人救援场景）</w:t>
      </w:r>
      <w:bookmarkEnd w:id="17"/>
      <w:bookmarkEnd w:id="18"/>
    </w:p>
    <w:p w14:paraId="5337F322">
      <w:pPr>
        <w:pStyle w:val="15"/>
      </w:pPr>
      <w:r>
        <w:rPr>
          <w:rFonts w:hint="eastAsia"/>
        </w:rPr>
        <w:t>（2）多人救援场景</w:t>
      </w:r>
    </w:p>
    <w:p w14:paraId="24773FDC">
      <w:pPr>
        <w:pStyle w:val="15"/>
      </w:pPr>
      <w:r>
        <w:rPr>
          <w:rFonts w:hint="eastAsia"/>
        </w:rPr>
        <w:t>当多人进行医学救援时，其背负的应急通信设备应保证前方语音、视频都能采集并回传至通信指挥车或指挥中心。背负的基础设备包括双模对讲机、智能头盔、贴片定位终端、布控球，其中的双模对讲机用于语音通话，智能头盔可起到防护和视频采集作用，贴片定位终端能提供救援人员的定位信息，布控球架设在应急现场旁边，掌控现场全局视野。</w:t>
      </w:r>
    </w:p>
    <w:p w14:paraId="0DD9B2F7">
      <w:pPr>
        <w:pStyle w:val="15"/>
      </w:pPr>
      <w:r>
        <w:rPr>
          <w:rFonts w:hint="eastAsia"/>
        </w:rPr>
        <w:t>若应急现场有4G/5G信号（包括公网、租赁应急通信车保障服务、租赁空中应急通信保障服务），可携带应急终端四件套前往现场实施救援。</w:t>
      </w:r>
    </w:p>
    <w:p w14:paraId="73B3719D">
      <w:pPr>
        <w:pStyle w:val="15"/>
      </w:pPr>
      <w:r>
        <w:rPr>
          <w:rFonts w:hint="eastAsia"/>
        </w:rPr>
        <w:t>若应急现场无公网，但离应急通信车不远，且与应急通信车无严重遮挡，可携带四件套和Mesh自组网背负电台进行应急通信保障。</w:t>
      </w:r>
    </w:p>
    <w:p w14:paraId="461A839A">
      <w:pPr>
        <w:pStyle w:val="15"/>
      </w:pPr>
      <w:r>
        <w:rPr>
          <w:rFonts w:hint="eastAsia"/>
        </w:rPr>
        <w:t>若应急现场无公网，且远离应急通信车，可携带应急终端四件套和卫星便携站，由卫星便携站提供音视频的回传通道。若有多处应急救援点，还应带上Mesh自组网背负电台。</w:t>
      </w:r>
    </w:p>
    <w:p w14:paraId="0237969F">
      <w:pPr>
        <w:pStyle w:val="15"/>
      </w:pPr>
      <w:r>
        <w:rPr>
          <w:rFonts w:hint="eastAsia"/>
        </w:rPr>
        <w:t>同单人救援场景一样，建议无论应急现场有没有公网，天通猫、卫星电话都应带上。</w:t>
      </w:r>
    </w:p>
    <w:p w14:paraId="299A05EA">
      <w:pPr>
        <w:pStyle w:val="44"/>
        <w:keepNext w:val="0"/>
        <w:keepLines w:val="0"/>
        <w:pageBreakBefore w:val="0"/>
        <w:widowControl w:val="0"/>
        <w:kinsoku/>
        <w:wordWrap/>
        <w:overflowPunct/>
        <w:topLinePunct w:val="0"/>
        <w:autoSpaceDE/>
        <w:autoSpaceDN/>
        <w:bidi w:val="0"/>
        <w:adjustRightInd/>
        <w:snapToGrid/>
        <w:spacing w:before="0" w:after="0" w:line="240" w:lineRule="auto"/>
        <w:ind w:firstLine="0" w:firstLineChars="0"/>
        <w:jc w:val="center"/>
        <w:textAlignment w:val="auto"/>
        <w:rPr>
          <w:rFonts w:hint="eastAsia"/>
        </w:rPr>
      </w:pPr>
      <w:r>
        <w:drawing>
          <wp:inline distT="0" distB="0" distL="0" distR="0">
            <wp:extent cx="5758815" cy="2774315"/>
            <wp:effectExtent l="0" t="0" r="1905" b="14605"/>
            <wp:docPr id="132265610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2656106" name="图片 1"/>
                    <pic:cNvPicPr>
                      <a:picLocks noChangeAspect="1"/>
                    </pic:cNvPicPr>
                  </pic:nvPicPr>
                  <pic:blipFill>
                    <a:blip r:embed="rId13"/>
                    <a:stretch>
                      <a:fillRect/>
                    </a:stretch>
                  </pic:blipFill>
                  <pic:spPr>
                    <a:xfrm>
                      <a:off x="0" y="0"/>
                      <a:ext cx="5758815" cy="2774315"/>
                    </a:xfrm>
                    <a:prstGeom prst="rect">
                      <a:avLst/>
                    </a:prstGeom>
                  </pic:spPr>
                </pic:pic>
              </a:graphicData>
            </a:graphic>
          </wp:inline>
        </w:drawing>
      </w:r>
    </w:p>
    <w:p w14:paraId="14E1A5AC">
      <w:pPr>
        <w:pStyle w:val="19"/>
        <w:keepNext w:val="0"/>
        <w:keepLines w:val="0"/>
        <w:pageBreakBefore w:val="0"/>
        <w:widowControl w:val="0"/>
        <w:kinsoku/>
        <w:wordWrap/>
        <w:overflowPunct/>
        <w:topLinePunct w:val="0"/>
        <w:autoSpaceDE/>
        <w:autoSpaceDN/>
        <w:bidi w:val="0"/>
        <w:adjustRightInd/>
        <w:snapToGrid/>
        <w:textAlignment w:val="auto"/>
      </w:pPr>
      <w:r>
        <w:t xml:space="preserve">图 </w:t>
      </w:r>
      <w:r>
        <w:fldChar w:fldCharType="begin"/>
      </w:r>
      <w:r>
        <w:instrText xml:space="preserve"> STYLEREF 1 \s </w:instrText>
      </w:r>
      <w:r>
        <w:fldChar w:fldCharType="separate"/>
      </w:r>
      <w:r>
        <w:t>0</w:t>
      </w:r>
      <w:r>
        <w:rPr>
          <w:rFonts w:hint="eastAsia"/>
        </w:rPr>
        <w:fldChar w:fldCharType="end"/>
      </w:r>
      <w:r>
        <w:rPr>
          <w:rFonts w:hint="eastAsia"/>
        </w:rPr>
        <w:t>-</w:t>
      </w:r>
      <w:r>
        <w:fldChar w:fldCharType="begin"/>
      </w:r>
      <w:r>
        <w:instrText xml:space="preserve"> SEQ 图 \* ARABIC \s 1 </w:instrText>
      </w:r>
      <w:r>
        <w:fldChar w:fldCharType="separate"/>
      </w:r>
      <w:r>
        <w:t>10</w:t>
      </w:r>
      <w:r>
        <w:fldChar w:fldCharType="end"/>
      </w:r>
      <w:bookmarkStart w:id="19" w:name="_Toc9297"/>
      <w:r>
        <w:rPr>
          <w:rFonts w:hint="eastAsia" w:ascii="黑体" w:hAnsi="黑体" w:cs="黑体"/>
        </w:rPr>
        <w:t>各场景下设备携带与业务类型图（多人救援场景）</w:t>
      </w:r>
      <w:bookmarkEnd w:id="19"/>
    </w:p>
    <w:p w14:paraId="2F9D82CA">
      <w:pPr>
        <w:pStyle w:val="10"/>
        <w:keepNext w:val="0"/>
        <w:keepLines w:val="0"/>
        <w:pageBreakBefore w:val="0"/>
        <w:widowControl w:val="0"/>
        <w:tabs>
          <w:tab w:val="left" w:pos="0"/>
        </w:tabs>
        <w:kinsoku/>
        <w:wordWrap/>
        <w:overflowPunct/>
        <w:topLinePunct w:val="0"/>
        <w:autoSpaceDE/>
        <w:autoSpaceDN/>
        <w:bidi w:val="0"/>
        <w:adjustRightInd/>
        <w:snapToGrid/>
        <w:spacing w:line="320" w:lineRule="auto"/>
        <w:ind w:left="0"/>
        <w:textAlignment w:val="auto"/>
      </w:pPr>
      <w:r>
        <w:rPr>
          <w:rFonts w:hint="eastAsia"/>
        </w:rPr>
        <w:t>无人机系统</w:t>
      </w:r>
    </w:p>
    <w:p w14:paraId="48AF47EA">
      <w:pPr>
        <w:pStyle w:val="15"/>
      </w:pPr>
      <w:r>
        <w:rPr>
          <w:rFonts w:hint="eastAsia"/>
        </w:rPr>
        <w:t>无人机具有良好的机动性，在应急通信系统中发挥着重大的作用，是高空侦察、物资投放、大范围照明的理想平台。</w:t>
      </w:r>
    </w:p>
    <w:p w14:paraId="0766AF42">
      <w:pPr>
        <w:pStyle w:val="15"/>
      </w:pPr>
      <w:r>
        <w:rPr>
          <w:rFonts w:hint="eastAsia"/>
        </w:rPr>
        <w:t>本项目共配备3台无人机，其中1台航拍运输无人机，用于高空机动侦察；1台运输无人机，配备配套的载荷平台，用于物资投放；1台系留无人机，搭载配套的系留电源，能长时间滞空保障大范围照明。</w:t>
      </w:r>
    </w:p>
    <w:p w14:paraId="095E22E3">
      <w:pPr>
        <w:pStyle w:val="44"/>
        <w:spacing w:before="0" w:after="0" w:line="240" w:lineRule="auto"/>
        <w:ind w:firstLine="0" w:firstLineChars="0"/>
        <w:jc w:val="center"/>
        <w:rPr>
          <w:rFonts w:hint="eastAsia"/>
        </w:rPr>
      </w:pPr>
      <w:r>
        <w:drawing>
          <wp:inline distT="0" distB="0" distL="0" distR="0">
            <wp:extent cx="2736850" cy="2749550"/>
            <wp:effectExtent l="0" t="0" r="6350" b="8890"/>
            <wp:docPr id="190863417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8634173" name="图片 1"/>
                    <pic:cNvPicPr>
                      <a:picLocks noChangeAspect="1"/>
                    </pic:cNvPicPr>
                  </pic:nvPicPr>
                  <pic:blipFill>
                    <a:blip r:embed="rId14"/>
                    <a:stretch>
                      <a:fillRect/>
                    </a:stretch>
                  </pic:blipFill>
                  <pic:spPr>
                    <a:xfrm>
                      <a:off x="0" y="0"/>
                      <a:ext cx="2736850" cy="2749550"/>
                    </a:xfrm>
                    <a:prstGeom prst="rect">
                      <a:avLst/>
                    </a:prstGeom>
                  </pic:spPr>
                </pic:pic>
              </a:graphicData>
            </a:graphic>
          </wp:inline>
        </w:drawing>
      </w:r>
    </w:p>
    <w:p w14:paraId="7B6D22DF">
      <w:pPr>
        <w:pStyle w:val="19"/>
        <w:keepNext w:val="0"/>
        <w:widowControl w:val="0"/>
      </w:pPr>
      <w:r>
        <w:t xml:space="preserve">图 </w:t>
      </w:r>
      <w:r>
        <w:fldChar w:fldCharType="begin"/>
      </w:r>
      <w:r>
        <w:instrText xml:space="preserve"> STYLEREF 1 \s </w:instrText>
      </w:r>
      <w:r>
        <w:fldChar w:fldCharType="separate"/>
      </w:r>
      <w:r>
        <w:t>0</w:t>
      </w:r>
      <w:r>
        <w:rPr>
          <w:rFonts w:hint="eastAsia"/>
        </w:rPr>
        <w:fldChar w:fldCharType="end"/>
      </w:r>
      <w:r>
        <w:rPr>
          <w:rFonts w:hint="eastAsia"/>
        </w:rPr>
        <w:t>-</w:t>
      </w:r>
      <w:r>
        <w:fldChar w:fldCharType="begin"/>
      </w:r>
      <w:r>
        <w:instrText xml:space="preserve"> SEQ 图 \* ARABIC \s 1 </w:instrText>
      </w:r>
      <w:r>
        <w:fldChar w:fldCharType="separate"/>
      </w:r>
      <w:r>
        <w:t>11</w:t>
      </w:r>
      <w:r>
        <w:fldChar w:fldCharType="end"/>
      </w:r>
      <w:bookmarkStart w:id="20" w:name="_Toc11885"/>
      <w:r>
        <w:rPr>
          <w:rFonts w:hint="eastAsia"/>
        </w:rPr>
        <w:t>无人机系统模块组成</w:t>
      </w:r>
      <w:bookmarkEnd w:id="20"/>
    </w:p>
    <w:p w14:paraId="24DFBEFF">
      <w:pPr>
        <w:pStyle w:val="15"/>
        <w:keepNext w:val="0"/>
        <w:keepLines w:val="0"/>
        <w:pageBreakBefore/>
        <w:widowControl/>
        <w:kinsoku/>
        <w:wordWrap/>
        <w:overflowPunct/>
        <w:topLinePunct w:val="0"/>
        <w:autoSpaceDE/>
        <w:autoSpaceDN/>
        <w:bidi w:val="0"/>
        <w:adjustRightInd/>
        <w:snapToGrid/>
        <w:textAlignment w:val="auto"/>
      </w:pPr>
      <w:r>
        <w:rPr>
          <w:rFonts w:hint="eastAsia"/>
        </w:rPr>
        <w:t>具体配置情况如下：</w:t>
      </w:r>
    </w:p>
    <w:p w14:paraId="36AF0B63">
      <w:pPr>
        <w:pStyle w:val="19"/>
      </w:pPr>
      <w:r>
        <w:t xml:space="preserve">表 </w:t>
      </w:r>
      <w:r>
        <w:fldChar w:fldCharType="begin"/>
      </w:r>
      <w:r>
        <w:instrText xml:space="preserve"> STYLEREF 1 \s </w:instrText>
      </w:r>
      <w:r>
        <w:fldChar w:fldCharType="separate"/>
      </w:r>
      <w:r>
        <w:t>0</w:t>
      </w:r>
      <w:r>
        <w:rPr>
          <w:rFonts w:hint="eastAsia"/>
        </w:rPr>
        <w:fldChar w:fldCharType="end"/>
      </w:r>
      <w:r>
        <w:rPr>
          <w:rFonts w:hint="eastAsia"/>
        </w:rPr>
        <w:t>-</w:t>
      </w:r>
      <w:r>
        <w:fldChar w:fldCharType="begin"/>
      </w:r>
      <w:r>
        <w:instrText xml:space="preserve"> SEQ 表 \* ARABIC \s 1 </w:instrText>
      </w:r>
      <w:r>
        <w:fldChar w:fldCharType="separate"/>
      </w:r>
      <w:r>
        <w:t>3</w:t>
      </w:r>
      <w:r>
        <w:fldChar w:fldCharType="end"/>
      </w:r>
      <w:bookmarkStart w:id="21" w:name="_Toc19565"/>
      <w:r>
        <w:rPr>
          <w:rFonts w:hint="eastAsia"/>
        </w:rPr>
        <w:t>无人机系统具体配置表</w:t>
      </w:r>
      <w:bookmarkEnd w:id="21"/>
    </w:p>
    <w:tbl>
      <w:tblPr>
        <w:tblStyle w:val="25"/>
        <w:tblW w:w="5000" w:type="pct"/>
        <w:tblInd w:w="0" w:type="dxa"/>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67"/>
        <w:gridCol w:w="3081"/>
        <w:gridCol w:w="2070"/>
        <w:gridCol w:w="2068"/>
      </w:tblGrid>
      <w:tr w14:paraId="660BF78E">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1113" w:type="pct"/>
            <w:tcBorders>
              <w:tl2br w:val="nil"/>
              <w:tr2bl w:val="nil"/>
            </w:tcBorders>
            <w:shd w:val="clear" w:color="auto" w:fill="BFBFBF"/>
            <w:noWrap/>
            <w:vAlign w:val="center"/>
          </w:tcPr>
          <w:p w14:paraId="7454AB21">
            <w:pPr>
              <w:widowControl/>
              <w:jc w:val="center"/>
              <w:rPr>
                <w:rFonts w:hint="eastAsia" w:ascii="宋体" w:hAnsi="宋体" w:eastAsia="宋体" w:cs="宋体"/>
                <w:b/>
                <w:bCs/>
                <w:kern w:val="0"/>
              </w:rPr>
            </w:pPr>
            <w:r>
              <w:rPr>
                <w:rFonts w:hint="eastAsia" w:ascii="宋体" w:hAnsi="宋体" w:eastAsia="宋体" w:cs="宋体"/>
                <w:b/>
                <w:bCs/>
                <w:kern w:val="0"/>
              </w:rPr>
              <w:t>序号</w:t>
            </w:r>
          </w:p>
        </w:tc>
        <w:tc>
          <w:tcPr>
            <w:tcW w:w="1658" w:type="pct"/>
            <w:tcBorders>
              <w:tl2br w:val="nil"/>
              <w:tr2bl w:val="nil"/>
            </w:tcBorders>
            <w:shd w:val="clear" w:color="auto" w:fill="BFBFBF"/>
            <w:noWrap/>
            <w:vAlign w:val="center"/>
          </w:tcPr>
          <w:p w14:paraId="6F360CD8">
            <w:pPr>
              <w:widowControl/>
              <w:jc w:val="center"/>
              <w:rPr>
                <w:rFonts w:hint="eastAsia" w:ascii="宋体" w:hAnsi="宋体" w:eastAsia="宋体" w:cs="宋体"/>
                <w:b/>
                <w:bCs/>
                <w:kern w:val="0"/>
              </w:rPr>
            </w:pPr>
            <w:r>
              <w:rPr>
                <w:rFonts w:hint="eastAsia" w:ascii="宋体" w:hAnsi="宋体" w:eastAsia="宋体" w:cs="宋体"/>
                <w:b/>
                <w:bCs/>
                <w:kern w:val="0"/>
              </w:rPr>
              <w:t>设备名称</w:t>
            </w:r>
          </w:p>
        </w:tc>
        <w:tc>
          <w:tcPr>
            <w:tcW w:w="1114" w:type="pct"/>
            <w:tcBorders>
              <w:tl2br w:val="nil"/>
              <w:tr2bl w:val="nil"/>
            </w:tcBorders>
            <w:shd w:val="clear" w:color="auto" w:fill="BFBFBF"/>
            <w:noWrap/>
            <w:vAlign w:val="center"/>
          </w:tcPr>
          <w:p w14:paraId="07979E0D">
            <w:pPr>
              <w:widowControl/>
              <w:jc w:val="center"/>
              <w:rPr>
                <w:rFonts w:hint="eastAsia" w:ascii="宋体" w:hAnsi="宋体" w:eastAsia="宋体" w:cs="宋体"/>
                <w:b/>
                <w:bCs/>
                <w:kern w:val="0"/>
              </w:rPr>
            </w:pPr>
            <w:r>
              <w:rPr>
                <w:rFonts w:hint="eastAsia" w:ascii="宋体" w:hAnsi="宋体" w:eastAsia="宋体" w:cs="宋体"/>
                <w:b/>
                <w:bCs/>
                <w:kern w:val="0"/>
              </w:rPr>
              <w:t>数量</w:t>
            </w:r>
          </w:p>
        </w:tc>
        <w:tc>
          <w:tcPr>
            <w:tcW w:w="1113" w:type="pct"/>
            <w:tcBorders>
              <w:tl2br w:val="nil"/>
              <w:tr2bl w:val="nil"/>
            </w:tcBorders>
            <w:shd w:val="clear" w:color="auto" w:fill="BFBFBF"/>
            <w:noWrap/>
            <w:vAlign w:val="center"/>
          </w:tcPr>
          <w:p w14:paraId="5E971BA2">
            <w:pPr>
              <w:widowControl/>
              <w:jc w:val="center"/>
              <w:rPr>
                <w:rFonts w:hint="eastAsia" w:ascii="宋体" w:hAnsi="宋体" w:eastAsia="宋体" w:cs="宋体"/>
                <w:b/>
                <w:bCs/>
                <w:kern w:val="0"/>
              </w:rPr>
            </w:pPr>
            <w:r>
              <w:rPr>
                <w:rFonts w:hint="eastAsia" w:ascii="宋体" w:hAnsi="宋体" w:eastAsia="宋体" w:cs="宋体"/>
                <w:b/>
                <w:bCs/>
                <w:kern w:val="0"/>
              </w:rPr>
              <w:t>单位</w:t>
            </w:r>
          </w:p>
        </w:tc>
      </w:tr>
      <w:tr w14:paraId="043B1CD4">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1113" w:type="pct"/>
            <w:tcBorders>
              <w:tl2br w:val="nil"/>
              <w:tr2bl w:val="nil"/>
            </w:tcBorders>
            <w:shd w:val="clear" w:color="000000" w:fill="FFFFFF"/>
            <w:vAlign w:val="center"/>
          </w:tcPr>
          <w:p w14:paraId="7424FD64">
            <w:pPr>
              <w:widowControl/>
              <w:jc w:val="center"/>
              <w:rPr>
                <w:rFonts w:hint="eastAsia" w:ascii="宋体" w:hAnsi="宋体" w:eastAsia="宋体" w:cs="宋体"/>
                <w:kern w:val="0"/>
              </w:rPr>
            </w:pPr>
            <w:r>
              <w:rPr>
                <w:rFonts w:hint="eastAsia" w:ascii="宋体" w:hAnsi="宋体" w:eastAsia="宋体" w:cs="宋体"/>
                <w:kern w:val="0"/>
              </w:rPr>
              <w:t>1</w:t>
            </w:r>
          </w:p>
        </w:tc>
        <w:tc>
          <w:tcPr>
            <w:tcW w:w="1658" w:type="pct"/>
            <w:tcBorders>
              <w:tl2br w:val="nil"/>
              <w:tr2bl w:val="nil"/>
            </w:tcBorders>
            <w:noWrap/>
            <w:vAlign w:val="center"/>
          </w:tcPr>
          <w:p w14:paraId="4A19DA5E">
            <w:pPr>
              <w:widowControl/>
              <w:jc w:val="center"/>
              <w:rPr>
                <w:rFonts w:hint="eastAsia" w:ascii="宋体" w:hAnsi="宋体" w:eastAsia="宋体" w:cs="宋体"/>
                <w:kern w:val="0"/>
              </w:rPr>
            </w:pPr>
            <w:r>
              <w:rPr>
                <w:rFonts w:hint="eastAsia" w:ascii="宋体" w:hAnsi="宋体" w:eastAsia="宋体" w:cs="宋体"/>
                <w:kern w:val="0"/>
              </w:rPr>
              <w:t>航拍无人机</w:t>
            </w:r>
          </w:p>
        </w:tc>
        <w:tc>
          <w:tcPr>
            <w:tcW w:w="1114" w:type="pct"/>
            <w:tcBorders>
              <w:tl2br w:val="nil"/>
              <w:tr2bl w:val="nil"/>
            </w:tcBorders>
            <w:noWrap/>
            <w:vAlign w:val="center"/>
          </w:tcPr>
          <w:p w14:paraId="5CDB177F">
            <w:pPr>
              <w:widowControl/>
              <w:jc w:val="center"/>
              <w:rPr>
                <w:rFonts w:hint="eastAsia" w:ascii="宋体" w:hAnsi="宋体" w:eastAsia="宋体" w:cs="宋体"/>
                <w:kern w:val="0"/>
              </w:rPr>
            </w:pPr>
            <w:r>
              <w:rPr>
                <w:rFonts w:hint="eastAsia" w:ascii="宋体" w:hAnsi="宋体" w:eastAsia="宋体" w:cs="宋体"/>
                <w:kern w:val="0"/>
              </w:rPr>
              <w:t>1</w:t>
            </w:r>
          </w:p>
        </w:tc>
        <w:tc>
          <w:tcPr>
            <w:tcW w:w="1113" w:type="pct"/>
            <w:tcBorders>
              <w:tl2br w:val="nil"/>
              <w:tr2bl w:val="nil"/>
            </w:tcBorders>
            <w:noWrap/>
            <w:vAlign w:val="center"/>
          </w:tcPr>
          <w:p w14:paraId="5C214AB0">
            <w:pPr>
              <w:widowControl/>
              <w:jc w:val="center"/>
              <w:rPr>
                <w:rFonts w:hint="eastAsia" w:ascii="宋体" w:hAnsi="宋体" w:eastAsia="宋体" w:cs="宋体"/>
                <w:kern w:val="0"/>
              </w:rPr>
            </w:pPr>
            <w:r>
              <w:rPr>
                <w:rFonts w:hint="eastAsia" w:ascii="宋体" w:hAnsi="宋体" w:eastAsia="宋体" w:cs="宋体"/>
                <w:kern w:val="0"/>
              </w:rPr>
              <w:t>架</w:t>
            </w:r>
          </w:p>
        </w:tc>
      </w:tr>
      <w:tr w14:paraId="7C9DC2AF">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1113" w:type="pct"/>
            <w:tcBorders>
              <w:tl2br w:val="nil"/>
              <w:tr2bl w:val="nil"/>
            </w:tcBorders>
            <w:shd w:val="clear" w:color="000000" w:fill="FFFFFF"/>
            <w:vAlign w:val="center"/>
          </w:tcPr>
          <w:p w14:paraId="6ACDB127">
            <w:pPr>
              <w:widowControl/>
              <w:jc w:val="center"/>
              <w:rPr>
                <w:rFonts w:hint="eastAsia" w:ascii="宋体" w:hAnsi="宋体" w:eastAsia="宋体" w:cs="宋体"/>
                <w:kern w:val="0"/>
              </w:rPr>
            </w:pPr>
            <w:r>
              <w:rPr>
                <w:rFonts w:hint="eastAsia" w:ascii="宋体" w:hAnsi="宋体" w:eastAsia="宋体" w:cs="宋体"/>
                <w:kern w:val="0"/>
              </w:rPr>
              <w:t>2</w:t>
            </w:r>
          </w:p>
        </w:tc>
        <w:tc>
          <w:tcPr>
            <w:tcW w:w="1658" w:type="pct"/>
            <w:tcBorders>
              <w:tl2br w:val="nil"/>
              <w:tr2bl w:val="nil"/>
            </w:tcBorders>
            <w:noWrap/>
            <w:vAlign w:val="center"/>
          </w:tcPr>
          <w:p w14:paraId="70121196">
            <w:pPr>
              <w:widowControl/>
              <w:jc w:val="center"/>
              <w:rPr>
                <w:rFonts w:hint="eastAsia" w:ascii="宋体" w:hAnsi="宋体" w:eastAsia="宋体" w:cs="宋体"/>
                <w:kern w:val="0"/>
              </w:rPr>
            </w:pPr>
            <w:r>
              <w:rPr>
                <w:rFonts w:hint="eastAsia" w:ascii="宋体" w:hAnsi="宋体" w:eastAsia="宋体" w:cs="宋体"/>
                <w:kern w:val="0"/>
              </w:rPr>
              <w:t>运输无人机</w:t>
            </w:r>
          </w:p>
        </w:tc>
        <w:tc>
          <w:tcPr>
            <w:tcW w:w="1114" w:type="pct"/>
            <w:tcBorders>
              <w:tl2br w:val="nil"/>
              <w:tr2bl w:val="nil"/>
            </w:tcBorders>
            <w:noWrap/>
            <w:vAlign w:val="center"/>
          </w:tcPr>
          <w:p w14:paraId="0039A168">
            <w:pPr>
              <w:widowControl/>
              <w:jc w:val="center"/>
              <w:rPr>
                <w:rFonts w:hint="eastAsia" w:ascii="宋体" w:hAnsi="宋体" w:eastAsia="宋体" w:cs="宋体"/>
                <w:kern w:val="0"/>
              </w:rPr>
            </w:pPr>
            <w:r>
              <w:rPr>
                <w:rFonts w:hint="eastAsia" w:ascii="宋体" w:hAnsi="宋体" w:eastAsia="宋体" w:cs="宋体"/>
                <w:kern w:val="0"/>
              </w:rPr>
              <w:t>1</w:t>
            </w:r>
          </w:p>
        </w:tc>
        <w:tc>
          <w:tcPr>
            <w:tcW w:w="1113" w:type="pct"/>
            <w:tcBorders>
              <w:tl2br w:val="nil"/>
              <w:tr2bl w:val="nil"/>
            </w:tcBorders>
            <w:noWrap/>
            <w:vAlign w:val="center"/>
          </w:tcPr>
          <w:p w14:paraId="3DF1B446">
            <w:pPr>
              <w:widowControl/>
              <w:jc w:val="center"/>
              <w:rPr>
                <w:rFonts w:hint="eastAsia" w:ascii="宋体" w:hAnsi="宋体" w:eastAsia="宋体" w:cs="宋体"/>
                <w:kern w:val="0"/>
              </w:rPr>
            </w:pPr>
            <w:r>
              <w:rPr>
                <w:rFonts w:hint="eastAsia" w:ascii="宋体" w:hAnsi="宋体" w:eastAsia="宋体" w:cs="宋体"/>
                <w:kern w:val="0"/>
              </w:rPr>
              <w:t>架</w:t>
            </w:r>
          </w:p>
        </w:tc>
      </w:tr>
      <w:tr w14:paraId="5A48B6AB">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1113" w:type="pct"/>
            <w:tcBorders>
              <w:tl2br w:val="nil"/>
              <w:tr2bl w:val="nil"/>
            </w:tcBorders>
            <w:shd w:val="clear" w:color="000000" w:fill="FFFFFF"/>
            <w:vAlign w:val="center"/>
          </w:tcPr>
          <w:p w14:paraId="4B42B952">
            <w:pPr>
              <w:widowControl/>
              <w:jc w:val="center"/>
              <w:rPr>
                <w:rFonts w:hint="eastAsia" w:ascii="宋体" w:hAnsi="宋体" w:eastAsia="宋体" w:cs="宋体"/>
                <w:kern w:val="0"/>
              </w:rPr>
            </w:pPr>
            <w:r>
              <w:rPr>
                <w:rFonts w:hint="eastAsia" w:ascii="宋体" w:hAnsi="宋体" w:eastAsia="宋体" w:cs="宋体"/>
                <w:kern w:val="0"/>
              </w:rPr>
              <w:t>3</w:t>
            </w:r>
          </w:p>
        </w:tc>
        <w:tc>
          <w:tcPr>
            <w:tcW w:w="1658" w:type="pct"/>
            <w:tcBorders>
              <w:tl2br w:val="nil"/>
              <w:tr2bl w:val="nil"/>
            </w:tcBorders>
            <w:noWrap/>
            <w:vAlign w:val="center"/>
          </w:tcPr>
          <w:p w14:paraId="59CC6178">
            <w:pPr>
              <w:widowControl/>
              <w:jc w:val="center"/>
              <w:rPr>
                <w:rFonts w:hint="eastAsia" w:ascii="宋体" w:hAnsi="宋体" w:eastAsia="宋体" w:cs="宋体"/>
                <w:kern w:val="0"/>
              </w:rPr>
            </w:pPr>
            <w:r>
              <w:rPr>
                <w:rFonts w:hint="eastAsia" w:ascii="宋体" w:hAnsi="宋体" w:eastAsia="宋体" w:cs="宋体"/>
                <w:kern w:val="0"/>
              </w:rPr>
              <w:t>系留照明无人机</w:t>
            </w:r>
          </w:p>
        </w:tc>
        <w:tc>
          <w:tcPr>
            <w:tcW w:w="1114" w:type="pct"/>
            <w:tcBorders>
              <w:tl2br w:val="nil"/>
              <w:tr2bl w:val="nil"/>
            </w:tcBorders>
            <w:noWrap/>
            <w:vAlign w:val="center"/>
          </w:tcPr>
          <w:p w14:paraId="10C41AE7">
            <w:pPr>
              <w:widowControl/>
              <w:jc w:val="center"/>
              <w:rPr>
                <w:rFonts w:hint="eastAsia" w:ascii="宋体" w:hAnsi="宋体" w:eastAsia="宋体" w:cs="宋体"/>
                <w:kern w:val="0"/>
              </w:rPr>
            </w:pPr>
            <w:r>
              <w:rPr>
                <w:rFonts w:hint="eastAsia" w:ascii="宋体" w:hAnsi="宋体" w:eastAsia="宋体" w:cs="宋体"/>
                <w:kern w:val="0"/>
              </w:rPr>
              <w:t>1</w:t>
            </w:r>
          </w:p>
        </w:tc>
        <w:tc>
          <w:tcPr>
            <w:tcW w:w="1113" w:type="pct"/>
            <w:tcBorders>
              <w:tl2br w:val="nil"/>
              <w:tr2bl w:val="nil"/>
            </w:tcBorders>
            <w:noWrap/>
            <w:vAlign w:val="center"/>
          </w:tcPr>
          <w:p w14:paraId="4E48CF62">
            <w:pPr>
              <w:widowControl/>
              <w:jc w:val="center"/>
              <w:rPr>
                <w:rFonts w:hint="eastAsia" w:ascii="宋体" w:hAnsi="宋体" w:eastAsia="宋体" w:cs="宋体"/>
                <w:kern w:val="0"/>
              </w:rPr>
            </w:pPr>
            <w:r>
              <w:rPr>
                <w:rFonts w:hint="eastAsia" w:ascii="宋体" w:hAnsi="宋体" w:eastAsia="宋体" w:cs="宋体"/>
                <w:kern w:val="0"/>
              </w:rPr>
              <w:t>架</w:t>
            </w:r>
          </w:p>
        </w:tc>
      </w:tr>
    </w:tbl>
    <w:p w14:paraId="3294B6AF">
      <w:pPr>
        <w:pStyle w:val="10"/>
        <w:keepNext/>
        <w:keepLines/>
        <w:pageBreakBefore w:val="0"/>
        <w:widowControl w:val="0"/>
        <w:tabs>
          <w:tab w:val="left" w:pos="0"/>
        </w:tabs>
        <w:kinsoku/>
        <w:wordWrap/>
        <w:overflowPunct/>
        <w:topLinePunct w:val="0"/>
        <w:autoSpaceDE/>
        <w:autoSpaceDN/>
        <w:bidi w:val="0"/>
        <w:adjustRightInd/>
        <w:snapToGrid/>
        <w:spacing w:line="320" w:lineRule="auto"/>
        <w:ind w:left="0"/>
        <w:textAlignment w:val="auto"/>
      </w:pPr>
      <w:r>
        <w:rPr>
          <w:rFonts w:hint="eastAsia"/>
        </w:rPr>
        <w:t>业务支撑平台</w:t>
      </w:r>
    </w:p>
    <w:p w14:paraId="0E311505">
      <w:pPr>
        <w:pStyle w:val="15"/>
      </w:pPr>
      <w:r>
        <w:rPr>
          <w:rFonts w:hint="eastAsia"/>
        </w:rPr>
        <w:t>指挥中心是应急指挥系统的核心枢纽。在系统平台方面，部署1套多媒体通信模块，用于对接应急前端音视频采集终端、Mesh自组网系统网关及三屏指挥系统等，并向融合通信平台提供融合后的语音、视频、数据等统一接口；部署1套Mesh自组网网关，实现对Mesh自组网电台的管理与配置，以及对接入的业务进行指挥调度；1套北斗定位模块，为救援指挥中心提供救援人员、通信指挥车的实时位置可视化、历史行动轨迹回溯、电子围栏安全预警及设备统一管理能力，以提升救援行动指挥效率和人员安全保障水平。</w:t>
      </w:r>
    </w:p>
    <w:p w14:paraId="0C001233">
      <w:pPr>
        <w:pStyle w:val="44"/>
        <w:spacing w:before="0" w:after="0" w:line="240" w:lineRule="auto"/>
        <w:ind w:firstLine="0" w:firstLineChars="0"/>
        <w:jc w:val="center"/>
        <w:rPr>
          <w:rFonts w:hint="eastAsia"/>
        </w:rPr>
      </w:pPr>
      <w:r>
        <w:drawing>
          <wp:inline distT="0" distB="0" distL="0" distR="0">
            <wp:extent cx="2771140" cy="2713990"/>
            <wp:effectExtent l="0" t="0" r="2540" b="13970"/>
            <wp:docPr id="10274696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469619" name="图片 1"/>
                    <pic:cNvPicPr>
                      <a:picLocks noChangeAspect="1"/>
                    </pic:cNvPicPr>
                  </pic:nvPicPr>
                  <pic:blipFill>
                    <a:blip r:embed="rId15"/>
                    <a:stretch>
                      <a:fillRect/>
                    </a:stretch>
                  </pic:blipFill>
                  <pic:spPr>
                    <a:xfrm>
                      <a:off x="0" y="0"/>
                      <a:ext cx="2771140" cy="2713990"/>
                    </a:xfrm>
                    <a:prstGeom prst="rect">
                      <a:avLst/>
                    </a:prstGeom>
                  </pic:spPr>
                </pic:pic>
              </a:graphicData>
            </a:graphic>
          </wp:inline>
        </w:drawing>
      </w:r>
    </w:p>
    <w:p w14:paraId="79C6D689">
      <w:pPr>
        <w:pStyle w:val="19"/>
        <w:keepNext w:val="0"/>
        <w:widowControl w:val="0"/>
      </w:pPr>
      <w:r>
        <w:t xml:space="preserve">图 </w:t>
      </w:r>
      <w:r>
        <w:fldChar w:fldCharType="begin"/>
      </w:r>
      <w:r>
        <w:instrText xml:space="preserve"> STYLEREF 1 \s </w:instrText>
      </w:r>
      <w:r>
        <w:fldChar w:fldCharType="separate"/>
      </w:r>
      <w:r>
        <w:t>0</w:t>
      </w:r>
      <w:r>
        <w:rPr>
          <w:rFonts w:hint="eastAsia"/>
        </w:rPr>
        <w:fldChar w:fldCharType="end"/>
      </w:r>
      <w:r>
        <w:rPr>
          <w:rFonts w:hint="eastAsia"/>
        </w:rPr>
        <w:t>-</w:t>
      </w:r>
      <w:r>
        <w:fldChar w:fldCharType="begin"/>
      </w:r>
      <w:r>
        <w:instrText xml:space="preserve"> SEQ 图 \* ARABIC \s 1 </w:instrText>
      </w:r>
      <w:r>
        <w:fldChar w:fldCharType="separate"/>
      </w:r>
      <w:r>
        <w:t>12</w:t>
      </w:r>
      <w:r>
        <w:fldChar w:fldCharType="end"/>
      </w:r>
      <w:bookmarkStart w:id="22" w:name="_Toc10251"/>
      <w:r>
        <w:rPr>
          <w:rFonts w:hint="eastAsia"/>
        </w:rPr>
        <w:t>指挥中心模块组成</w:t>
      </w:r>
      <w:bookmarkEnd w:id="22"/>
    </w:p>
    <w:p w14:paraId="5C2145D2">
      <w:pPr>
        <w:pStyle w:val="15"/>
      </w:pPr>
      <w:r>
        <w:rPr>
          <w:rFonts w:hint="eastAsia"/>
        </w:rPr>
        <w:t>1.多媒体通信模块</w:t>
      </w:r>
    </w:p>
    <w:p w14:paraId="03807377">
      <w:pPr>
        <w:pStyle w:val="15"/>
      </w:pPr>
      <w:r>
        <w:rPr>
          <w:rFonts w:hint="eastAsia"/>
        </w:rPr>
        <w:t>多媒体通信平台通过对接双模对讲机、布控球、智能头盔、单兵记录仪、云台摄像机、</w:t>
      </w:r>
      <w:r>
        <w:t>Mesh</w:t>
      </w:r>
      <w:r>
        <w:rPr>
          <w:rFonts w:hint="eastAsia"/>
        </w:rPr>
        <w:t>自组网系统网、三屏指挥系统、北斗定位平台、无人机等，实现前端语音调度、视频调度和位置调度等功能，并通过赋能业务模块与融合通信平台对接。</w:t>
      </w:r>
    </w:p>
    <w:p w14:paraId="71DA5E77">
      <w:pPr>
        <w:pStyle w:val="15"/>
      </w:pPr>
      <w:r>
        <w:rPr>
          <w:rFonts w:hint="eastAsia"/>
        </w:rPr>
        <w:t>（1）语音融合接入</w:t>
      </w:r>
    </w:p>
    <w:p w14:paraId="6166EAF2">
      <w:pPr>
        <w:pStyle w:val="15"/>
        <w:rPr>
          <w:lang w:val="en-GB"/>
        </w:rPr>
      </w:pPr>
      <w:r>
        <w:rPr>
          <w:rFonts w:hint="eastAsia"/>
          <w:lang w:val="en-GB"/>
        </w:rPr>
        <w:t>语音融合是系统平台基础模块，是迅速下达命令、协同指挥的有效手段。系统通过协议支持能力和丰富的物理接口，实现与电路交换、分组交换等不同制式的语音通信系统资源的对接和协议转换，实现这些采用不同技术架构的独立的异构网络之间的互联互通，消除信息孤岛。</w:t>
      </w:r>
    </w:p>
    <w:p w14:paraId="44503F86">
      <w:pPr>
        <w:pStyle w:val="50"/>
        <w:spacing w:line="240" w:lineRule="auto"/>
        <w:ind w:firstLine="0" w:firstLineChars="0"/>
        <w:jc w:val="center"/>
        <w:rPr>
          <w:rFonts w:hint="eastAsia" w:cstheme="minorBidi"/>
          <w:kern w:val="2"/>
          <w:sz w:val="24"/>
          <w:szCs w:val="24"/>
        </w:rPr>
      </w:pPr>
      <w:r>
        <w:drawing>
          <wp:inline distT="0" distB="0" distL="0" distR="0">
            <wp:extent cx="5612765" cy="4051300"/>
            <wp:effectExtent l="0" t="0" r="10795" b="2540"/>
            <wp:docPr id="1896875223"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6875223" name="图片 5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612765" cy="4051300"/>
                    </a:xfrm>
                    <a:prstGeom prst="rect">
                      <a:avLst/>
                    </a:prstGeom>
                    <a:noFill/>
                    <a:ln>
                      <a:noFill/>
                    </a:ln>
                  </pic:spPr>
                </pic:pic>
              </a:graphicData>
            </a:graphic>
          </wp:inline>
        </w:drawing>
      </w:r>
    </w:p>
    <w:p w14:paraId="55A1C9F3">
      <w:pPr>
        <w:pStyle w:val="50"/>
        <w:spacing w:line="240" w:lineRule="auto"/>
        <w:ind w:firstLine="0" w:firstLineChars="0"/>
        <w:jc w:val="center"/>
        <w:rPr>
          <w:rFonts w:hint="eastAsia" w:ascii="黑体" w:hAnsi="黑体" w:eastAsia="黑体" w:cs="黑体"/>
          <w:sz w:val="20"/>
        </w:rPr>
      </w:pPr>
      <w:r>
        <w:rPr>
          <w:rFonts w:hint="eastAsia" w:ascii="黑体" w:hAnsi="黑体" w:eastAsia="黑体" w:cs="黑体"/>
          <w:sz w:val="20"/>
        </w:rPr>
        <w:t>图</w:t>
      </w:r>
      <w:r>
        <w:rPr>
          <w:rFonts w:hint="eastAsia" w:ascii="黑体" w:hAnsi="黑体" w:eastAsia="黑体" w:cs="黑体"/>
          <w:sz w:val="20"/>
        </w:rPr>
        <w:fldChar w:fldCharType="begin"/>
      </w:r>
      <w:r>
        <w:rPr>
          <w:rFonts w:hint="eastAsia" w:ascii="黑体" w:hAnsi="黑体" w:eastAsia="黑体" w:cs="黑体"/>
          <w:sz w:val="20"/>
        </w:rPr>
        <w:instrText xml:space="preserve"> STYLEREF 1 \s </w:instrText>
      </w:r>
      <w:r>
        <w:rPr>
          <w:rFonts w:hint="eastAsia" w:ascii="黑体" w:hAnsi="黑体" w:eastAsia="黑体" w:cs="黑体"/>
          <w:sz w:val="20"/>
        </w:rPr>
        <w:fldChar w:fldCharType="separate"/>
      </w:r>
      <w:r>
        <w:rPr>
          <w:rFonts w:hint="eastAsia" w:ascii="黑体" w:hAnsi="黑体" w:eastAsia="黑体" w:cs="黑体"/>
          <w:sz w:val="20"/>
        </w:rPr>
        <w:t>0</w:t>
      </w:r>
      <w:r>
        <w:rPr>
          <w:rFonts w:hint="eastAsia" w:ascii="黑体" w:hAnsi="黑体" w:eastAsia="黑体" w:cs="黑体"/>
          <w:sz w:val="20"/>
        </w:rPr>
        <w:fldChar w:fldCharType="end"/>
      </w:r>
      <w:r>
        <w:rPr>
          <w:rFonts w:hint="eastAsia" w:ascii="黑体" w:hAnsi="黑体" w:eastAsia="黑体" w:cs="黑体"/>
          <w:sz w:val="20"/>
        </w:rPr>
        <w:noBreakHyphen/>
      </w:r>
      <w:r>
        <w:rPr>
          <w:rFonts w:hint="eastAsia" w:ascii="黑体" w:hAnsi="黑体" w:eastAsia="黑体" w:cs="黑体"/>
          <w:sz w:val="20"/>
        </w:rPr>
        <w:fldChar w:fldCharType="begin"/>
      </w:r>
      <w:r>
        <w:rPr>
          <w:rFonts w:hint="eastAsia" w:ascii="黑体" w:hAnsi="黑体" w:eastAsia="黑体" w:cs="黑体"/>
          <w:sz w:val="20"/>
        </w:rPr>
        <w:instrText xml:space="preserve"> SEQ 图 \* ARABIC \s 1 </w:instrText>
      </w:r>
      <w:r>
        <w:rPr>
          <w:rFonts w:hint="eastAsia" w:ascii="黑体" w:hAnsi="黑体" w:eastAsia="黑体" w:cs="黑体"/>
          <w:sz w:val="20"/>
        </w:rPr>
        <w:fldChar w:fldCharType="separate"/>
      </w:r>
      <w:r>
        <w:rPr>
          <w:rFonts w:hint="eastAsia" w:ascii="黑体" w:hAnsi="黑体" w:eastAsia="黑体" w:cs="黑体"/>
          <w:sz w:val="20"/>
        </w:rPr>
        <w:t>13</w:t>
      </w:r>
      <w:r>
        <w:rPr>
          <w:rFonts w:hint="eastAsia" w:ascii="黑体" w:hAnsi="黑体" w:eastAsia="黑体" w:cs="黑体"/>
          <w:sz w:val="20"/>
        </w:rPr>
        <w:fldChar w:fldCharType="end"/>
      </w:r>
      <w:bookmarkStart w:id="23" w:name="_Toc30008"/>
      <w:r>
        <w:rPr>
          <w:rFonts w:hint="eastAsia" w:ascii="黑体" w:hAnsi="黑体" w:eastAsia="黑体" w:cs="黑体"/>
          <w:sz w:val="20"/>
        </w:rPr>
        <w:t xml:space="preserve"> 融合通信系统拓扑图</w:t>
      </w:r>
      <w:bookmarkEnd w:id="23"/>
    </w:p>
    <w:p w14:paraId="3ACD5A0D">
      <w:pPr>
        <w:pStyle w:val="15"/>
        <w:rPr>
          <w:lang w:val="en-GB"/>
        </w:rPr>
      </w:pPr>
      <w:r>
        <w:rPr>
          <w:rFonts w:hint="eastAsia"/>
          <w:lang w:val="en-GB"/>
        </w:rPr>
        <w:t>系统通过部署Mesh自组网网关、语音融合模块等软硬件，可与互联网、公共陆地移动网（PLMN）、公用交换电话网络（PSTN）等通信网络互联，实现与各应急管理部门、协同指挥部门之间的双模对讲机、办公电话、移动手机之间的互联互通。</w:t>
      </w:r>
    </w:p>
    <w:p w14:paraId="73047857">
      <w:pPr>
        <w:pStyle w:val="15"/>
        <w:rPr>
          <w:lang w:val="en-GB"/>
        </w:rPr>
      </w:pPr>
      <w:r>
        <w:rPr>
          <w:rFonts w:hint="eastAsia"/>
          <w:lang w:val="en-GB"/>
        </w:rPr>
        <w:t>（</w:t>
      </w:r>
      <w:r>
        <w:rPr>
          <w:rFonts w:hint="eastAsia"/>
        </w:rPr>
        <w:t>2</w:t>
      </w:r>
      <w:r>
        <w:rPr>
          <w:rFonts w:hint="eastAsia"/>
          <w:lang w:val="en-GB"/>
        </w:rPr>
        <w:t>）应急现场指挥调度系统对接</w:t>
      </w:r>
    </w:p>
    <w:p w14:paraId="0D8996B9">
      <w:pPr>
        <w:pStyle w:val="50"/>
        <w:spacing w:line="240" w:lineRule="auto"/>
        <w:ind w:firstLine="0" w:firstLineChars="0"/>
        <w:jc w:val="center"/>
        <w:rPr>
          <w:rFonts w:hint="eastAsia" w:cstheme="minorBidi"/>
          <w:kern w:val="2"/>
          <w:sz w:val="24"/>
          <w:szCs w:val="24"/>
        </w:rPr>
      </w:pPr>
      <w:r>
        <w:drawing>
          <wp:inline distT="0" distB="0" distL="0" distR="0">
            <wp:extent cx="3551555" cy="4321175"/>
            <wp:effectExtent l="0" t="0" r="14605" b="0"/>
            <wp:docPr id="1594185250"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4185250" name="图片 54"/>
                    <pic:cNvPicPr>
                      <a:picLocks noChangeAspect="1" noChangeArrowheads="1"/>
                    </pic:cNvPicPr>
                  </pic:nvPicPr>
                  <pic:blipFill>
                    <a:blip r:embed="rId17">
                      <a:extLst>
                        <a:ext uri="{28A0092B-C50C-407E-A947-70E740481C1C}">
                          <a14:useLocalDpi xmlns:a14="http://schemas.microsoft.com/office/drawing/2010/main" val="0"/>
                        </a:ext>
                      </a:extLst>
                    </a:blip>
                    <a:srcRect b="4462"/>
                    <a:stretch>
                      <a:fillRect/>
                    </a:stretch>
                  </pic:blipFill>
                  <pic:spPr>
                    <a:xfrm>
                      <a:off x="0" y="0"/>
                      <a:ext cx="3551555" cy="4321175"/>
                    </a:xfrm>
                    <a:prstGeom prst="rect">
                      <a:avLst/>
                    </a:prstGeom>
                    <a:noFill/>
                    <a:ln>
                      <a:noFill/>
                    </a:ln>
                  </pic:spPr>
                </pic:pic>
              </a:graphicData>
            </a:graphic>
          </wp:inline>
        </w:drawing>
      </w:r>
    </w:p>
    <w:p w14:paraId="7267E715">
      <w:pPr>
        <w:pStyle w:val="50"/>
        <w:spacing w:line="240" w:lineRule="auto"/>
        <w:ind w:firstLine="0" w:firstLineChars="0"/>
        <w:jc w:val="center"/>
        <w:rPr>
          <w:rFonts w:hint="eastAsia" w:ascii="黑体" w:hAnsi="黑体" w:eastAsia="黑体" w:cs="黑体"/>
          <w:sz w:val="20"/>
        </w:rPr>
      </w:pPr>
      <w:r>
        <w:rPr>
          <w:rFonts w:hint="eastAsia" w:ascii="黑体" w:hAnsi="黑体" w:eastAsia="黑体" w:cs="黑体"/>
          <w:sz w:val="20"/>
        </w:rPr>
        <w:t>图</w:t>
      </w:r>
      <w:r>
        <w:rPr>
          <w:rFonts w:hint="eastAsia" w:ascii="黑体" w:hAnsi="黑体" w:eastAsia="黑体" w:cs="黑体"/>
          <w:sz w:val="20"/>
        </w:rPr>
        <w:fldChar w:fldCharType="begin"/>
      </w:r>
      <w:r>
        <w:rPr>
          <w:rFonts w:hint="eastAsia" w:ascii="黑体" w:hAnsi="黑体" w:eastAsia="黑体" w:cs="黑体"/>
          <w:sz w:val="20"/>
        </w:rPr>
        <w:instrText xml:space="preserve"> STYLEREF 1 \s </w:instrText>
      </w:r>
      <w:r>
        <w:rPr>
          <w:rFonts w:hint="eastAsia" w:ascii="黑体" w:hAnsi="黑体" w:eastAsia="黑体" w:cs="黑体"/>
          <w:sz w:val="20"/>
        </w:rPr>
        <w:fldChar w:fldCharType="separate"/>
      </w:r>
      <w:r>
        <w:rPr>
          <w:rFonts w:hint="eastAsia" w:ascii="黑体" w:hAnsi="黑体" w:eastAsia="黑体" w:cs="黑体"/>
          <w:sz w:val="20"/>
        </w:rPr>
        <w:t>0</w:t>
      </w:r>
      <w:r>
        <w:rPr>
          <w:rFonts w:hint="eastAsia" w:ascii="黑体" w:hAnsi="黑体" w:eastAsia="黑体" w:cs="黑体"/>
          <w:sz w:val="20"/>
        </w:rPr>
        <w:fldChar w:fldCharType="end"/>
      </w:r>
      <w:r>
        <w:rPr>
          <w:rFonts w:hint="eastAsia" w:ascii="黑体" w:hAnsi="黑体" w:eastAsia="黑体" w:cs="黑体"/>
          <w:sz w:val="20"/>
        </w:rPr>
        <w:noBreakHyphen/>
      </w:r>
      <w:r>
        <w:rPr>
          <w:rFonts w:hint="eastAsia" w:ascii="黑体" w:hAnsi="黑体" w:eastAsia="黑体" w:cs="黑体"/>
          <w:sz w:val="20"/>
        </w:rPr>
        <w:fldChar w:fldCharType="begin"/>
      </w:r>
      <w:r>
        <w:rPr>
          <w:rFonts w:hint="eastAsia" w:ascii="黑体" w:hAnsi="黑体" w:eastAsia="黑体" w:cs="黑体"/>
          <w:sz w:val="20"/>
        </w:rPr>
        <w:instrText xml:space="preserve"> SEQ 图 \* ARABIC \s 1 </w:instrText>
      </w:r>
      <w:r>
        <w:rPr>
          <w:rFonts w:hint="eastAsia" w:ascii="黑体" w:hAnsi="黑体" w:eastAsia="黑体" w:cs="黑体"/>
          <w:sz w:val="20"/>
        </w:rPr>
        <w:fldChar w:fldCharType="separate"/>
      </w:r>
      <w:r>
        <w:rPr>
          <w:rFonts w:hint="eastAsia" w:ascii="黑体" w:hAnsi="黑体" w:eastAsia="黑体" w:cs="黑体"/>
          <w:sz w:val="20"/>
        </w:rPr>
        <w:t>14</w:t>
      </w:r>
      <w:r>
        <w:rPr>
          <w:rFonts w:hint="eastAsia" w:ascii="黑体" w:hAnsi="黑体" w:eastAsia="黑体" w:cs="黑体"/>
          <w:sz w:val="20"/>
        </w:rPr>
        <w:fldChar w:fldCharType="end"/>
      </w:r>
      <w:bookmarkStart w:id="24" w:name="_Toc23507"/>
      <w:r>
        <w:rPr>
          <w:rFonts w:hint="eastAsia" w:ascii="黑体" w:hAnsi="黑体" w:eastAsia="黑体" w:cs="黑体"/>
          <w:sz w:val="20"/>
        </w:rPr>
        <w:t xml:space="preserve"> 多媒体通信平台与应急现场指挥调度系统对接</w:t>
      </w:r>
      <w:bookmarkEnd w:id="24"/>
    </w:p>
    <w:p w14:paraId="17191375">
      <w:pPr>
        <w:pStyle w:val="15"/>
        <w:rPr>
          <w:lang w:val="en-GB"/>
        </w:rPr>
      </w:pPr>
      <w:r>
        <w:rPr>
          <w:rFonts w:hint="eastAsia"/>
          <w:lang w:val="en-GB"/>
        </w:rPr>
        <w:t>基于标准的SIP协议，通过卫星或公网链路，后方指挥中心多媒体通信平台与前方应急指挥箱或者现场应急指挥调度系统进行系统级对接，实现前后方音视频数据的互联互通，后方指挥中心可以与前方任意一个救援小队某个成员的窄带终端进行语音对讲，同时可以上拉布控球、智能头盔、无人机视频，来辅助指挥中心人员进行决策制定。</w:t>
      </w:r>
    </w:p>
    <w:p w14:paraId="380C28AD">
      <w:pPr>
        <w:pStyle w:val="15"/>
        <w:rPr>
          <w:lang w:val="en-GB"/>
        </w:rPr>
      </w:pPr>
      <w:r>
        <w:rPr>
          <w:rFonts w:hint="eastAsia"/>
          <w:lang w:val="en-GB"/>
        </w:rPr>
        <w:t>（</w:t>
      </w:r>
      <w:r>
        <w:rPr>
          <w:rFonts w:hint="eastAsia"/>
        </w:rPr>
        <w:t>3</w:t>
      </w:r>
      <w:r>
        <w:rPr>
          <w:rFonts w:hint="eastAsia"/>
          <w:lang w:val="en-GB"/>
        </w:rPr>
        <w:t>）超短波自组网系统对接</w:t>
      </w:r>
    </w:p>
    <w:p w14:paraId="45813F07">
      <w:pPr>
        <w:pStyle w:val="15"/>
        <w:rPr>
          <w:lang w:val="en-GB"/>
        </w:rPr>
      </w:pPr>
      <w:r>
        <w:rPr>
          <w:rFonts w:hint="eastAsia"/>
          <w:lang w:val="en-GB"/>
        </w:rPr>
        <w:t>多媒体通信平台业务服务器与数字超短波自组网通信系统调度服务器通过IP网络连接，实现与融合通信系统互通，属于网络级对接。超短波自组网与融合通信系统采用pSIP+RTP协议交互，实现语音、短消息、定位等功能的互联互通。</w:t>
      </w:r>
    </w:p>
    <w:p w14:paraId="0A5BC2A4">
      <w:pPr>
        <w:pStyle w:val="50"/>
        <w:spacing w:line="240" w:lineRule="auto"/>
        <w:ind w:firstLine="0" w:firstLineChars="0"/>
        <w:jc w:val="center"/>
        <w:rPr>
          <w:rFonts w:hint="eastAsia" w:cstheme="minorBidi"/>
          <w:kern w:val="2"/>
          <w:sz w:val="24"/>
          <w:szCs w:val="24"/>
        </w:rPr>
      </w:pPr>
      <w:r>
        <w:drawing>
          <wp:inline distT="0" distB="0" distL="0" distR="0">
            <wp:extent cx="3559175" cy="4185285"/>
            <wp:effectExtent l="0" t="0" r="6985" b="0"/>
            <wp:docPr id="1758292190" name="图片 53"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8292190" name="图片 53" descr="图片1"/>
                    <pic:cNvPicPr>
                      <a:picLocks noChangeAspect="1" noChangeArrowheads="1"/>
                    </pic:cNvPicPr>
                  </pic:nvPicPr>
                  <pic:blipFill>
                    <a:blip r:embed="rId18" cstate="print">
                      <a:extLst>
                        <a:ext uri="{28A0092B-C50C-407E-A947-70E740481C1C}">
                          <a14:useLocalDpi xmlns:a14="http://schemas.microsoft.com/office/drawing/2010/main" val="0"/>
                        </a:ext>
                      </a:extLst>
                    </a:blip>
                    <a:srcRect b="4738"/>
                    <a:stretch>
                      <a:fillRect/>
                    </a:stretch>
                  </pic:blipFill>
                  <pic:spPr>
                    <a:xfrm>
                      <a:off x="0" y="0"/>
                      <a:ext cx="3559175" cy="4185285"/>
                    </a:xfrm>
                    <a:prstGeom prst="rect">
                      <a:avLst/>
                    </a:prstGeom>
                    <a:noFill/>
                    <a:ln>
                      <a:noFill/>
                    </a:ln>
                  </pic:spPr>
                </pic:pic>
              </a:graphicData>
            </a:graphic>
          </wp:inline>
        </w:drawing>
      </w:r>
    </w:p>
    <w:p w14:paraId="7D46D1E9">
      <w:pPr>
        <w:pStyle w:val="50"/>
        <w:spacing w:line="240" w:lineRule="auto"/>
        <w:ind w:firstLine="0" w:firstLineChars="0"/>
        <w:jc w:val="center"/>
        <w:rPr>
          <w:rFonts w:hint="eastAsia" w:ascii="黑体" w:hAnsi="黑体" w:eastAsia="黑体" w:cs="黑体"/>
          <w:sz w:val="20"/>
        </w:rPr>
      </w:pPr>
      <w:r>
        <w:rPr>
          <w:rFonts w:hint="eastAsia" w:ascii="黑体" w:hAnsi="黑体" w:eastAsia="黑体" w:cs="黑体"/>
          <w:sz w:val="20"/>
        </w:rPr>
        <w:t>图</w:t>
      </w:r>
      <w:r>
        <w:rPr>
          <w:rFonts w:hint="eastAsia" w:ascii="黑体" w:hAnsi="黑体" w:eastAsia="黑体" w:cs="黑体"/>
          <w:sz w:val="20"/>
        </w:rPr>
        <w:fldChar w:fldCharType="begin"/>
      </w:r>
      <w:r>
        <w:rPr>
          <w:rFonts w:hint="eastAsia" w:ascii="黑体" w:hAnsi="黑体" w:eastAsia="黑体" w:cs="黑体"/>
          <w:sz w:val="20"/>
        </w:rPr>
        <w:instrText xml:space="preserve"> STYLEREF 1 \s </w:instrText>
      </w:r>
      <w:r>
        <w:rPr>
          <w:rFonts w:hint="eastAsia" w:ascii="黑体" w:hAnsi="黑体" w:eastAsia="黑体" w:cs="黑体"/>
          <w:sz w:val="20"/>
        </w:rPr>
        <w:fldChar w:fldCharType="separate"/>
      </w:r>
      <w:r>
        <w:rPr>
          <w:rFonts w:hint="eastAsia" w:ascii="黑体" w:hAnsi="黑体" w:eastAsia="黑体" w:cs="黑体"/>
          <w:sz w:val="20"/>
        </w:rPr>
        <w:t>0</w:t>
      </w:r>
      <w:r>
        <w:rPr>
          <w:rFonts w:hint="eastAsia" w:ascii="黑体" w:hAnsi="黑体" w:eastAsia="黑体" w:cs="黑体"/>
          <w:sz w:val="20"/>
        </w:rPr>
        <w:fldChar w:fldCharType="end"/>
      </w:r>
      <w:r>
        <w:rPr>
          <w:rFonts w:hint="eastAsia" w:ascii="黑体" w:hAnsi="黑体" w:eastAsia="黑体" w:cs="黑体"/>
          <w:sz w:val="20"/>
        </w:rPr>
        <w:noBreakHyphen/>
      </w:r>
      <w:r>
        <w:rPr>
          <w:rFonts w:hint="eastAsia" w:ascii="黑体" w:hAnsi="黑体" w:eastAsia="黑体" w:cs="黑体"/>
          <w:sz w:val="20"/>
        </w:rPr>
        <w:fldChar w:fldCharType="begin"/>
      </w:r>
      <w:r>
        <w:rPr>
          <w:rFonts w:hint="eastAsia" w:ascii="黑体" w:hAnsi="黑体" w:eastAsia="黑体" w:cs="黑体"/>
          <w:sz w:val="20"/>
        </w:rPr>
        <w:instrText xml:space="preserve"> SEQ 图 \* ARABIC \s 1 </w:instrText>
      </w:r>
      <w:r>
        <w:rPr>
          <w:rFonts w:hint="eastAsia" w:ascii="黑体" w:hAnsi="黑体" w:eastAsia="黑体" w:cs="黑体"/>
          <w:sz w:val="20"/>
        </w:rPr>
        <w:fldChar w:fldCharType="separate"/>
      </w:r>
      <w:r>
        <w:rPr>
          <w:rFonts w:hint="eastAsia" w:ascii="黑体" w:hAnsi="黑体" w:eastAsia="黑体" w:cs="黑体"/>
          <w:sz w:val="20"/>
        </w:rPr>
        <w:t>15</w:t>
      </w:r>
      <w:r>
        <w:rPr>
          <w:rFonts w:hint="eastAsia" w:ascii="黑体" w:hAnsi="黑体" w:eastAsia="黑体" w:cs="黑体"/>
          <w:sz w:val="20"/>
        </w:rPr>
        <w:fldChar w:fldCharType="end"/>
      </w:r>
      <w:bookmarkStart w:id="25" w:name="_Toc16356"/>
      <w:r>
        <w:rPr>
          <w:rFonts w:hint="eastAsia" w:ascii="黑体" w:hAnsi="黑体" w:eastAsia="黑体" w:cs="黑体"/>
          <w:sz w:val="20"/>
        </w:rPr>
        <w:t xml:space="preserve"> 多媒体通信平台与超短波自组网系统对接</w:t>
      </w:r>
      <w:bookmarkEnd w:id="25"/>
    </w:p>
    <w:p w14:paraId="20EFCAA9">
      <w:pPr>
        <w:pStyle w:val="15"/>
        <w:rPr>
          <w:lang w:val="en-GB"/>
        </w:rPr>
      </w:pPr>
      <w:r>
        <w:rPr>
          <w:rFonts w:hint="eastAsia"/>
          <w:lang w:val="en-GB"/>
        </w:rPr>
        <w:t>超短波自组网系统通过自组网移动台和固定站建立应急通信传输网络，前方战斗分队对讲终端通过应急传输链路多跳之后，到达后方指挥中心，在后方指挥中心部署一台自组网固定站，与自组网调度服务器通过有线IP链路实现连接，从而实现融合通信系统下辖终端与前方战术分队对讲终端互联互通。</w:t>
      </w:r>
    </w:p>
    <w:p w14:paraId="2A3E8858">
      <w:pPr>
        <w:pStyle w:val="15"/>
        <w:rPr>
          <w:lang w:val="en-GB"/>
        </w:rPr>
      </w:pPr>
      <w:r>
        <w:rPr>
          <w:rFonts w:hint="eastAsia"/>
          <w:lang w:val="en-GB"/>
        </w:rPr>
        <w:t>此对接方案业务功能丰富，非常方便指挥人员了解一线情况，并实施指挥调度，方案支持的主要业务功能包括：</w:t>
      </w:r>
    </w:p>
    <w:p w14:paraId="3C014E5E">
      <w:pPr>
        <w:pStyle w:val="15"/>
        <w:rPr>
          <w:lang w:val="en-GB"/>
        </w:rPr>
      </w:pPr>
      <w:r>
        <w:rPr>
          <w:rFonts w:hint="eastAsia"/>
        </w:rPr>
        <w:t>1</w:t>
      </w:r>
      <w:r>
        <w:rPr>
          <w:rFonts w:hint="eastAsia"/>
          <w:lang w:val="en-GB"/>
        </w:rPr>
        <w:t>）语音呼叫：融合通信下辖终端，包括PDT终端、LTE终端、PoC终端和自组网终端进行双向跨网语音呼叫，包括单呼、组呼、动态重组；</w:t>
      </w:r>
    </w:p>
    <w:p w14:paraId="1928410B">
      <w:pPr>
        <w:pStyle w:val="15"/>
        <w:rPr>
          <w:lang w:val="en-GB"/>
        </w:rPr>
      </w:pPr>
      <w:r>
        <w:rPr>
          <w:rFonts w:hint="eastAsia"/>
        </w:rPr>
        <w:t>2</w:t>
      </w:r>
      <w:r>
        <w:rPr>
          <w:rFonts w:hint="eastAsia"/>
          <w:lang w:val="en-GB"/>
        </w:rPr>
        <w:t>）录音：融合通信下辖终端和自组网终端呼叫的录音存储和查询；</w:t>
      </w:r>
    </w:p>
    <w:p w14:paraId="3854151E">
      <w:pPr>
        <w:pStyle w:val="15"/>
        <w:rPr>
          <w:lang w:val="en-GB"/>
        </w:rPr>
      </w:pPr>
      <w:r>
        <w:rPr>
          <w:rFonts w:hint="eastAsia"/>
        </w:rPr>
        <w:t>3</w:t>
      </w:r>
      <w:r>
        <w:rPr>
          <w:rFonts w:hint="eastAsia"/>
          <w:lang w:val="en-GB"/>
        </w:rPr>
        <w:t>）短消息：融合通信下辖终端和自组网终端发起的跨网短信业务，包括文本、图片、语音、短视频；</w:t>
      </w:r>
    </w:p>
    <w:p w14:paraId="0CBAFCBD">
      <w:pPr>
        <w:pStyle w:val="15"/>
        <w:rPr>
          <w:lang w:val="en-GB"/>
        </w:rPr>
      </w:pPr>
      <w:r>
        <w:rPr>
          <w:rFonts w:hint="eastAsia"/>
        </w:rPr>
        <w:t>4</w:t>
      </w:r>
      <w:r>
        <w:rPr>
          <w:rFonts w:hint="eastAsia"/>
          <w:lang w:val="en-GB"/>
        </w:rPr>
        <w:t>）定位：融合通信指挥人员可以查询自组网终端的实时位置，并可查询历史轨迹和实施电子围栏管理。</w:t>
      </w:r>
    </w:p>
    <w:p w14:paraId="7C7E9428">
      <w:pPr>
        <w:pStyle w:val="15"/>
        <w:rPr>
          <w:lang w:val="en-GB"/>
        </w:rPr>
      </w:pPr>
      <w:r>
        <w:rPr>
          <w:rFonts w:hint="eastAsia"/>
          <w:lang w:val="en-GB"/>
        </w:rPr>
        <w:t>（</w:t>
      </w:r>
      <w:r>
        <w:rPr>
          <w:rFonts w:hint="eastAsia"/>
        </w:rPr>
        <w:t>4</w:t>
      </w:r>
      <w:r>
        <w:rPr>
          <w:rFonts w:hint="eastAsia"/>
          <w:lang w:val="en-GB"/>
        </w:rPr>
        <w:t>）办公电话接入</w:t>
      </w:r>
    </w:p>
    <w:p w14:paraId="1F06B6E6">
      <w:pPr>
        <w:pStyle w:val="50"/>
        <w:spacing w:line="240" w:lineRule="auto"/>
        <w:ind w:firstLine="0" w:firstLineChars="0"/>
        <w:jc w:val="center"/>
        <w:rPr>
          <w:rFonts w:hint="eastAsia" w:cstheme="minorBidi"/>
          <w:kern w:val="2"/>
          <w:sz w:val="24"/>
          <w:szCs w:val="24"/>
        </w:rPr>
      </w:pPr>
      <w:r>
        <w:drawing>
          <wp:inline distT="0" distB="0" distL="0" distR="0">
            <wp:extent cx="3573145" cy="3622675"/>
            <wp:effectExtent l="0" t="0" r="8255" b="0"/>
            <wp:docPr id="165832787"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832787" name="图片 52"/>
                    <pic:cNvPicPr>
                      <a:picLocks noChangeAspect="1" noChangeArrowheads="1"/>
                    </pic:cNvPicPr>
                  </pic:nvPicPr>
                  <pic:blipFill>
                    <a:blip r:embed="rId19">
                      <a:extLst>
                        <a:ext uri="{28A0092B-C50C-407E-A947-70E740481C1C}">
                          <a14:useLocalDpi xmlns:a14="http://schemas.microsoft.com/office/drawing/2010/main" val="0"/>
                        </a:ext>
                      </a:extLst>
                    </a:blip>
                    <a:srcRect b="5751"/>
                    <a:stretch>
                      <a:fillRect/>
                    </a:stretch>
                  </pic:blipFill>
                  <pic:spPr>
                    <a:xfrm>
                      <a:off x="0" y="0"/>
                      <a:ext cx="3573145" cy="3622675"/>
                    </a:xfrm>
                    <a:prstGeom prst="rect">
                      <a:avLst/>
                    </a:prstGeom>
                    <a:noFill/>
                    <a:ln>
                      <a:noFill/>
                    </a:ln>
                  </pic:spPr>
                </pic:pic>
              </a:graphicData>
            </a:graphic>
          </wp:inline>
        </w:drawing>
      </w:r>
    </w:p>
    <w:p w14:paraId="5FA34C7A">
      <w:pPr>
        <w:pStyle w:val="50"/>
        <w:spacing w:line="240" w:lineRule="auto"/>
        <w:ind w:firstLine="0" w:firstLineChars="0"/>
        <w:jc w:val="center"/>
        <w:rPr>
          <w:rFonts w:hint="eastAsia" w:ascii="黑体" w:hAnsi="黑体" w:eastAsia="黑体" w:cs="黑体"/>
          <w:sz w:val="20"/>
        </w:rPr>
      </w:pPr>
      <w:r>
        <w:rPr>
          <w:rFonts w:hint="eastAsia" w:ascii="黑体" w:hAnsi="黑体" w:eastAsia="黑体" w:cs="黑体"/>
          <w:sz w:val="20"/>
        </w:rPr>
        <w:t>图</w:t>
      </w:r>
      <w:r>
        <w:rPr>
          <w:rFonts w:hint="eastAsia" w:ascii="黑体" w:hAnsi="黑体" w:eastAsia="黑体" w:cs="黑体"/>
          <w:sz w:val="20"/>
        </w:rPr>
        <w:fldChar w:fldCharType="begin"/>
      </w:r>
      <w:r>
        <w:rPr>
          <w:rFonts w:hint="eastAsia" w:ascii="黑体" w:hAnsi="黑体" w:eastAsia="黑体" w:cs="黑体"/>
          <w:sz w:val="20"/>
        </w:rPr>
        <w:instrText xml:space="preserve"> STYLEREF 1 \s </w:instrText>
      </w:r>
      <w:r>
        <w:rPr>
          <w:rFonts w:hint="eastAsia" w:ascii="黑体" w:hAnsi="黑体" w:eastAsia="黑体" w:cs="黑体"/>
          <w:sz w:val="20"/>
        </w:rPr>
        <w:fldChar w:fldCharType="separate"/>
      </w:r>
      <w:r>
        <w:rPr>
          <w:rFonts w:hint="eastAsia" w:ascii="黑体" w:hAnsi="黑体" w:eastAsia="黑体" w:cs="黑体"/>
          <w:sz w:val="20"/>
        </w:rPr>
        <w:t>0</w:t>
      </w:r>
      <w:r>
        <w:rPr>
          <w:rFonts w:hint="eastAsia" w:ascii="黑体" w:hAnsi="黑体" w:eastAsia="黑体" w:cs="黑体"/>
          <w:sz w:val="20"/>
        </w:rPr>
        <w:fldChar w:fldCharType="end"/>
      </w:r>
      <w:r>
        <w:rPr>
          <w:rFonts w:hint="eastAsia" w:ascii="黑体" w:hAnsi="黑体" w:eastAsia="黑体" w:cs="黑体"/>
          <w:sz w:val="20"/>
        </w:rPr>
        <w:noBreakHyphen/>
      </w:r>
      <w:r>
        <w:rPr>
          <w:rFonts w:hint="eastAsia" w:ascii="黑体" w:hAnsi="黑体" w:eastAsia="黑体" w:cs="黑体"/>
          <w:sz w:val="20"/>
        </w:rPr>
        <w:fldChar w:fldCharType="begin"/>
      </w:r>
      <w:r>
        <w:rPr>
          <w:rFonts w:hint="eastAsia" w:ascii="黑体" w:hAnsi="黑体" w:eastAsia="黑体" w:cs="黑体"/>
          <w:sz w:val="20"/>
        </w:rPr>
        <w:instrText xml:space="preserve"> SEQ 图 \* ARABIC \s 1 </w:instrText>
      </w:r>
      <w:r>
        <w:rPr>
          <w:rFonts w:hint="eastAsia" w:ascii="黑体" w:hAnsi="黑体" w:eastAsia="黑体" w:cs="黑体"/>
          <w:sz w:val="20"/>
        </w:rPr>
        <w:fldChar w:fldCharType="separate"/>
      </w:r>
      <w:r>
        <w:rPr>
          <w:rFonts w:hint="eastAsia" w:ascii="黑体" w:hAnsi="黑体" w:eastAsia="黑体" w:cs="黑体"/>
          <w:sz w:val="20"/>
        </w:rPr>
        <w:t>16</w:t>
      </w:r>
      <w:r>
        <w:rPr>
          <w:rFonts w:hint="eastAsia" w:ascii="黑体" w:hAnsi="黑体" w:eastAsia="黑体" w:cs="黑体"/>
          <w:sz w:val="20"/>
        </w:rPr>
        <w:fldChar w:fldCharType="end"/>
      </w:r>
      <w:bookmarkStart w:id="26" w:name="_Toc11906"/>
      <w:r>
        <w:rPr>
          <w:rFonts w:hint="eastAsia" w:ascii="黑体" w:hAnsi="黑体" w:eastAsia="黑体" w:cs="黑体"/>
          <w:sz w:val="20"/>
        </w:rPr>
        <w:t xml:space="preserve"> 多媒体通信平台与PSTN对接</w:t>
      </w:r>
      <w:bookmarkEnd w:id="26"/>
    </w:p>
    <w:p w14:paraId="16B9C3A2">
      <w:pPr>
        <w:pStyle w:val="15"/>
        <w:rPr>
          <w:lang w:val="en-GB"/>
        </w:rPr>
      </w:pPr>
      <w:r>
        <w:rPr>
          <w:rFonts w:hint="eastAsia"/>
          <w:lang w:val="en-GB"/>
        </w:rPr>
        <w:t>融合通信系统部署在应急指挥信息网，通过专门的数字中继网关--PSTN网关，与办公电话和运营商PSTN网络打通，实现与内线电话和公网固话、移动手机的双向语音互通，该网关首先通过E1线与程控交换机连接，再通过IP链路与融合通信系统互通，其中语音系统之间信令面使用SIP协议，用户面使用RTP协议，由网关转换成互联异构系统的信令和语音信号，最终实现融合通信系统及所关联通信子系统与行政办公电话、公网固话、移动手机的互联互通。</w:t>
      </w:r>
    </w:p>
    <w:p w14:paraId="6F92D31F">
      <w:pPr>
        <w:pStyle w:val="15"/>
        <w:rPr>
          <w:lang w:val="en-GB"/>
        </w:rPr>
      </w:pPr>
      <w:r>
        <w:rPr>
          <w:rFonts w:hint="eastAsia"/>
          <w:lang w:val="en-GB"/>
        </w:rPr>
        <w:t>平台可提供系统通讯录、点击呼叫、单呼、组呼、临时编组、应急会议、录音等功能。具体如下：</w:t>
      </w:r>
    </w:p>
    <w:p w14:paraId="6EBA5215">
      <w:pPr>
        <w:pStyle w:val="15"/>
        <w:rPr>
          <w:lang w:val="en-GB"/>
        </w:rPr>
      </w:pPr>
      <w:r>
        <w:rPr>
          <w:rFonts w:hint="eastAsia"/>
          <w:lang w:val="en-GB"/>
        </w:rPr>
        <w:t>（1）通信调度：实现值班座席话机一键呼叫融合通信系统所有终端，包括单兵终端、手机、370M PDT、公网对讲终端等。</w:t>
      </w:r>
    </w:p>
    <w:p w14:paraId="7CEBD959">
      <w:pPr>
        <w:pStyle w:val="15"/>
        <w:rPr>
          <w:lang w:val="en-GB"/>
        </w:rPr>
      </w:pPr>
      <w:r>
        <w:rPr>
          <w:rFonts w:hint="eastAsia"/>
          <w:lang w:val="en-GB"/>
        </w:rPr>
        <w:t>（2）应急会议：融合通信系统可将PSTN电话和接入的会议子系统互联互通，实现PSTN电话入会的功能。</w:t>
      </w:r>
    </w:p>
    <w:p w14:paraId="7EFE36EC">
      <w:pPr>
        <w:pStyle w:val="15"/>
        <w:rPr>
          <w:lang w:val="en-GB"/>
        </w:rPr>
      </w:pPr>
      <w:r>
        <w:rPr>
          <w:rFonts w:hint="eastAsia"/>
          <w:lang w:val="en-GB"/>
        </w:rPr>
        <w:t>（3）系统整合：融合通信通过把所有终端定义为一个界面上的一键呼叫终端，可对任一终端快速发起呼叫；并可临时建组，终端可对新建临时组发起组呼、群呼，实现在应急情况下可以对指定区域的多种通信终端发起群呼。</w:t>
      </w:r>
    </w:p>
    <w:p w14:paraId="798DE4DB">
      <w:pPr>
        <w:pStyle w:val="15"/>
        <w:rPr>
          <w:lang w:val="en-GB"/>
        </w:rPr>
      </w:pPr>
      <w:r>
        <w:rPr>
          <w:rFonts w:hint="eastAsia"/>
          <w:lang w:val="en-GB"/>
        </w:rPr>
        <w:t>（4）实时录音：调度台发起的通话都可以实时录音，可实现公网手机、固话、内线电话、专网通信终端之间语音双向通话的实时录音、文件存储。</w:t>
      </w:r>
    </w:p>
    <w:p w14:paraId="53919FC4">
      <w:pPr>
        <w:pStyle w:val="15"/>
        <w:rPr>
          <w:lang w:val="en-GB"/>
        </w:rPr>
      </w:pPr>
      <w:r>
        <w:rPr>
          <w:rFonts w:hint="eastAsia"/>
          <w:lang w:val="en-GB"/>
        </w:rPr>
        <w:t>融合通信调度台和PSTN公网/内线电话之间全双工单呼；对于个别没有E1线接口的业主，可以使用SIM卡网关方式完成与公网移动电话，公网固定电话的对接，融合通信系统还可以直接通过SIP/RTP协议与IP话机直接联调。</w:t>
      </w:r>
    </w:p>
    <w:p w14:paraId="14AB05F0">
      <w:pPr>
        <w:pStyle w:val="15"/>
        <w:rPr>
          <w:lang w:val="en-GB"/>
        </w:rPr>
      </w:pPr>
      <w:r>
        <w:rPr>
          <w:rFonts w:hint="eastAsia"/>
          <w:lang w:val="en-GB"/>
        </w:rPr>
        <w:t>（</w:t>
      </w:r>
      <w:r>
        <w:rPr>
          <w:rFonts w:hint="eastAsia"/>
        </w:rPr>
        <w:t>5</w:t>
      </w:r>
      <w:r>
        <w:rPr>
          <w:rFonts w:hint="eastAsia"/>
          <w:lang w:val="en-GB"/>
        </w:rPr>
        <w:t>）视频融合接入</w:t>
      </w:r>
    </w:p>
    <w:p w14:paraId="000F729A">
      <w:pPr>
        <w:pStyle w:val="15"/>
        <w:rPr>
          <w:lang w:val="en-GB"/>
        </w:rPr>
      </w:pPr>
      <w:r>
        <w:rPr>
          <w:rFonts w:hint="eastAsia"/>
          <w:lang w:val="en-GB"/>
        </w:rPr>
        <w:t>视频融合是系统实现可视化指挥的基础支撑，实现指挥中心直观了解现场的画面。系统支持接入多种视频资源，包括前突队布控球、智能头盔，通信指挥车云台摄像机，以及视频会议系统等视频资源。</w:t>
      </w:r>
    </w:p>
    <w:p w14:paraId="6BAC2A13">
      <w:pPr>
        <w:pStyle w:val="15"/>
        <w:rPr>
          <w:lang w:val="en-GB"/>
        </w:rPr>
      </w:pPr>
      <w:r>
        <w:rPr>
          <w:rFonts w:hint="eastAsia"/>
          <w:lang w:val="en-GB"/>
        </w:rPr>
        <w:t>（</w:t>
      </w:r>
      <w:r>
        <w:rPr>
          <w:rFonts w:hint="eastAsia"/>
        </w:rPr>
        <w:t>6</w:t>
      </w:r>
      <w:r>
        <w:rPr>
          <w:rFonts w:hint="eastAsia"/>
          <w:lang w:val="en-GB"/>
        </w:rPr>
        <w:t>）视频监控系统接入方案</w:t>
      </w:r>
    </w:p>
    <w:p w14:paraId="46D71A95">
      <w:pPr>
        <w:pStyle w:val="50"/>
        <w:spacing w:line="240" w:lineRule="auto"/>
        <w:ind w:firstLine="0" w:firstLineChars="0"/>
        <w:jc w:val="center"/>
        <w:rPr>
          <w:rFonts w:hint="eastAsia" w:cstheme="minorBidi"/>
          <w:kern w:val="2"/>
          <w:sz w:val="24"/>
          <w:szCs w:val="24"/>
        </w:rPr>
      </w:pPr>
      <w:r>
        <w:drawing>
          <wp:inline distT="0" distB="0" distL="0" distR="0">
            <wp:extent cx="3545205" cy="4023360"/>
            <wp:effectExtent l="0" t="0" r="5715" b="0"/>
            <wp:docPr id="1392267357"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2267357" name="图片 51"/>
                    <pic:cNvPicPr>
                      <a:picLocks noChangeAspect="1" noChangeArrowheads="1"/>
                    </pic:cNvPicPr>
                  </pic:nvPicPr>
                  <pic:blipFill>
                    <a:blip r:embed="rId20">
                      <a:extLst>
                        <a:ext uri="{28A0092B-C50C-407E-A947-70E740481C1C}">
                          <a14:useLocalDpi xmlns:a14="http://schemas.microsoft.com/office/drawing/2010/main" val="0"/>
                        </a:ext>
                      </a:extLst>
                    </a:blip>
                    <a:srcRect b="4028"/>
                    <a:stretch>
                      <a:fillRect/>
                    </a:stretch>
                  </pic:blipFill>
                  <pic:spPr>
                    <a:xfrm>
                      <a:off x="0" y="0"/>
                      <a:ext cx="3545205" cy="4023360"/>
                    </a:xfrm>
                    <a:prstGeom prst="rect">
                      <a:avLst/>
                    </a:prstGeom>
                    <a:noFill/>
                    <a:ln>
                      <a:noFill/>
                    </a:ln>
                  </pic:spPr>
                </pic:pic>
              </a:graphicData>
            </a:graphic>
          </wp:inline>
        </w:drawing>
      </w:r>
    </w:p>
    <w:p w14:paraId="45239B2C">
      <w:pPr>
        <w:pStyle w:val="50"/>
        <w:spacing w:line="240" w:lineRule="auto"/>
        <w:ind w:firstLine="0" w:firstLineChars="0"/>
        <w:jc w:val="center"/>
        <w:rPr>
          <w:rFonts w:hint="eastAsia"/>
          <w:sz w:val="21"/>
        </w:rPr>
      </w:pPr>
      <w:r>
        <w:rPr>
          <w:rFonts w:hint="eastAsia" w:ascii="黑体" w:hAnsi="黑体" w:eastAsia="黑体" w:cs="黑体"/>
          <w:sz w:val="20"/>
        </w:rPr>
        <w:t>图</w:t>
      </w:r>
      <w:r>
        <w:rPr>
          <w:rFonts w:hint="eastAsia" w:ascii="黑体" w:hAnsi="黑体" w:eastAsia="黑体" w:cs="黑体"/>
          <w:sz w:val="20"/>
        </w:rPr>
        <w:fldChar w:fldCharType="begin"/>
      </w:r>
      <w:r>
        <w:rPr>
          <w:rFonts w:hint="eastAsia" w:ascii="黑体" w:hAnsi="黑体" w:eastAsia="黑体" w:cs="黑体"/>
          <w:sz w:val="20"/>
        </w:rPr>
        <w:instrText xml:space="preserve"> STYLEREF 1 \s </w:instrText>
      </w:r>
      <w:r>
        <w:rPr>
          <w:rFonts w:hint="eastAsia" w:ascii="黑体" w:hAnsi="黑体" w:eastAsia="黑体" w:cs="黑体"/>
          <w:sz w:val="20"/>
        </w:rPr>
        <w:fldChar w:fldCharType="separate"/>
      </w:r>
      <w:r>
        <w:rPr>
          <w:rFonts w:hint="eastAsia" w:ascii="黑体" w:hAnsi="黑体" w:eastAsia="黑体" w:cs="黑体"/>
          <w:sz w:val="20"/>
        </w:rPr>
        <w:t>0</w:t>
      </w:r>
      <w:r>
        <w:rPr>
          <w:rFonts w:hint="eastAsia" w:ascii="黑体" w:hAnsi="黑体" w:eastAsia="黑体" w:cs="黑体"/>
          <w:sz w:val="20"/>
        </w:rPr>
        <w:fldChar w:fldCharType="end"/>
      </w:r>
      <w:r>
        <w:rPr>
          <w:rFonts w:hint="eastAsia" w:ascii="黑体" w:hAnsi="黑体" w:eastAsia="黑体" w:cs="黑体"/>
          <w:sz w:val="20"/>
        </w:rPr>
        <w:noBreakHyphen/>
      </w:r>
      <w:r>
        <w:rPr>
          <w:rFonts w:hint="eastAsia" w:ascii="黑体" w:hAnsi="黑体" w:eastAsia="黑体" w:cs="黑体"/>
          <w:sz w:val="20"/>
        </w:rPr>
        <w:fldChar w:fldCharType="begin"/>
      </w:r>
      <w:r>
        <w:rPr>
          <w:rFonts w:hint="eastAsia" w:ascii="黑体" w:hAnsi="黑体" w:eastAsia="黑体" w:cs="黑体"/>
          <w:sz w:val="20"/>
        </w:rPr>
        <w:instrText xml:space="preserve"> SEQ 图 \* ARABIC \s 1 </w:instrText>
      </w:r>
      <w:r>
        <w:rPr>
          <w:rFonts w:hint="eastAsia" w:ascii="黑体" w:hAnsi="黑体" w:eastAsia="黑体" w:cs="黑体"/>
          <w:sz w:val="20"/>
        </w:rPr>
        <w:fldChar w:fldCharType="separate"/>
      </w:r>
      <w:r>
        <w:rPr>
          <w:rFonts w:hint="eastAsia" w:ascii="黑体" w:hAnsi="黑体" w:eastAsia="黑体" w:cs="黑体"/>
          <w:sz w:val="20"/>
        </w:rPr>
        <w:t>17</w:t>
      </w:r>
      <w:r>
        <w:rPr>
          <w:rFonts w:hint="eastAsia" w:ascii="黑体" w:hAnsi="黑体" w:eastAsia="黑体" w:cs="黑体"/>
          <w:sz w:val="20"/>
        </w:rPr>
        <w:fldChar w:fldCharType="end"/>
      </w:r>
      <w:bookmarkStart w:id="27" w:name="_Toc3329"/>
      <w:r>
        <w:rPr>
          <w:rFonts w:hint="eastAsia" w:ascii="黑体" w:hAnsi="黑体" w:eastAsia="黑体" w:cs="黑体"/>
          <w:sz w:val="20"/>
        </w:rPr>
        <w:t xml:space="preserve"> 多媒体通信平台与其他部门视频系统对接</w:t>
      </w:r>
      <w:bookmarkEnd w:id="27"/>
    </w:p>
    <w:p w14:paraId="0204C70C">
      <w:pPr>
        <w:pStyle w:val="15"/>
        <w:rPr>
          <w:lang w:val="en-GB"/>
        </w:rPr>
      </w:pPr>
      <w:r>
        <w:rPr>
          <w:rFonts w:hint="eastAsia"/>
          <w:lang w:val="en-GB"/>
        </w:rPr>
        <w:t>多媒体通信平台通过视频网关，基于国标GB/T28181协议，实现与视频监控平台对接，实现对云台摄像机、布控球、智能头盔等视频终端进行统一汇聚接入、转发、上墙、存储等调度功能，同时平台支持对接公安视频专网视频共享平台和其他委办局自建平台，实现对平安城市、雪亮工程建设摄像头的视频调看。</w:t>
      </w:r>
    </w:p>
    <w:p w14:paraId="0C54C598">
      <w:pPr>
        <w:pStyle w:val="15"/>
        <w:rPr>
          <w:lang w:val="en-GB"/>
        </w:rPr>
      </w:pPr>
      <w:r>
        <w:rPr>
          <w:rFonts w:hint="eastAsia"/>
          <w:lang w:val="en-GB"/>
        </w:rPr>
        <w:t>GB28181视频网关基于GB/T28181协议，主要解决和不同厂商视频系统间进行信息传递、交换和控制的问题，并遵循统一标准，其功能包括了注册、设备控制、实时视频和订阅/通知等的各类操作。具体工作如下：</w:t>
      </w:r>
    </w:p>
    <w:p w14:paraId="2B2D0E79">
      <w:pPr>
        <w:pStyle w:val="15"/>
        <w:rPr>
          <w:lang w:val="en-GB"/>
        </w:rPr>
      </w:pPr>
      <w:r>
        <w:rPr>
          <w:rFonts w:hint="eastAsia"/>
        </w:rPr>
        <w:t>1</w:t>
      </w:r>
      <w:r>
        <w:rPr>
          <w:rFonts w:hint="eastAsia"/>
          <w:lang w:val="en-GB"/>
        </w:rPr>
        <w:t>）接受注册：网关能够接受GB/T28181平台或设备的注册/注销请求，并使其上线/下线。</w:t>
      </w:r>
    </w:p>
    <w:p w14:paraId="7A90EF8B">
      <w:pPr>
        <w:pStyle w:val="15"/>
        <w:rPr>
          <w:lang w:val="en-GB"/>
        </w:rPr>
      </w:pPr>
      <w:r>
        <w:rPr>
          <w:rFonts w:hint="eastAsia"/>
        </w:rPr>
        <w:t>2</w:t>
      </w:r>
      <w:r>
        <w:rPr>
          <w:rFonts w:hint="eastAsia"/>
          <w:lang w:val="en-GB"/>
        </w:rPr>
        <w:t>）代理注册：网关可代理发出注册/注销请求，在第三方GB/T28181平台上上线/下线。</w:t>
      </w:r>
    </w:p>
    <w:p w14:paraId="25428FE9">
      <w:pPr>
        <w:pStyle w:val="15"/>
        <w:rPr>
          <w:lang w:val="en-GB"/>
        </w:rPr>
      </w:pPr>
      <w:r>
        <w:rPr>
          <w:rFonts w:hint="eastAsia"/>
        </w:rPr>
        <w:t>3</w:t>
      </w:r>
      <w:r>
        <w:rPr>
          <w:rFonts w:hint="eastAsia"/>
          <w:lang w:val="en-GB"/>
        </w:rPr>
        <w:t>）查询设备目录：第三方平台在本系统注册上线后，网关将向查询对方设备目录。</w:t>
      </w:r>
    </w:p>
    <w:p w14:paraId="0597A8CD">
      <w:pPr>
        <w:pStyle w:val="15"/>
        <w:rPr>
          <w:lang w:val="en-GB"/>
        </w:rPr>
      </w:pPr>
      <w:r>
        <w:rPr>
          <w:rFonts w:hint="eastAsia"/>
        </w:rPr>
        <w:t>4</w:t>
      </w:r>
      <w:r>
        <w:rPr>
          <w:rFonts w:hint="eastAsia"/>
          <w:lang w:val="en-GB"/>
        </w:rPr>
        <w:t>）响应设备查询：网关代理在第三方平台注册上线后，将响应对方的设备查询请求。</w:t>
      </w:r>
    </w:p>
    <w:p w14:paraId="26337B12">
      <w:pPr>
        <w:pStyle w:val="15"/>
        <w:rPr>
          <w:lang w:val="en-GB"/>
        </w:rPr>
      </w:pPr>
      <w:r>
        <w:rPr>
          <w:rFonts w:hint="eastAsia"/>
        </w:rPr>
        <w:t>5</w:t>
      </w:r>
      <w:r>
        <w:rPr>
          <w:rFonts w:hint="eastAsia"/>
          <w:lang w:val="en-GB"/>
        </w:rPr>
        <w:t>）订阅设备目录：支持向第三方平台订阅其目录。</w:t>
      </w:r>
    </w:p>
    <w:p w14:paraId="200516AA">
      <w:pPr>
        <w:pStyle w:val="15"/>
        <w:rPr>
          <w:lang w:val="en-GB"/>
        </w:rPr>
      </w:pPr>
      <w:r>
        <w:rPr>
          <w:rFonts w:hint="eastAsia"/>
        </w:rPr>
        <w:t>6</w:t>
      </w:r>
      <w:r>
        <w:rPr>
          <w:rFonts w:hint="eastAsia"/>
          <w:lang w:val="en-GB"/>
        </w:rPr>
        <w:t>）设备信息查询：支持对设备信息的查询。</w:t>
      </w:r>
    </w:p>
    <w:p w14:paraId="7E434947">
      <w:pPr>
        <w:pStyle w:val="15"/>
        <w:rPr>
          <w:lang w:val="en-GB"/>
        </w:rPr>
      </w:pPr>
      <w:r>
        <w:rPr>
          <w:rFonts w:hint="eastAsia"/>
        </w:rPr>
        <w:t>7</w:t>
      </w:r>
      <w:r>
        <w:rPr>
          <w:rFonts w:hint="eastAsia"/>
          <w:lang w:val="en-GB"/>
        </w:rPr>
        <w:t>）响应设备目录订阅：支持响应第三方平台的订阅设备目录请求。</w:t>
      </w:r>
    </w:p>
    <w:p w14:paraId="765F1A9B">
      <w:pPr>
        <w:pStyle w:val="15"/>
        <w:rPr>
          <w:lang w:val="en-GB"/>
        </w:rPr>
      </w:pPr>
      <w:r>
        <w:rPr>
          <w:rFonts w:hint="eastAsia"/>
        </w:rPr>
        <w:t>8</w:t>
      </w:r>
      <w:r>
        <w:rPr>
          <w:rFonts w:hint="eastAsia"/>
          <w:lang w:val="en-GB"/>
        </w:rPr>
        <w:t>）订阅设备位置：支持向第三方平台订阅设备位置。</w:t>
      </w:r>
    </w:p>
    <w:p w14:paraId="398CA937">
      <w:pPr>
        <w:pStyle w:val="15"/>
        <w:rPr>
          <w:lang w:val="en-GB"/>
        </w:rPr>
      </w:pPr>
      <w:r>
        <w:rPr>
          <w:rFonts w:hint="eastAsia"/>
        </w:rPr>
        <w:t>9</w:t>
      </w:r>
      <w:r>
        <w:rPr>
          <w:rFonts w:hint="eastAsia"/>
          <w:lang w:val="en-GB"/>
        </w:rPr>
        <w:t>）响应设备位置订阅：支持响应第三方平台的订阅设备位置请求。</w:t>
      </w:r>
    </w:p>
    <w:p w14:paraId="64447506">
      <w:pPr>
        <w:pStyle w:val="15"/>
        <w:rPr>
          <w:lang w:val="en-GB"/>
        </w:rPr>
      </w:pPr>
      <w:r>
        <w:rPr>
          <w:rFonts w:hint="eastAsia"/>
        </w:rPr>
        <w:t>10</w:t>
      </w:r>
      <w:r>
        <w:rPr>
          <w:rFonts w:hint="eastAsia"/>
          <w:lang w:val="en-GB"/>
        </w:rPr>
        <w:t>）接收设备位置告警：能响应设备的位置告警。</w:t>
      </w:r>
    </w:p>
    <w:p w14:paraId="314A6369">
      <w:pPr>
        <w:pStyle w:val="15"/>
        <w:rPr>
          <w:lang w:val="en-GB"/>
        </w:rPr>
      </w:pPr>
      <w:r>
        <w:rPr>
          <w:rFonts w:hint="eastAsia"/>
        </w:rPr>
        <w:t>11</w:t>
      </w:r>
      <w:r>
        <w:rPr>
          <w:rFonts w:hint="eastAsia"/>
          <w:lang w:val="en-GB"/>
        </w:rPr>
        <w:t>）实时媒体点播：网关能够点播第三方GB/T28181平台或设备的实时视频。也支持第三方GB/T28181平台点播网关的设备视频。</w:t>
      </w:r>
    </w:p>
    <w:p w14:paraId="0DD49322">
      <w:pPr>
        <w:pStyle w:val="15"/>
        <w:rPr>
          <w:lang w:val="en-GB"/>
        </w:rPr>
      </w:pPr>
      <w:r>
        <w:rPr>
          <w:rFonts w:hint="eastAsia"/>
        </w:rPr>
        <w:t>12</w:t>
      </w:r>
      <w:r>
        <w:rPr>
          <w:rFonts w:hint="eastAsia"/>
          <w:lang w:val="en-GB"/>
        </w:rPr>
        <w:t>）设备控制：网关支持云台控制，实现对布控球的上、下、左、右和自动巡航等控制。</w:t>
      </w:r>
    </w:p>
    <w:p w14:paraId="2F1D269E">
      <w:pPr>
        <w:pStyle w:val="15"/>
        <w:rPr>
          <w:lang w:val="en-GB"/>
        </w:rPr>
      </w:pPr>
      <w:r>
        <w:rPr>
          <w:rFonts w:hint="eastAsia"/>
        </w:rPr>
        <w:t>13</w:t>
      </w:r>
      <w:r>
        <w:rPr>
          <w:rFonts w:hint="eastAsia"/>
          <w:lang w:val="en-GB"/>
        </w:rPr>
        <w:t>）支持H.264视频编解码。</w:t>
      </w:r>
    </w:p>
    <w:p w14:paraId="0C5F35C5">
      <w:pPr>
        <w:pStyle w:val="15"/>
        <w:rPr>
          <w:lang w:val="en-GB"/>
        </w:rPr>
      </w:pPr>
      <w:r>
        <w:rPr>
          <w:rFonts w:hint="eastAsia"/>
        </w:rPr>
        <w:t>14</w:t>
      </w:r>
      <w:r>
        <w:rPr>
          <w:rFonts w:hint="eastAsia"/>
          <w:lang w:val="en-GB"/>
        </w:rPr>
        <w:t>）高并发：具备不小于100路D1、720P、1080P的视频并发能力。最大支持40000路视频监控接入。</w:t>
      </w:r>
    </w:p>
    <w:p w14:paraId="3B9E8D26">
      <w:pPr>
        <w:pStyle w:val="15"/>
        <w:rPr>
          <w:lang w:val="en-GB"/>
        </w:rPr>
      </w:pPr>
      <w:r>
        <w:rPr>
          <w:rFonts w:hint="eastAsia"/>
          <w:lang w:val="en-GB"/>
        </w:rPr>
        <w:t>对接主要包括注册、注册刷新、设备目录查询、目录订阅、实时视频等，固定监控点位置信息可以通过文件方式同步到融合通信系统；移动设备的位置信息，通过GB/T 28181-2016定义的移动设备位置事件订阅机制进行对接。</w:t>
      </w:r>
    </w:p>
    <w:p w14:paraId="4C99C8B0">
      <w:pPr>
        <w:pStyle w:val="15"/>
        <w:rPr>
          <w:lang w:val="en-GB"/>
        </w:rPr>
      </w:pPr>
      <w:r>
        <w:rPr>
          <w:rFonts w:hint="eastAsia"/>
          <w:lang w:val="en-GB"/>
        </w:rPr>
        <w:t>融合通信系统还可实现视频管理系统与视频会议系统的互联互通，在视频会议系统上，可上拉固定摄像头、智能头盔、布控球、单兵等终端进行视频入会。同时，平台具备伴音和喊话功能，如果固定摄像头具备麦克风、扬声器或有外接拾音器，平台支持进行适配对接，实现视频和现场声音同时回传调度台、查看视频时调度台向现场喊话的功能。</w:t>
      </w:r>
    </w:p>
    <w:p w14:paraId="42B4F8A1">
      <w:pPr>
        <w:pStyle w:val="15"/>
        <w:rPr>
          <w:lang w:val="en-GB"/>
        </w:rPr>
      </w:pPr>
      <w:r>
        <w:rPr>
          <w:rFonts w:hint="eastAsia"/>
          <w:lang w:val="en-GB"/>
        </w:rPr>
        <w:t>（</w:t>
      </w:r>
      <w:r>
        <w:rPr>
          <w:rFonts w:hint="eastAsia"/>
        </w:rPr>
        <w:t>7</w:t>
      </w:r>
      <w:r>
        <w:rPr>
          <w:rFonts w:hint="eastAsia"/>
          <w:lang w:val="en-GB"/>
        </w:rPr>
        <w:t>）视频会议接入方案</w:t>
      </w:r>
    </w:p>
    <w:p w14:paraId="33B31986">
      <w:pPr>
        <w:pStyle w:val="15"/>
        <w:rPr>
          <w:lang w:val="en-GB"/>
        </w:rPr>
      </w:pPr>
      <w:r>
        <w:rPr>
          <w:rFonts w:hint="eastAsia"/>
          <w:lang w:val="en-GB"/>
        </w:rPr>
        <w:t>多媒体通信平台与视频会议的对接，实现音视频会商。这样极大地促进了可视化指挥的发展，指挥员或是一线救援人员可以在各种应急现场，重大活动现场及时开展视频会议，汇报现场情况，获取指挥命令，极大的提升了指挥效率。</w:t>
      </w:r>
    </w:p>
    <w:p w14:paraId="78E6E5C5">
      <w:pPr>
        <w:pStyle w:val="15"/>
        <w:rPr>
          <w:lang w:val="en-GB"/>
        </w:rPr>
      </w:pPr>
      <w:r>
        <w:rPr>
          <w:rFonts w:hint="eastAsia"/>
          <w:lang w:val="en-GB"/>
        </w:rPr>
        <w:t>常用的对接方案有背靠背物理对接、视频会议终端对接方式。</w:t>
      </w:r>
    </w:p>
    <w:p w14:paraId="4D09AA55">
      <w:pPr>
        <w:pStyle w:val="15"/>
        <w:rPr>
          <w:lang w:val="en-GB"/>
        </w:rPr>
      </w:pPr>
      <w:r>
        <w:rPr>
          <w:rFonts w:hint="eastAsia"/>
          <w:lang w:val="en-GB"/>
        </w:rPr>
        <w:t>1）标准协议对接</w:t>
      </w:r>
    </w:p>
    <w:p w14:paraId="06D84AC9">
      <w:pPr>
        <w:pStyle w:val="50"/>
        <w:spacing w:line="240" w:lineRule="auto"/>
        <w:ind w:firstLine="0" w:firstLineChars="0"/>
        <w:jc w:val="center"/>
        <w:rPr>
          <w:rFonts w:hint="eastAsia" w:cstheme="minorBidi"/>
          <w:kern w:val="2"/>
          <w:sz w:val="24"/>
          <w:szCs w:val="24"/>
        </w:rPr>
      </w:pPr>
      <w:r>
        <w:drawing>
          <wp:inline distT="0" distB="0" distL="0" distR="0">
            <wp:extent cx="4354195" cy="3763010"/>
            <wp:effectExtent l="0" t="0" r="4445" b="1270"/>
            <wp:docPr id="167984572"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984572" name="图片 5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4354195" cy="3763010"/>
                    </a:xfrm>
                    <a:prstGeom prst="rect">
                      <a:avLst/>
                    </a:prstGeom>
                    <a:noFill/>
                    <a:ln>
                      <a:noFill/>
                    </a:ln>
                  </pic:spPr>
                </pic:pic>
              </a:graphicData>
            </a:graphic>
          </wp:inline>
        </w:drawing>
      </w:r>
    </w:p>
    <w:p w14:paraId="32B9B492">
      <w:pPr>
        <w:pStyle w:val="50"/>
        <w:spacing w:line="240" w:lineRule="auto"/>
        <w:ind w:firstLine="0" w:firstLineChars="0"/>
        <w:jc w:val="center"/>
        <w:rPr>
          <w:rFonts w:hint="eastAsia" w:ascii="黑体" w:hAnsi="黑体" w:eastAsia="黑体" w:cs="黑体"/>
          <w:sz w:val="20"/>
        </w:rPr>
      </w:pPr>
      <w:r>
        <w:rPr>
          <w:rFonts w:hint="eastAsia" w:ascii="黑体" w:hAnsi="黑体" w:eastAsia="黑体" w:cs="黑体"/>
          <w:sz w:val="20"/>
        </w:rPr>
        <w:t>图</w:t>
      </w:r>
      <w:r>
        <w:rPr>
          <w:rFonts w:hint="eastAsia" w:ascii="黑体" w:hAnsi="黑体" w:eastAsia="黑体" w:cs="黑体"/>
          <w:sz w:val="20"/>
        </w:rPr>
        <w:fldChar w:fldCharType="begin"/>
      </w:r>
      <w:r>
        <w:rPr>
          <w:rFonts w:hint="eastAsia" w:ascii="黑体" w:hAnsi="黑体" w:eastAsia="黑体" w:cs="黑体"/>
          <w:sz w:val="20"/>
        </w:rPr>
        <w:instrText xml:space="preserve"> STYLEREF 1 \s </w:instrText>
      </w:r>
      <w:r>
        <w:rPr>
          <w:rFonts w:hint="eastAsia" w:ascii="黑体" w:hAnsi="黑体" w:eastAsia="黑体" w:cs="黑体"/>
          <w:sz w:val="20"/>
        </w:rPr>
        <w:fldChar w:fldCharType="separate"/>
      </w:r>
      <w:r>
        <w:rPr>
          <w:rFonts w:hint="eastAsia" w:ascii="黑体" w:hAnsi="黑体" w:eastAsia="黑体" w:cs="黑体"/>
          <w:sz w:val="20"/>
        </w:rPr>
        <w:t>0</w:t>
      </w:r>
      <w:r>
        <w:rPr>
          <w:rFonts w:hint="eastAsia" w:ascii="黑体" w:hAnsi="黑体" w:eastAsia="黑体" w:cs="黑体"/>
          <w:sz w:val="20"/>
        </w:rPr>
        <w:fldChar w:fldCharType="end"/>
      </w:r>
      <w:r>
        <w:rPr>
          <w:rFonts w:hint="eastAsia" w:ascii="黑体" w:hAnsi="黑体" w:eastAsia="黑体" w:cs="黑体"/>
          <w:sz w:val="20"/>
        </w:rPr>
        <w:noBreakHyphen/>
      </w:r>
      <w:r>
        <w:rPr>
          <w:rFonts w:hint="eastAsia" w:ascii="黑体" w:hAnsi="黑体" w:eastAsia="黑体" w:cs="黑体"/>
          <w:sz w:val="20"/>
        </w:rPr>
        <w:fldChar w:fldCharType="begin"/>
      </w:r>
      <w:r>
        <w:rPr>
          <w:rFonts w:hint="eastAsia" w:ascii="黑体" w:hAnsi="黑体" w:eastAsia="黑体" w:cs="黑体"/>
          <w:sz w:val="20"/>
        </w:rPr>
        <w:instrText xml:space="preserve"> SEQ 图 \* ARABIC \s 1 </w:instrText>
      </w:r>
      <w:r>
        <w:rPr>
          <w:rFonts w:hint="eastAsia" w:ascii="黑体" w:hAnsi="黑体" w:eastAsia="黑体" w:cs="黑体"/>
          <w:sz w:val="20"/>
        </w:rPr>
        <w:fldChar w:fldCharType="separate"/>
      </w:r>
      <w:r>
        <w:rPr>
          <w:rFonts w:hint="eastAsia" w:ascii="黑体" w:hAnsi="黑体" w:eastAsia="黑体" w:cs="黑体"/>
          <w:sz w:val="20"/>
        </w:rPr>
        <w:t>18</w:t>
      </w:r>
      <w:r>
        <w:rPr>
          <w:rFonts w:hint="eastAsia" w:ascii="黑体" w:hAnsi="黑体" w:eastAsia="黑体" w:cs="黑体"/>
          <w:sz w:val="20"/>
        </w:rPr>
        <w:fldChar w:fldCharType="end"/>
      </w:r>
      <w:bookmarkStart w:id="28" w:name="_Toc30305"/>
      <w:r>
        <w:rPr>
          <w:rFonts w:hint="eastAsia" w:ascii="黑体" w:hAnsi="黑体" w:eastAsia="黑体" w:cs="黑体"/>
          <w:sz w:val="20"/>
        </w:rPr>
        <w:t xml:space="preserve"> 标准协议融合方式</w:t>
      </w:r>
      <w:bookmarkEnd w:id="28"/>
    </w:p>
    <w:p w14:paraId="19511DAF">
      <w:pPr>
        <w:pStyle w:val="15"/>
        <w:rPr>
          <w:lang w:val="en-GB"/>
        </w:rPr>
      </w:pPr>
      <w:r>
        <w:rPr>
          <w:rFonts w:hint="eastAsia"/>
          <w:lang w:val="en-GB"/>
        </w:rPr>
        <w:t>视频会议融合网关通过H.323/SIP协议向视频会议终端发起呼叫，原视频会议终端应答后，双方建立音视频流通信。一次可向现有视频会议终端发送多路呼叫。</w:t>
      </w:r>
    </w:p>
    <w:p w14:paraId="57EC717A">
      <w:pPr>
        <w:pStyle w:val="15"/>
        <w:rPr>
          <w:lang w:val="en-GB"/>
        </w:rPr>
      </w:pPr>
      <w:r>
        <w:rPr>
          <w:rFonts w:hint="eastAsia"/>
          <w:lang w:val="en-GB"/>
        </w:rPr>
        <w:t>新建视频会议终端通过H.323/SIP协议向视频会议互通网关注册，在视频会议融合网关上进行视频会议业务。</w:t>
      </w:r>
    </w:p>
    <w:p w14:paraId="24CA4A49">
      <w:pPr>
        <w:pStyle w:val="15"/>
        <w:rPr>
          <w:lang w:val="en-GB"/>
        </w:rPr>
      </w:pPr>
      <w:r>
        <w:rPr>
          <w:rFonts w:hint="eastAsia"/>
          <w:lang w:val="en-GB"/>
        </w:rPr>
        <w:t>视频会议融合网关能和华为、中兴、宝丽通、Cisco、科达等厂商的视频会议系统实现对接。具备创建会议、结束会议、添加用户、删除用户、静音用户、解静音用户、广播会议界面等会议管理功能；一般场景在应急指挥信息网创建会议，同时具备将通过多媒体通信平台接入的移动、智能头盔、LTE手持终端、PDT终端、固定电话、固定监控等音、视频源作为会议终端拉入会，具备音视频。</w:t>
      </w:r>
    </w:p>
    <w:p w14:paraId="7F909ABF">
      <w:pPr>
        <w:pStyle w:val="15"/>
        <w:rPr>
          <w:lang w:val="en-GB"/>
        </w:rPr>
      </w:pPr>
      <w:r>
        <w:rPr>
          <w:rFonts w:hint="eastAsia"/>
          <w:lang w:val="en-GB"/>
        </w:rPr>
        <w:t>2）背靠背物理对接</w:t>
      </w:r>
    </w:p>
    <w:p w14:paraId="698D957C">
      <w:pPr>
        <w:pStyle w:val="50"/>
        <w:spacing w:line="240" w:lineRule="auto"/>
        <w:ind w:firstLine="0" w:firstLineChars="0"/>
        <w:jc w:val="center"/>
        <w:rPr>
          <w:rFonts w:hint="eastAsia" w:cstheme="minorBidi"/>
          <w:kern w:val="2"/>
          <w:sz w:val="24"/>
          <w:szCs w:val="24"/>
        </w:rPr>
      </w:pPr>
      <w:r>
        <w:drawing>
          <wp:inline distT="0" distB="0" distL="0" distR="0">
            <wp:extent cx="3488690" cy="3207385"/>
            <wp:effectExtent l="0" t="0" r="1270" b="8255"/>
            <wp:docPr id="2119937493"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9937493" name="图片 4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3488690" cy="3207385"/>
                    </a:xfrm>
                    <a:prstGeom prst="rect">
                      <a:avLst/>
                    </a:prstGeom>
                    <a:noFill/>
                    <a:ln>
                      <a:noFill/>
                    </a:ln>
                  </pic:spPr>
                </pic:pic>
              </a:graphicData>
            </a:graphic>
          </wp:inline>
        </w:drawing>
      </w:r>
    </w:p>
    <w:p w14:paraId="77AC98E0">
      <w:pPr>
        <w:pStyle w:val="50"/>
        <w:spacing w:line="240" w:lineRule="auto"/>
        <w:ind w:firstLine="0" w:firstLineChars="0"/>
        <w:jc w:val="center"/>
        <w:rPr>
          <w:rFonts w:hint="eastAsia" w:ascii="黑体" w:hAnsi="黑体" w:eastAsia="黑体" w:cs="黑体"/>
          <w:sz w:val="20"/>
        </w:rPr>
      </w:pPr>
      <w:r>
        <w:rPr>
          <w:rFonts w:hint="eastAsia" w:ascii="黑体" w:hAnsi="黑体" w:eastAsia="黑体" w:cs="黑体"/>
          <w:sz w:val="20"/>
        </w:rPr>
        <w:t>图</w:t>
      </w:r>
      <w:r>
        <w:rPr>
          <w:rFonts w:hint="eastAsia" w:ascii="黑体" w:hAnsi="黑体" w:eastAsia="黑体" w:cs="黑体"/>
          <w:sz w:val="20"/>
        </w:rPr>
        <w:fldChar w:fldCharType="begin"/>
      </w:r>
      <w:r>
        <w:rPr>
          <w:rFonts w:hint="eastAsia" w:ascii="黑体" w:hAnsi="黑体" w:eastAsia="黑体" w:cs="黑体"/>
          <w:sz w:val="20"/>
        </w:rPr>
        <w:instrText xml:space="preserve"> STYLEREF 1 \s </w:instrText>
      </w:r>
      <w:r>
        <w:rPr>
          <w:rFonts w:hint="eastAsia" w:ascii="黑体" w:hAnsi="黑体" w:eastAsia="黑体" w:cs="黑体"/>
          <w:sz w:val="20"/>
        </w:rPr>
        <w:fldChar w:fldCharType="separate"/>
      </w:r>
      <w:r>
        <w:rPr>
          <w:rFonts w:hint="eastAsia" w:ascii="黑体" w:hAnsi="黑体" w:eastAsia="黑体" w:cs="黑体"/>
          <w:sz w:val="20"/>
        </w:rPr>
        <w:t>0</w:t>
      </w:r>
      <w:r>
        <w:rPr>
          <w:rFonts w:hint="eastAsia" w:ascii="黑体" w:hAnsi="黑体" w:eastAsia="黑体" w:cs="黑体"/>
          <w:sz w:val="20"/>
        </w:rPr>
        <w:fldChar w:fldCharType="end"/>
      </w:r>
      <w:r>
        <w:rPr>
          <w:rFonts w:hint="eastAsia" w:ascii="黑体" w:hAnsi="黑体" w:eastAsia="黑体" w:cs="黑体"/>
          <w:sz w:val="20"/>
        </w:rPr>
        <w:noBreakHyphen/>
      </w:r>
      <w:r>
        <w:rPr>
          <w:rFonts w:hint="eastAsia" w:ascii="黑体" w:hAnsi="黑体" w:eastAsia="黑体" w:cs="黑体"/>
          <w:sz w:val="20"/>
        </w:rPr>
        <w:fldChar w:fldCharType="begin"/>
      </w:r>
      <w:r>
        <w:rPr>
          <w:rFonts w:hint="eastAsia" w:ascii="黑体" w:hAnsi="黑体" w:eastAsia="黑体" w:cs="黑体"/>
          <w:sz w:val="20"/>
        </w:rPr>
        <w:instrText xml:space="preserve"> SEQ 图 \* ARABIC \s 1 </w:instrText>
      </w:r>
      <w:r>
        <w:rPr>
          <w:rFonts w:hint="eastAsia" w:ascii="黑体" w:hAnsi="黑体" w:eastAsia="黑体" w:cs="黑体"/>
          <w:sz w:val="20"/>
        </w:rPr>
        <w:fldChar w:fldCharType="separate"/>
      </w:r>
      <w:r>
        <w:rPr>
          <w:rFonts w:hint="eastAsia" w:ascii="黑体" w:hAnsi="黑体" w:eastAsia="黑体" w:cs="黑体"/>
          <w:sz w:val="20"/>
        </w:rPr>
        <w:t>19</w:t>
      </w:r>
      <w:r>
        <w:rPr>
          <w:rFonts w:hint="eastAsia" w:ascii="黑体" w:hAnsi="黑体" w:eastAsia="黑体" w:cs="黑体"/>
          <w:sz w:val="20"/>
        </w:rPr>
        <w:fldChar w:fldCharType="end"/>
      </w:r>
      <w:bookmarkStart w:id="29" w:name="_Toc21801"/>
      <w:r>
        <w:rPr>
          <w:rFonts w:hint="eastAsia" w:ascii="黑体" w:hAnsi="黑体" w:eastAsia="黑体" w:cs="黑体"/>
          <w:sz w:val="20"/>
        </w:rPr>
        <w:t xml:space="preserve"> 背靠背物理融合方式</w:t>
      </w:r>
      <w:bookmarkEnd w:id="29"/>
    </w:p>
    <w:p w14:paraId="3371B99E">
      <w:pPr>
        <w:pStyle w:val="15"/>
        <w:rPr>
          <w:lang w:val="en-GB"/>
        </w:rPr>
      </w:pPr>
      <w:r>
        <w:rPr>
          <w:rFonts w:hint="eastAsia"/>
          <w:lang w:val="en-GB"/>
        </w:rPr>
        <w:t>采用背靠背的融合方式，仍保持现有的网络方式，选择1～2个视频会议互联接口设备通过HDMI线进行互连，可把会议视频接入到融合通信系统中，反之也可把新建的视频会议加入到存量视频会议中去。</w:t>
      </w:r>
    </w:p>
    <w:p w14:paraId="2CEAC023">
      <w:pPr>
        <w:pStyle w:val="15"/>
        <w:rPr>
          <w:lang w:val="en-GB"/>
        </w:rPr>
      </w:pPr>
      <w:r>
        <w:rPr>
          <w:rFonts w:hint="eastAsia"/>
          <w:lang w:val="en-GB"/>
        </w:rPr>
        <w:t>通过H323/SIP标准协议或背靠背物理连接的方式，与视频会议系统对接，实现第三方会议终端融合到融合通信系统中，最终达到跨平台、跨网络、跨区域、跨部门的统一调度、扁平化指挥、协同处置的目的。</w:t>
      </w:r>
    </w:p>
    <w:p w14:paraId="44D9BB1B">
      <w:pPr>
        <w:pStyle w:val="15"/>
        <w:rPr>
          <w:lang w:val="en-GB"/>
        </w:rPr>
      </w:pPr>
      <w:r>
        <w:rPr>
          <w:rFonts w:hint="eastAsia"/>
          <w:lang w:val="en-GB"/>
        </w:rPr>
        <w:t>视频会议融合网关支持实现与异网和不同厂家音视通信系统接入，同时与第三方厂家视频会议系统协议对接，实现语音、监控、视频会议的统一调度功能。会议网关支持H.261、H.263 、H.263+、H.264、H.264HP、H.264SVC、MPEG4、JPEG(仅压缩）等编码格式，支持视频会议终端、可视电话、视频监控摄像头、智能终端视频客户端、电脑视频客户端接入，可将普通话机、视频话机、移动电话、集群手台等终端接入到视频会商中，并可以实现语音类、监控类和视频会议类的混合视频会商调度功能。</w:t>
      </w:r>
    </w:p>
    <w:p w14:paraId="6FEBE415">
      <w:pPr>
        <w:pStyle w:val="15"/>
        <w:rPr>
          <w:lang w:val="en-GB"/>
        </w:rPr>
      </w:pPr>
      <w:r>
        <w:rPr>
          <w:rFonts w:hint="eastAsia"/>
          <w:lang w:val="en-GB"/>
        </w:rPr>
        <w:t>视频会议网关可以将各类支持视频的设备进入，最终统一呈现到指挥中心的屏幕上，实现各类音视频的统一视频会商。</w:t>
      </w:r>
    </w:p>
    <w:p w14:paraId="4799DB56">
      <w:pPr>
        <w:pStyle w:val="15"/>
        <w:rPr>
          <w:lang w:val="en-GB"/>
        </w:rPr>
      </w:pPr>
      <w:r>
        <w:rPr>
          <w:rFonts w:hint="eastAsia"/>
          <w:lang w:val="en-GB"/>
        </w:rPr>
        <w:t>融合通信系统通过标准接口集成方式，把单兵APP音视频、雪亮工程监控视频、已建视频会议系统、PSTN固话、手机语音、集群系统进行统一会商融合。通过调度台一键召开、结束视频会商会议的业务功能，并支持对会议成员进行会控操作，如：状态信息、禁言、解除禁言、隔离、解除隔离、踢出、重新邀请、临时邀请其他用户等功能，支持多画面布局控制，支持调度台加入会议功能，并支持打开/关闭摄像头、打开/关闭麦克风等操作。</w:t>
      </w:r>
    </w:p>
    <w:p w14:paraId="748046AF">
      <w:pPr>
        <w:pStyle w:val="15"/>
        <w:rPr>
          <w:lang w:val="en-GB"/>
        </w:rPr>
      </w:pPr>
      <w:r>
        <w:rPr>
          <w:rFonts w:hint="eastAsia"/>
        </w:rPr>
        <w:t>（8）</w:t>
      </w:r>
      <w:r>
        <w:rPr>
          <w:rFonts w:hint="eastAsia"/>
          <w:lang w:val="en-GB"/>
        </w:rPr>
        <w:t>数据融合接入</w:t>
      </w:r>
    </w:p>
    <w:p w14:paraId="78249C9C">
      <w:pPr>
        <w:pStyle w:val="15"/>
        <w:rPr>
          <w:lang w:val="en-GB"/>
        </w:rPr>
      </w:pPr>
      <w:r>
        <w:rPr>
          <w:rFonts w:hint="eastAsia"/>
        </w:rPr>
        <w:t>1</w:t>
      </w:r>
      <w:r>
        <w:rPr>
          <w:rFonts w:hint="eastAsia"/>
          <w:lang w:val="en-GB"/>
        </w:rPr>
        <w:t>）短信业务接入</w:t>
      </w:r>
    </w:p>
    <w:p w14:paraId="2F990263">
      <w:pPr>
        <w:pStyle w:val="15"/>
        <w:rPr>
          <w:lang w:val="en-GB"/>
        </w:rPr>
      </w:pPr>
      <w:r>
        <w:rPr>
          <w:rFonts w:hint="eastAsia"/>
          <w:lang w:val="en-GB"/>
        </w:rPr>
        <w:t>系统具备短信业务融合能力，支持插入SIM卡即可直接接入运营商PLMN网络，通过调度台可进行短信单发、群发、接收短信等功能。短信业务包含对接设备告警信息收发、短信回执、通知下发等。具备语音中继能力，实现用户语音通信出入局。</w:t>
      </w:r>
    </w:p>
    <w:p w14:paraId="1BFD513B">
      <w:pPr>
        <w:pStyle w:val="15"/>
        <w:rPr>
          <w:lang w:val="en-GB"/>
        </w:rPr>
      </w:pPr>
      <w:r>
        <w:rPr>
          <w:rFonts w:hint="eastAsia"/>
          <w:lang w:val="en-GB"/>
        </w:rPr>
        <w:t>系统支持短信平台接入能力，可通过IP方式（需根据运营商提供的协议方式进行定制开发）接入已有运营商短信平台/短信网关，实现调度台直接通过运营商PLMN网络通道，进行短信单发、群发、接收短信等功能。</w:t>
      </w:r>
    </w:p>
    <w:p w14:paraId="6021FFED">
      <w:pPr>
        <w:pStyle w:val="15"/>
        <w:rPr>
          <w:lang w:val="en-GB"/>
        </w:rPr>
      </w:pPr>
      <w:r>
        <w:rPr>
          <w:rFonts w:hint="eastAsia"/>
        </w:rPr>
        <w:t>2</w:t>
      </w:r>
      <w:r>
        <w:rPr>
          <w:rFonts w:hint="eastAsia"/>
          <w:lang w:val="en-GB"/>
        </w:rPr>
        <w:t>）传真业务接入</w:t>
      </w:r>
    </w:p>
    <w:p w14:paraId="1364097B">
      <w:pPr>
        <w:pStyle w:val="15"/>
        <w:rPr>
          <w:lang w:val="en-GB"/>
        </w:rPr>
      </w:pPr>
      <w:r>
        <w:rPr>
          <w:rFonts w:hint="eastAsia"/>
          <w:lang w:val="en-GB"/>
        </w:rPr>
        <w:t>系统具备传真业务融合能力，支持通过外线方式接入传真机，实现对传真资源的调度。具备通过调度台可进行传真单发、群发、接收传真等功能。</w:t>
      </w:r>
    </w:p>
    <w:p w14:paraId="7FCC7A1D">
      <w:pPr>
        <w:pStyle w:val="15"/>
        <w:rPr>
          <w:lang w:val="en-GB"/>
        </w:rPr>
      </w:pPr>
      <w:r>
        <w:rPr>
          <w:rFonts w:hint="eastAsia"/>
        </w:rPr>
        <w:t>3</w:t>
      </w:r>
      <w:r>
        <w:rPr>
          <w:rFonts w:hint="eastAsia"/>
          <w:lang w:val="en-GB"/>
        </w:rPr>
        <w:t>）北斗短报文及北斗终端位置信息接入</w:t>
      </w:r>
    </w:p>
    <w:p w14:paraId="6275A0D8">
      <w:pPr>
        <w:pStyle w:val="15"/>
        <w:rPr>
          <w:lang w:val="en-GB"/>
        </w:rPr>
      </w:pPr>
      <w:r>
        <w:rPr>
          <w:rFonts w:hint="eastAsia"/>
          <w:lang w:val="en-GB"/>
        </w:rPr>
        <w:t>系统具备北斗短报文及终端位置信息接入能力，支持通过SDK定制开发的方式，实现对北斗终端的调度。其中指挥人员通过调度台可进行与北斗终端进行端报文收发以及获取北斗终端的位置信息。</w:t>
      </w:r>
    </w:p>
    <w:p w14:paraId="55A8777A">
      <w:pPr>
        <w:pStyle w:val="15"/>
        <w:rPr>
          <w:lang w:val="en-GB"/>
        </w:rPr>
      </w:pPr>
      <w:r>
        <w:rPr>
          <w:rFonts w:hint="eastAsia"/>
        </w:rPr>
        <w:t>2.</w:t>
      </w:r>
      <w:r>
        <w:rPr>
          <w:rFonts w:hint="eastAsia"/>
          <w:lang w:val="en-GB"/>
        </w:rPr>
        <w:t>北斗定位模块</w:t>
      </w:r>
    </w:p>
    <w:p w14:paraId="3AFC6A92">
      <w:pPr>
        <w:pStyle w:val="15"/>
        <w:rPr>
          <w:lang w:val="en-GB"/>
        </w:rPr>
      </w:pPr>
      <w:r>
        <w:rPr>
          <w:rFonts w:hint="eastAsia"/>
          <w:lang w:val="en-GB"/>
        </w:rPr>
        <w:t>（</w:t>
      </w:r>
      <w:r>
        <w:rPr>
          <w:rFonts w:hint="eastAsia"/>
        </w:rPr>
        <w:t>1</w:t>
      </w:r>
      <w:r>
        <w:rPr>
          <w:rFonts w:hint="eastAsia"/>
          <w:lang w:val="en-GB"/>
        </w:rPr>
        <w:t>）总体概述</w:t>
      </w:r>
    </w:p>
    <w:p w14:paraId="0091486C">
      <w:pPr>
        <w:pStyle w:val="15"/>
        <w:rPr>
          <w:lang w:val="en-GB"/>
        </w:rPr>
      </w:pPr>
      <w:r>
        <w:rPr>
          <w:rFonts w:hint="eastAsia"/>
          <w:lang w:val="en-GB"/>
        </w:rPr>
        <w:t>本模块是集成北斗卫星导航定位、地理信息系统（GIS）和物联网技术的综合监控指挥系统，核心目标为救援指挥中心提供救援人员实时位置可视化、历史行动轨迹回溯、电子围栏安全预警及设备统一管理能力，以提升救援行动指挥效率和人员安全保障水平。</w:t>
      </w:r>
    </w:p>
    <w:p w14:paraId="6094017E">
      <w:pPr>
        <w:pStyle w:val="15"/>
        <w:rPr>
          <w:lang w:val="en-GB"/>
        </w:rPr>
      </w:pPr>
      <w:r>
        <w:rPr>
          <w:rFonts w:hint="eastAsia"/>
          <w:lang w:val="en-GB"/>
        </w:rPr>
        <w:t>（</w:t>
      </w:r>
      <w:r>
        <w:rPr>
          <w:rFonts w:hint="eastAsia"/>
        </w:rPr>
        <w:t>2</w:t>
      </w:r>
      <w:r>
        <w:rPr>
          <w:rFonts w:hint="eastAsia"/>
          <w:lang w:val="en-GB"/>
        </w:rPr>
        <w:t>）北斗数据接收与解析模块</w:t>
      </w:r>
    </w:p>
    <w:p w14:paraId="290A29B3">
      <w:pPr>
        <w:pStyle w:val="15"/>
        <w:rPr>
          <w:lang w:val="en-GB"/>
        </w:rPr>
      </w:pPr>
      <w:r>
        <w:rPr>
          <w:rFonts w:hint="eastAsia"/>
          <w:lang w:val="en-GB"/>
        </w:rPr>
        <w:t>功能描述：系统后端通过与北斗卫星数据中心的专用链路，自动接收并解析救援人员携带的北斗设备发送的短报文信息。</w:t>
      </w:r>
    </w:p>
    <w:p w14:paraId="05EE7EB0">
      <w:pPr>
        <w:pStyle w:val="15"/>
        <w:rPr>
          <w:lang w:val="en-GB"/>
        </w:rPr>
      </w:pPr>
      <w:r>
        <w:rPr>
          <w:rFonts w:hint="eastAsia"/>
          <w:lang w:val="en-GB"/>
        </w:rPr>
        <w:t>数据内容：包含实时经纬度坐标（符合北斗定位精度标准）、定位时间戳、设备电量状态（百分比显示）、设备 ID（唯一标识符，用于关联设备和人员信息）。</w:t>
      </w:r>
    </w:p>
    <w:p w14:paraId="297EE46E">
      <w:pPr>
        <w:pStyle w:val="15"/>
      </w:pPr>
      <w:r>
        <w:rPr>
          <w:rFonts w:hint="eastAsia"/>
        </w:rPr>
        <w:t>（3）GIS地图可视化模块</w:t>
      </w:r>
    </w:p>
    <w:p w14:paraId="040E162C">
      <w:pPr>
        <w:pStyle w:val="15"/>
      </w:pPr>
      <w:r>
        <w:rPr>
          <w:rFonts w:hint="eastAsia"/>
        </w:rPr>
        <w:t>功能描述：在 Web 前端提供高性能 GIS 地图操作界面，直观展示所有在线设备的位置。</w:t>
      </w:r>
    </w:p>
    <w:p w14:paraId="2B755108">
      <w:pPr>
        <w:pStyle w:val="15"/>
      </w:pPr>
      <w:r>
        <w:rPr>
          <w:rFonts w:hint="eastAsia"/>
        </w:rPr>
        <w:t>1）地图展示：支持行政图（含道路、行政区划等）和卫星图（高清影像图）切换，支持缩放、平移、测距、拉框放大等基本操作。</w:t>
      </w:r>
    </w:p>
    <w:p w14:paraId="4EB2587A">
      <w:pPr>
        <w:pStyle w:val="15"/>
      </w:pPr>
      <w:r>
        <w:rPr>
          <w:rFonts w:hint="eastAsia"/>
        </w:rPr>
        <w:t>2）点位显示：所有在线设备以标识明显的图标在地图上标注实时位置。</w:t>
      </w:r>
    </w:p>
    <w:p w14:paraId="2AF91F7B">
      <w:pPr>
        <w:pStyle w:val="15"/>
      </w:pPr>
      <w:r>
        <w:rPr>
          <w:rFonts w:hint="eastAsia"/>
        </w:rPr>
        <w:t>3）信息弹窗：点击设备图标弹出信息窗口，定位时间、设备电量、当前状态（正常/告警）等详细信息。</w:t>
      </w:r>
    </w:p>
    <w:p w14:paraId="32397F63">
      <w:pPr>
        <w:pStyle w:val="15"/>
      </w:pPr>
      <w:r>
        <w:rPr>
          <w:rFonts w:hint="eastAsia"/>
        </w:rPr>
        <w:t>（4）轨迹管理模块</w:t>
      </w:r>
    </w:p>
    <w:p w14:paraId="62D8BA4D">
      <w:pPr>
        <w:pStyle w:val="15"/>
      </w:pPr>
      <w:r>
        <w:rPr>
          <w:rFonts w:hint="eastAsia"/>
        </w:rPr>
        <w:t>功能描述：提供救援人员历史行进路线的记录与查询功能，用于行动复盘和分析。</w:t>
      </w:r>
    </w:p>
    <w:p w14:paraId="2F7004CC">
      <w:pPr>
        <w:pStyle w:val="15"/>
      </w:pPr>
      <w:r>
        <w:rPr>
          <w:rFonts w:hint="eastAsia"/>
        </w:rPr>
        <w:t>1）实时轨迹：系统自动以连续彩色线条绘制选定设备的实时移动路径，支持同时显示多个设备轨迹并以不同颜色区分。</w:t>
      </w:r>
    </w:p>
    <w:p w14:paraId="7774E45E">
      <w:pPr>
        <w:pStyle w:val="15"/>
      </w:pPr>
      <w:r>
        <w:rPr>
          <w:rFonts w:hint="eastAsia"/>
        </w:rPr>
        <w:t>2）历史轨迹查询：提供查询面板，可按设备、时间范围（精确到分钟）查询历史轨迹；查询结果在地图上绘制，显示轨迹点的速度、时间等信息。</w:t>
      </w:r>
    </w:p>
    <w:p w14:paraId="5A69D751">
      <w:pPr>
        <w:pStyle w:val="15"/>
      </w:pPr>
      <w:r>
        <w:rPr>
          <w:rFonts w:hint="eastAsia"/>
        </w:rPr>
        <w:t>（5）电子围栏与告警模块</w:t>
      </w:r>
    </w:p>
    <w:p w14:paraId="2976314B">
      <w:pPr>
        <w:pStyle w:val="15"/>
      </w:pPr>
      <w:r>
        <w:rPr>
          <w:rFonts w:hint="eastAsia"/>
        </w:rPr>
        <w:t>功能描述：允许指挥中心划定电子围栏区域，监控人员进出行为并触发告警，是保障人员安全的核心功能。</w:t>
      </w:r>
    </w:p>
    <w:p w14:paraId="364DCF2E">
      <w:pPr>
        <w:pStyle w:val="15"/>
      </w:pPr>
      <w:r>
        <w:rPr>
          <w:rFonts w:hint="eastAsia"/>
        </w:rPr>
        <w:t>1）围栏绘制：支持绘制圆形、多边形等多种形状的电子围栏，可对每个围栏命名、设置生效时间及告警类型（进入告警、离开告警或两者都告警）。</w:t>
      </w:r>
    </w:p>
    <w:p w14:paraId="6211F5BF">
      <w:pPr>
        <w:pStyle w:val="15"/>
      </w:pPr>
      <w:r>
        <w:rPr>
          <w:rFonts w:hint="eastAsia"/>
        </w:rPr>
        <w:t>2）白名单管理：可为每个电子围栏单独设置白名单，列入白名单的设备（如指挥车辆、后勤人员）进出区域不触发告警，避免误报。</w:t>
      </w:r>
    </w:p>
    <w:p w14:paraId="660D78A6">
      <w:pPr>
        <w:pStyle w:val="15"/>
      </w:pPr>
      <w:r>
        <w:rPr>
          <w:rFonts w:hint="eastAsia"/>
        </w:rPr>
        <w:t>3）告警触发与通知：非白名单设备触发围栏规则时，系统立即生成告警日志；页面上对应设备图标高亮闪烁，告警信息同时在屏幕一侧的告警列表中以高亮显示。</w:t>
      </w:r>
    </w:p>
    <w:p w14:paraId="2DDA7776">
      <w:pPr>
        <w:pStyle w:val="15"/>
      </w:pPr>
      <w:r>
        <w:rPr>
          <w:rFonts w:hint="eastAsia"/>
        </w:rPr>
        <w:t>4）告警处理：支持对告警信息进行 “确认”操作，记录处理人和处理时间。</w:t>
      </w:r>
    </w:p>
    <w:p w14:paraId="3125A6B6">
      <w:pPr>
        <w:pStyle w:val="15"/>
      </w:pPr>
      <w:r>
        <w:rPr>
          <w:rFonts w:hint="eastAsia"/>
        </w:rPr>
        <w:t>（6）设备管理模块</w:t>
      </w:r>
    </w:p>
    <w:p w14:paraId="0C795A7A">
      <w:pPr>
        <w:pStyle w:val="15"/>
      </w:pPr>
      <w:r>
        <w:rPr>
          <w:rFonts w:hint="eastAsia"/>
        </w:rPr>
        <w:t>功能描述：对所接入的北斗示位标设备进行全生命周期管理。</w:t>
      </w:r>
    </w:p>
    <w:p w14:paraId="2690C34D">
      <w:pPr>
        <w:pStyle w:val="15"/>
      </w:pPr>
      <w:r>
        <w:rPr>
          <w:rFonts w:hint="eastAsia"/>
        </w:rPr>
        <w:t>1）设备档案：增删改查设备信息，包括设备ID、型号、北斗卡号、绑定的人员信息等。</w:t>
      </w:r>
    </w:p>
    <w:p w14:paraId="1AA137AB">
      <w:pPr>
        <w:pStyle w:val="15"/>
      </w:pPr>
      <w:r>
        <w:rPr>
          <w:rFonts w:hint="eastAsia"/>
        </w:rPr>
        <w:t>2）状态监控：集中展示所有设备的在线 / 离线状态、最后通信时间、电量情况等。</w:t>
      </w:r>
    </w:p>
    <w:p w14:paraId="35E154AB">
      <w:pPr>
        <w:pStyle w:val="15"/>
      </w:pPr>
      <w:r>
        <w:rPr>
          <w:rFonts w:hint="eastAsia"/>
        </w:rPr>
        <w:t>（7）告警日志查询模块</w:t>
      </w:r>
    </w:p>
    <w:p w14:paraId="2079EAC8">
      <w:pPr>
        <w:pStyle w:val="15"/>
      </w:pPr>
      <w:r>
        <w:rPr>
          <w:rFonts w:hint="eastAsia"/>
        </w:rPr>
        <w:t>功能描述：记录系统所有告警信息，提供多维度查询与导出功能，用于事后审计与责任界定。</w:t>
      </w:r>
    </w:p>
    <w:p w14:paraId="0030B927">
      <w:pPr>
        <w:pStyle w:val="15"/>
      </w:pPr>
      <w:r>
        <w:rPr>
          <w:rFonts w:hint="eastAsia"/>
        </w:rPr>
        <w:t>1）查询筛选：可根据告警类型（电子围栏、低电量）、设备编号、发生时间、处理状态（已处理 / 未处理）等条件组合查询。</w:t>
      </w:r>
    </w:p>
    <w:p w14:paraId="683BAD03">
      <w:pPr>
        <w:pStyle w:val="15"/>
      </w:pPr>
      <w:r>
        <w:rPr>
          <w:rFonts w:hint="eastAsia"/>
        </w:rPr>
        <w:t>2）日志列表：以表格形式展示查询结果，字段包括告警时间、设备 ID、告警类型、告警详情（如触发的围栏名称）、处理状态。</w:t>
      </w:r>
    </w:p>
    <w:p w14:paraId="54692D7F">
      <w:pPr>
        <w:pStyle w:val="15"/>
      </w:pPr>
      <w:r>
        <w:rPr>
          <w:rFonts w:hint="eastAsia"/>
        </w:rPr>
        <w:t>3）数据导出：部分数据支持将查询结果导出为Excel格式，方便存档和打印。</w:t>
      </w:r>
    </w:p>
    <w:p w14:paraId="62034E75">
      <w:pPr>
        <w:pStyle w:val="15"/>
      </w:pPr>
      <w:r>
        <w:rPr>
          <w:rFonts w:hint="eastAsia"/>
        </w:rPr>
        <w:t>（8）数据转发模块</w:t>
      </w:r>
    </w:p>
    <w:p w14:paraId="33E5B8DE">
      <w:pPr>
        <w:pStyle w:val="15"/>
      </w:pPr>
      <w:r>
        <w:rPr>
          <w:rFonts w:hint="eastAsia"/>
        </w:rPr>
        <w:t>功能描述：此模块是平台的核心扩展能力，允许将平台接收到的北斗定位数据、设备状态及告警信息，通过标准化的接口实时、准确地转发给外部第三方系统（如上级指挥中心的大平台、其他友邻单位的系统、多媒体调度系统等），打破信息孤岛，实现数据联动和协同指挥。</w:t>
      </w:r>
    </w:p>
    <w:p w14:paraId="0EF1F8BD">
      <w:pPr>
        <w:pStyle w:val="10"/>
        <w:keepNext/>
        <w:keepLines/>
        <w:pageBreakBefore w:val="0"/>
        <w:widowControl w:val="0"/>
        <w:tabs>
          <w:tab w:val="left" w:pos="0"/>
        </w:tabs>
        <w:kinsoku/>
        <w:wordWrap/>
        <w:overflowPunct/>
        <w:topLinePunct w:val="0"/>
        <w:autoSpaceDE/>
        <w:autoSpaceDN/>
        <w:bidi w:val="0"/>
        <w:adjustRightInd/>
        <w:snapToGrid/>
        <w:spacing w:line="320" w:lineRule="auto"/>
        <w:ind w:left="0"/>
        <w:textAlignment w:val="auto"/>
      </w:pPr>
      <w:r>
        <w:rPr>
          <w:rFonts w:hint="eastAsia"/>
        </w:rPr>
        <w:t>应急通信网络设计</w:t>
      </w:r>
    </w:p>
    <w:p w14:paraId="73E02733">
      <w:pPr>
        <w:pStyle w:val="15"/>
      </w:pPr>
      <w:r>
        <w:rPr>
          <w:rFonts w:hint="eastAsia"/>
        </w:rPr>
        <w:t>1.公网设计</w:t>
      </w:r>
    </w:p>
    <w:p w14:paraId="794CC6BC">
      <w:pPr>
        <w:pStyle w:val="15"/>
      </w:pPr>
      <w:r>
        <w:rPr>
          <w:rFonts w:hint="eastAsia"/>
        </w:rPr>
        <w:t>（1）概述</w:t>
      </w:r>
    </w:p>
    <w:p w14:paraId="11711A34">
      <w:pPr>
        <w:pStyle w:val="15"/>
      </w:pPr>
      <w:r>
        <w:rPr>
          <w:rFonts w:hint="eastAsia"/>
        </w:rPr>
        <w:t>该系统基于运营商移动网络的应急通信解决方案，具有成本低、覆盖广等系统优势。公网4G/5G网络主要用于传输音频、视频。当应急现场有4G/5G公网信号时，优先通过公网信号传输音频、视频信号。</w:t>
      </w:r>
    </w:p>
    <w:p w14:paraId="3B06F2C4">
      <w:pPr>
        <w:pStyle w:val="15"/>
      </w:pPr>
      <w:r>
        <w:rPr>
          <w:rFonts w:hint="eastAsia"/>
        </w:rPr>
        <w:t>（2）系统架构</w:t>
      </w:r>
    </w:p>
    <w:p w14:paraId="149C13AF">
      <w:pPr>
        <w:pStyle w:val="44"/>
        <w:spacing w:before="0" w:after="0" w:line="240" w:lineRule="auto"/>
        <w:ind w:firstLine="0" w:firstLineChars="0"/>
        <w:jc w:val="center"/>
        <w:rPr>
          <w:rFonts w:hint="eastAsia"/>
        </w:rPr>
      </w:pPr>
      <w:r>
        <w:drawing>
          <wp:inline distT="0" distB="0" distL="0" distR="0">
            <wp:extent cx="5615940" cy="2900045"/>
            <wp:effectExtent l="0" t="0" r="7620" b="10795"/>
            <wp:docPr id="19191306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9130619" name="图片 1"/>
                    <pic:cNvPicPr>
                      <a:picLocks noChangeAspect="1"/>
                    </pic:cNvPicPr>
                  </pic:nvPicPr>
                  <pic:blipFill>
                    <a:blip r:embed="rId23"/>
                    <a:stretch>
                      <a:fillRect/>
                    </a:stretch>
                  </pic:blipFill>
                  <pic:spPr>
                    <a:xfrm>
                      <a:off x="0" y="0"/>
                      <a:ext cx="5615940" cy="2900045"/>
                    </a:xfrm>
                    <a:prstGeom prst="rect">
                      <a:avLst/>
                    </a:prstGeom>
                  </pic:spPr>
                </pic:pic>
              </a:graphicData>
            </a:graphic>
          </wp:inline>
        </w:drawing>
      </w:r>
    </w:p>
    <w:p w14:paraId="42ABE92E">
      <w:pPr>
        <w:pStyle w:val="50"/>
        <w:spacing w:line="240" w:lineRule="auto"/>
        <w:ind w:firstLine="0" w:firstLineChars="0"/>
        <w:jc w:val="center"/>
        <w:rPr>
          <w:rFonts w:hint="eastAsia" w:ascii="黑体" w:hAnsi="黑体" w:eastAsia="黑体" w:cs="黑体"/>
          <w:b/>
          <w:bCs/>
          <w:sz w:val="20"/>
        </w:rPr>
      </w:pPr>
      <w:r>
        <w:rPr>
          <w:rFonts w:hint="eastAsia" w:ascii="黑体" w:hAnsi="黑体" w:eastAsia="黑体" w:cs="黑体"/>
          <w:sz w:val="20"/>
        </w:rPr>
        <w:t>图</w:t>
      </w:r>
      <w:r>
        <w:rPr>
          <w:rFonts w:hint="eastAsia" w:ascii="黑体" w:hAnsi="黑体" w:eastAsia="黑体" w:cs="黑体"/>
          <w:sz w:val="20"/>
        </w:rPr>
        <w:fldChar w:fldCharType="begin"/>
      </w:r>
      <w:r>
        <w:rPr>
          <w:rFonts w:hint="eastAsia" w:ascii="黑体" w:hAnsi="黑体" w:eastAsia="黑体" w:cs="黑体"/>
          <w:sz w:val="20"/>
        </w:rPr>
        <w:instrText xml:space="preserve"> STYLEREF 1 \s </w:instrText>
      </w:r>
      <w:r>
        <w:rPr>
          <w:rFonts w:hint="eastAsia" w:ascii="黑体" w:hAnsi="黑体" w:eastAsia="黑体" w:cs="黑体"/>
          <w:sz w:val="20"/>
        </w:rPr>
        <w:fldChar w:fldCharType="separate"/>
      </w:r>
      <w:r>
        <w:rPr>
          <w:rFonts w:hint="eastAsia" w:ascii="黑体" w:hAnsi="黑体" w:eastAsia="黑体" w:cs="黑体"/>
          <w:sz w:val="20"/>
        </w:rPr>
        <w:t>0</w:t>
      </w:r>
      <w:r>
        <w:rPr>
          <w:rFonts w:hint="eastAsia" w:ascii="黑体" w:hAnsi="黑体" w:eastAsia="黑体" w:cs="黑体"/>
          <w:sz w:val="20"/>
        </w:rPr>
        <w:fldChar w:fldCharType="end"/>
      </w:r>
      <w:r>
        <w:rPr>
          <w:rFonts w:hint="eastAsia" w:ascii="黑体" w:hAnsi="黑体" w:eastAsia="黑体" w:cs="黑体"/>
          <w:sz w:val="20"/>
        </w:rPr>
        <w:noBreakHyphen/>
      </w:r>
      <w:r>
        <w:rPr>
          <w:rFonts w:hint="eastAsia" w:ascii="黑体" w:hAnsi="黑体" w:eastAsia="黑体" w:cs="黑体"/>
          <w:sz w:val="20"/>
        </w:rPr>
        <w:fldChar w:fldCharType="begin"/>
      </w:r>
      <w:r>
        <w:rPr>
          <w:rFonts w:hint="eastAsia" w:ascii="黑体" w:hAnsi="黑体" w:eastAsia="黑体" w:cs="黑体"/>
          <w:sz w:val="20"/>
        </w:rPr>
        <w:instrText xml:space="preserve"> SEQ 图 \* ARABIC \s 1 </w:instrText>
      </w:r>
      <w:r>
        <w:rPr>
          <w:rFonts w:hint="eastAsia" w:ascii="黑体" w:hAnsi="黑体" w:eastAsia="黑体" w:cs="黑体"/>
          <w:sz w:val="20"/>
        </w:rPr>
        <w:fldChar w:fldCharType="separate"/>
      </w:r>
      <w:r>
        <w:rPr>
          <w:rFonts w:hint="eastAsia" w:ascii="黑体" w:hAnsi="黑体" w:eastAsia="黑体" w:cs="黑体"/>
          <w:sz w:val="20"/>
        </w:rPr>
        <w:t>20</w:t>
      </w:r>
      <w:r>
        <w:rPr>
          <w:rFonts w:hint="eastAsia" w:ascii="黑体" w:hAnsi="黑体" w:eastAsia="黑体" w:cs="黑体"/>
          <w:sz w:val="20"/>
        </w:rPr>
        <w:fldChar w:fldCharType="end"/>
      </w:r>
      <w:bookmarkStart w:id="30" w:name="_Toc17616"/>
      <w:bookmarkStart w:id="31" w:name="_Toc20951"/>
      <w:r>
        <w:rPr>
          <w:rFonts w:hint="eastAsia" w:ascii="黑体" w:hAnsi="黑体" w:eastAsia="黑体" w:cs="黑体"/>
          <w:sz w:val="20"/>
        </w:rPr>
        <w:t>公网系统组网图</w:t>
      </w:r>
      <w:bookmarkEnd w:id="30"/>
      <w:bookmarkEnd w:id="31"/>
    </w:p>
    <w:p w14:paraId="581D63EC">
      <w:pPr>
        <w:pStyle w:val="15"/>
      </w:pPr>
      <w:r>
        <w:rPr>
          <w:rFonts w:hint="eastAsia"/>
        </w:rPr>
        <w:t>应急现场的音频、视频采集终端通过周边的公网基站接入应急通信网络，回传至通信指挥车或指挥中心，通信指挥车通过CPE（利旧）接入应急通信网络。</w:t>
      </w:r>
    </w:p>
    <w:p w14:paraId="7A8F493F">
      <w:pPr>
        <w:pStyle w:val="15"/>
      </w:pPr>
      <w:r>
        <w:rPr>
          <w:rFonts w:hint="eastAsia"/>
        </w:rPr>
        <w:t>（3）系统部署</w:t>
      </w:r>
    </w:p>
    <w:p w14:paraId="65F9E108">
      <w:pPr>
        <w:pStyle w:val="15"/>
      </w:pPr>
      <w:r>
        <w:rPr>
          <w:rFonts w:hint="eastAsia"/>
        </w:rPr>
        <w:t>在通信指挥车中，部署1个云台摄像机（利旧），用于采集音视频信号；部署1台车辆单北斗定位终端，用于采集并回传车辆定位信息；部署1套CPE（利旧），其接收周边公网4G/5G信号，转化为宽带网络信号或Wi-Fi信号，为音视频信号回传至后端指挥平台提供回传通道。</w:t>
      </w:r>
    </w:p>
    <w:p w14:paraId="3E3AE685">
      <w:pPr>
        <w:pStyle w:val="15"/>
      </w:pPr>
      <w:r>
        <w:rPr>
          <w:rFonts w:hint="eastAsia"/>
        </w:rPr>
        <w:t>国家紧急医学救援（福建）队前突队配备双模对讲机、布控球、智能头盔、单兵记录仪音视频采集终端和手持单北斗定位终端、贴片定位终端等定位信息采集终端；省级紧急医学救援队中配备普通手机（自有）、布控球、单兵记录仪音视频采集终端和贴片定位终端，通过公网4G/5G网络提供的通道进行回传。</w:t>
      </w:r>
    </w:p>
    <w:p w14:paraId="74AA4465">
      <w:pPr>
        <w:pStyle w:val="15"/>
      </w:pPr>
      <w:r>
        <w:rPr>
          <w:rFonts w:hint="eastAsia"/>
        </w:rPr>
        <w:t>其示意图如下图所示：</w:t>
      </w:r>
    </w:p>
    <w:p w14:paraId="430ECCDA">
      <w:pPr>
        <w:pStyle w:val="44"/>
        <w:spacing w:before="0" w:after="0" w:line="240" w:lineRule="auto"/>
        <w:ind w:firstLine="199" w:firstLineChars="83"/>
        <w:jc w:val="center"/>
        <w:rPr>
          <w:rFonts w:hint="eastAsia"/>
        </w:rPr>
      </w:pPr>
      <w:r>
        <w:drawing>
          <wp:inline distT="0" distB="0" distL="0" distR="0">
            <wp:extent cx="5274310" cy="2880360"/>
            <wp:effectExtent l="0" t="0" r="13970" b="0"/>
            <wp:docPr id="4171391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139115" name="图片 1"/>
                    <pic:cNvPicPr>
                      <a:picLocks noChangeAspect="1"/>
                    </pic:cNvPicPr>
                  </pic:nvPicPr>
                  <pic:blipFill>
                    <a:blip r:embed="rId24"/>
                    <a:stretch>
                      <a:fillRect/>
                    </a:stretch>
                  </pic:blipFill>
                  <pic:spPr>
                    <a:xfrm>
                      <a:off x="0" y="0"/>
                      <a:ext cx="5274310" cy="2880360"/>
                    </a:xfrm>
                    <a:prstGeom prst="rect">
                      <a:avLst/>
                    </a:prstGeom>
                  </pic:spPr>
                </pic:pic>
              </a:graphicData>
            </a:graphic>
          </wp:inline>
        </w:drawing>
      </w:r>
    </w:p>
    <w:p w14:paraId="29D5B245">
      <w:pPr>
        <w:pStyle w:val="50"/>
        <w:spacing w:line="240" w:lineRule="auto"/>
        <w:ind w:firstLine="0" w:firstLineChars="0"/>
        <w:jc w:val="center"/>
        <w:rPr>
          <w:rFonts w:hint="eastAsia" w:ascii="黑体" w:hAnsi="黑体" w:eastAsia="黑体" w:cs="黑体"/>
          <w:sz w:val="20"/>
        </w:rPr>
      </w:pPr>
      <w:r>
        <w:rPr>
          <w:rFonts w:hint="eastAsia" w:ascii="黑体" w:hAnsi="黑体" w:eastAsia="黑体" w:cs="黑体"/>
          <w:sz w:val="20"/>
        </w:rPr>
        <w:t>图</w:t>
      </w:r>
      <w:r>
        <w:rPr>
          <w:rFonts w:hint="eastAsia" w:ascii="黑体" w:hAnsi="黑体" w:eastAsia="黑体" w:cs="黑体"/>
          <w:sz w:val="20"/>
        </w:rPr>
        <w:fldChar w:fldCharType="begin"/>
      </w:r>
      <w:r>
        <w:rPr>
          <w:rFonts w:hint="eastAsia" w:ascii="黑体" w:hAnsi="黑体" w:eastAsia="黑体" w:cs="黑体"/>
          <w:sz w:val="20"/>
        </w:rPr>
        <w:instrText xml:space="preserve"> STYLEREF 1 \s </w:instrText>
      </w:r>
      <w:r>
        <w:rPr>
          <w:rFonts w:hint="eastAsia" w:ascii="黑体" w:hAnsi="黑体" w:eastAsia="黑体" w:cs="黑体"/>
          <w:sz w:val="20"/>
        </w:rPr>
        <w:fldChar w:fldCharType="separate"/>
      </w:r>
      <w:r>
        <w:rPr>
          <w:rFonts w:hint="eastAsia" w:ascii="黑体" w:hAnsi="黑体" w:eastAsia="黑体" w:cs="黑体"/>
          <w:sz w:val="20"/>
        </w:rPr>
        <w:t>0</w:t>
      </w:r>
      <w:r>
        <w:rPr>
          <w:rFonts w:hint="eastAsia" w:ascii="黑体" w:hAnsi="黑体" w:eastAsia="黑体" w:cs="黑体"/>
          <w:sz w:val="20"/>
        </w:rPr>
        <w:fldChar w:fldCharType="end"/>
      </w:r>
      <w:r>
        <w:rPr>
          <w:rFonts w:hint="eastAsia" w:ascii="黑体" w:hAnsi="黑体" w:eastAsia="黑体" w:cs="黑体"/>
          <w:sz w:val="20"/>
        </w:rPr>
        <w:noBreakHyphen/>
      </w:r>
      <w:r>
        <w:rPr>
          <w:rFonts w:hint="eastAsia" w:ascii="黑体" w:hAnsi="黑体" w:eastAsia="黑体" w:cs="黑体"/>
          <w:sz w:val="20"/>
        </w:rPr>
        <w:fldChar w:fldCharType="begin"/>
      </w:r>
      <w:r>
        <w:rPr>
          <w:rFonts w:hint="eastAsia" w:ascii="黑体" w:hAnsi="黑体" w:eastAsia="黑体" w:cs="黑体"/>
          <w:sz w:val="20"/>
        </w:rPr>
        <w:instrText xml:space="preserve"> SEQ 图 \* ARABIC \s 1 </w:instrText>
      </w:r>
      <w:r>
        <w:rPr>
          <w:rFonts w:hint="eastAsia" w:ascii="黑体" w:hAnsi="黑体" w:eastAsia="黑体" w:cs="黑体"/>
          <w:sz w:val="20"/>
        </w:rPr>
        <w:fldChar w:fldCharType="separate"/>
      </w:r>
      <w:r>
        <w:rPr>
          <w:rFonts w:hint="eastAsia" w:ascii="黑体" w:hAnsi="黑体" w:eastAsia="黑体" w:cs="黑体"/>
          <w:sz w:val="20"/>
        </w:rPr>
        <w:t>21</w:t>
      </w:r>
      <w:r>
        <w:rPr>
          <w:rFonts w:hint="eastAsia" w:ascii="黑体" w:hAnsi="黑体" w:eastAsia="黑体" w:cs="黑体"/>
          <w:sz w:val="20"/>
        </w:rPr>
        <w:fldChar w:fldCharType="end"/>
      </w:r>
      <w:bookmarkStart w:id="32" w:name="_Toc11697"/>
      <w:bookmarkStart w:id="33" w:name="_Toc24622"/>
      <w:r>
        <w:rPr>
          <w:rFonts w:hint="eastAsia" w:ascii="黑体" w:hAnsi="黑体" w:eastAsia="黑体" w:cs="黑体"/>
          <w:sz w:val="20"/>
        </w:rPr>
        <w:t>公网系统部署图</w:t>
      </w:r>
      <w:bookmarkEnd w:id="32"/>
      <w:bookmarkEnd w:id="33"/>
    </w:p>
    <w:p w14:paraId="0624CA33">
      <w:pPr>
        <w:pStyle w:val="15"/>
      </w:pPr>
      <w:r>
        <w:rPr>
          <w:rFonts w:hint="eastAsia"/>
        </w:rPr>
        <w:t>本项目共配备双模对讲机10台（部署在国家队）、布控球21个（其中国家队2个（利旧）、省队21个）、智能头盔4个（部署在国家队）、单兵眼镜4副（部署在国家队）、单兵记录仪125台（其中国家队20台、省队105台）。</w:t>
      </w:r>
    </w:p>
    <w:p w14:paraId="4C6DC4CB">
      <w:pPr>
        <w:pStyle w:val="15"/>
      </w:pPr>
      <w:r>
        <w:rPr>
          <w:rFonts w:hint="eastAsia"/>
        </w:rPr>
        <w:t>本项目建立5G专网和流量共享池，按照30路HD 1080P 30帧/秒 并发接入计算，建议网络带宽：3M*30=90M，因此，租用主备2条100M运营商5G回传专线，打通运营商至省立指挥中心专网，并配置定制DNN、UPF，为应急现场的国家队和省队的双模对讲机、布控球、智能头盔、单兵记录仪等音视频采集设备，手持单北斗定位终端、贴片定位终端、车辆单北斗定位终端等定位信息采集终端及CPE提供回传通道，确保数据不出院，每月配置100G共享流量池，流量资费在项目质保期内可结转，按项目实际使用量进行结算。</w:t>
      </w:r>
    </w:p>
    <w:p w14:paraId="2A23776A">
      <w:pPr>
        <w:pStyle w:val="15"/>
      </w:pPr>
      <w:r>
        <w:rPr>
          <w:rFonts w:hint="eastAsia"/>
        </w:rPr>
        <w:t>（4）网络设备介绍</w:t>
      </w:r>
    </w:p>
    <w:p w14:paraId="2DA8E4EA">
      <w:pPr>
        <w:pStyle w:val="15"/>
      </w:pPr>
      <w:r>
        <w:rPr>
          <w:rFonts w:hint="eastAsia"/>
        </w:rPr>
        <w:t>CPE（利旧）部署在通信指挥车上，接收公网信号，转化为宽带与Wi-Fi信号，为通信指挥车上的采集终端（如多模指挥终端、云台摄像机等）和专网网络设备（如Mesh自组网车载台等）提供语音、视频回传通道。其具有以下特点：</w:t>
      </w:r>
    </w:p>
    <w:p w14:paraId="4362C2D1">
      <w:pPr>
        <w:pStyle w:val="15"/>
      </w:pPr>
      <w:r>
        <w:rPr>
          <w:rFonts w:hint="eastAsia"/>
        </w:rPr>
        <w:t>1）支持4G全网通；</w:t>
      </w:r>
    </w:p>
    <w:p w14:paraId="3ED8B5A6">
      <w:pPr>
        <w:pStyle w:val="15"/>
      </w:pPr>
      <w:r>
        <w:rPr>
          <w:rFonts w:hint="eastAsia"/>
        </w:rPr>
        <w:t>2）支持基于SIM卡的4G/5G连接，同时提供宽带和Wi-Fi热点，满足不同终端设备的上网需求；</w:t>
      </w:r>
    </w:p>
    <w:p w14:paraId="1ABD8676">
      <w:pPr>
        <w:pStyle w:val="15"/>
      </w:pPr>
      <w:r>
        <w:rPr>
          <w:rFonts w:hint="eastAsia"/>
        </w:rPr>
        <w:t>3）具备较强的设备连接能力，可支持多台设备同时连接上网。</w:t>
      </w:r>
    </w:p>
    <w:p w14:paraId="73DC1895">
      <w:pPr>
        <w:pStyle w:val="15"/>
      </w:pPr>
      <w:r>
        <w:rPr>
          <w:rFonts w:hint="eastAsia"/>
        </w:rPr>
        <w:t>2.天通网络设计</w:t>
      </w:r>
    </w:p>
    <w:p w14:paraId="5DA8036A">
      <w:pPr>
        <w:pStyle w:val="15"/>
      </w:pPr>
      <w:r>
        <w:rPr>
          <w:rFonts w:hint="eastAsia"/>
        </w:rPr>
        <w:t>（1）概述</w:t>
      </w:r>
    </w:p>
    <w:p w14:paraId="1197D9F2">
      <w:pPr>
        <w:pStyle w:val="15"/>
      </w:pPr>
      <w:r>
        <w:rPr>
          <w:rFonts w:hint="eastAsia"/>
        </w:rPr>
        <w:t>天通卫星应急通信系统可提供不受地理环境、气候条件限制的通信服务，适用于地面通信网络覆盖不完善、通信质量无法保证，甚至无法提供服务的广大地区，特别是在地面网络因灾损毁条件下，可提供地面蜂窝网和地面固定网覆盖的补充和延伸。天通卫星移动通信系统作为应急救援、抢险救灾指挥现场的最快捷和最有效的通信保障手段，为灾情报送人员提供话音通信保障，终端体积小、重量轻，可车载、手持和随身携带，工作稳定、简单易用，为各级指挥中心提供话音、短消息等业务，实现救灾现场的综合指挥。另外，天通卫星应急通信系统也是地面通信网络无法覆盖的海上通信的主要应急手段。</w:t>
      </w:r>
    </w:p>
    <w:p w14:paraId="0990C3A0">
      <w:pPr>
        <w:pStyle w:val="15"/>
      </w:pPr>
      <w:r>
        <w:rPr>
          <w:rFonts w:hint="eastAsia"/>
        </w:rPr>
        <w:t>天通应急通信系统由天通终端设备、天通卫星移动运营网络、天通统一接入服务系统组成，所有天通终端数据落地后统一进入信关站，再接入应急通信系统。</w:t>
      </w:r>
    </w:p>
    <w:p w14:paraId="11AD9922">
      <w:pPr>
        <w:pStyle w:val="15"/>
      </w:pPr>
      <w:r>
        <w:rPr>
          <w:rFonts w:hint="eastAsia"/>
        </w:rPr>
        <w:t>（2）系统架构</w:t>
      </w:r>
    </w:p>
    <w:p w14:paraId="4BD8762E">
      <w:pPr>
        <w:pStyle w:val="15"/>
      </w:pPr>
      <w:r>
        <w:rPr>
          <w:rFonts w:hint="eastAsia"/>
        </w:rPr>
        <w:t>天通网络主要用于传输音频，它通过接收天通卫星信号，并转化成Wi-Fi信号，为多模指挥终端提供语音通话通道。其系统组网图如下：</w:t>
      </w:r>
    </w:p>
    <w:p w14:paraId="4A3AB1D4">
      <w:pPr>
        <w:pStyle w:val="44"/>
        <w:spacing w:before="0" w:after="0" w:line="240" w:lineRule="auto"/>
        <w:ind w:firstLine="0" w:firstLineChars="0"/>
        <w:jc w:val="center"/>
        <w:rPr>
          <w:rFonts w:hint="eastAsia"/>
        </w:rPr>
      </w:pPr>
      <w:r>
        <w:drawing>
          <wp:inline distT="0" distB="0" distL="0" distR="0">
            <wp:extent cx="5615940" cy="2475230"/>
            <wp:effectExtent l="0" t="0" r="7620" b="8890"/>
            <wp:docPr id="40818108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181085" name="图片 1"/>
                    <pic:cNvPicPr>
                      <a:picLocks noChangeAspect="1"/>
                    </pic:cNvPicPr>
                  </pic:nvPicPr>
                  <pic:blipFill>
                    <a:blip r:embed="rId25"/>
                    <a:stretch>
                      <a:fillRect/>
                    </a:stretch>
                  </pic:blipFill>
                  <pic:spPr>
                    <a:xfrm>
                      <a:off x="0" y="0"/>
                      <a:ext cx="5615940" cy="2475230"/>
                    </a:xfrm>
                    <a:prstGeom prst="rect">
                      <a:avLst/>
                    </a:prstGeom>
                  </pic:spPr>
                </pic:pic>
              </a:graphicData>
            </a:graphic>
          </wp:inline>
        </w:drawing>
      </w:r>
    </w:p>
    <w:p w14:paraId="48C4FA2A">
      <w:pPr>
        <w:pStyle w:val="50"/>
        <w:spacing w:line="240" w:lineRule="auto"/>
        <w:ind w:firstLine="0" w:firstLineChars="0"/>
        <w:jc w:val="center"/>
        <w:rPr>
          <w:rFonts w:hint="eastAsia" w:ascii="黑体" w:hAnsi="黑体" w:eastAsia="黑体" w:cs="黑体"/>
          <w:b/>
          <w:bCs/>
          <w:sz w:val="20"/>
        </w:rPr>
      </w:pPr>
      <w:r>
        <w:rPr>
          <w:rFonts w:hint="eastAsia" w:ascii="黑体" w:hAnsi="黑体" w:eastAsia="黑体" w:cs="黑体"/>
          <w:sz w:val="20"/>
        </w:rPr>
        <w:t>图</w:t>
      </w:r>
      <w:r>
        <w:rPr>
          <w:rFonts w:hint="eastAsia" w:ascii="黑体" w:hAnsi="黑体" w:eastAsia="黑体" w:cs="黑体"/>
          <w:sz w:val="20"/>
        </w:rPr>
        <w:fldChar w:fldCharType="begin"/>
      </w:r>
      <w:r>
        <w:rPr>
          <w:rFonts w:hint="eastAsia" w:ascii="黑体" w:hAnsi="黑体" w:eastAsia="黑体" w:cs="黑体"/>
          <w:sz w:val="20"/>
        </w:rPr>
        <w:instrText xml:space="preserve"> STYLEREF 1 \s </w:instrText>
      </w:r>
      <w:r>
        <w:rPr>
          <w:rFonts w:hint="eastAsia" w:ascii="黑体" w:hAnsi="黑体" w:eastAsia="黑体" w:cs="黑体"/>
          <w:sz w:val="20"/>
        </w:rPr>
        <w:fldChar w:fldCharType="separate"/>
      </w:r>
      <w:r>
        <w:rPr>
          <w:rFonts w:hint="eastAsia" w:ascii="黑体" w:hAnsi="黑体" w:eastAsia="黑体" w:cs="黑体"/>
          <w:sz w:val="20"/>
        </w:rPr>
        <w:t>0</w:t>
      </w:r>
      <w:r>
        <w:rPr>
          <w:rFonts w:hint="eastAsia" w:ascii="黑体" w:hAnsi="黑体" w:eastAsia="黑体" w:cs="黑体"/>
          <w:sz w:val="20"/>
        </w:rPr>
        <w:fldChar w:fldCharType="end"/>
      </w:r>
      <w:r>
        <w:rPr>
          <w:rFonts w:hint="eastAsia" w:ascii="黑体" w:hAnsi="黑体" w:eastAsia="黑体" w:cs="黑体"/>
          <w:sz w:val="20"/>
        </w:rPr>
        <w:noBreakHyphen/>
      </w:r>
      <w:r>
        <w:rPr>
          <w:rFonts w:hint="eastAsia" w:ascii="黑体" w:hAnsi="黑体" w:eastAsia="黑体" w:cs="黑体"/>
          <w:sz w:val="20"/>
        </w:rPr>
        <w:fldChar w:fldCharType="begin"/>
      </w:r>
      <w:r>
        <w:rPr>
          <w:rFonts w:hint="eastAsia" w:ascii="黑体" w:hAnsi="黑体" w:eastAsia="黑体" w:cs="黑体"/>
          <w:sz w:val="20"/>
        </w:rPr>
        <w:instrText xml:space="preserve"> SEQ 图 \* ARABIC \s 1 </w:instrText>
      </w:r>
      <w:r>
        <w:rPr>
          <w:rFonts w:hint="eastAsia" w:ascii="黑体" w:hAnsi="黑体" w:eastAsia="黑体" w:cs="黑体"/>
          <w:sz w:val="20"/>
        </w:rPr>
        <w:fldChar w:fldCharType="separate"/>
      </w:r>
      <w:r>
        <w:rPr>
          <w:rFonts w:hint="eastAsia" w:ascii="黑体" w:hAnsi="黑体" w:eastAsia="黑体" w:cs="黑体"/>
          <w:sz w:val="20"/>
        </w:rPr>
        <w:t>22</w:t>
      </w:r>
      <w:r>
        <w:rPr>
          <w:rFonts w:hint="eastAsia" w:ascii="黑体" w:hAnsi="黑体" w:eastAsia="黑体" w:cs="黑体"/>
          <w:sz w:val="20"/>
        </w:rPr>
        <w:fldChar w:fldCharType="end"/>
      </w:r>
      <w:bookmarkStart w:id="34" w:name="_Toc29313"/>
      <w:bookmarkStart w:id="35" w:name="_Toc2772"/>
      <w:r>
        <w:rPr>
          <w:rFonts w:hint="eastAsia" w:ascii="黑体" w:hAnsi="黑体" w:eastAsia="黑体" w:cs="黑体"/>
          <w:sz w:val="20"/>
        </w:rPr>
        <w:t>天通系统组网图</w:t>
      </w:r>
      <w:bookmarkEnd w:id="34"/>
      <w:bookmarkEnd w:id="35"/>
    </w:p>
    <w:p w14:paraId="47BE0987">
      <w:pPr>
        <w:pStyle w:val="15"/>
      </w:pPr>
      <w:r>
        <w:rPr>
          <w:rFonts w:hint="eastAsia"/>
        </w:rPr>
        <w:t>（3）系统部署</w:t>
      </w:r>
    </w:p>
    <w:p w14:paraId="60806BF0">
      <w:pPr>
        <w:pStyle w:val="15"/>
      </w:pPr>
      <w:r>
        <w:rPr>
          <w:rFonts w:hint="eastAsia"/>
        </w:rPr>
        <w:t>天通猫部署在国家紧急医学救援（福建）队和省级紧急医学救援队。它接收天通卫星信号，转化为Wi-Fi信号，供双模对讲机、普通手机（自有）接入，有效保障用户在地面网络无法企及的地方或地面网络中断时，仍然可以使用语音通话和数据通信。</w:t>
      </w:r>
    </w:p>
    <w:p w14:paraId="39B9C59B">
      <w:pPr>
        <w:pStyle w:val="15"/>
      </w:pPr>
      <w:r>
        <w:rPr>
          <w:rFonts w:hint="eastAsia"/>
        </w:rPr>
        <w:t>在前突队中，国家队共配备5台天通猫；省队每支队伍共配备3台天通猫，2支前突队各配备1台，1台灵活调配（如部署在指挥车上），为双模对讲机、普通手机提供天通电话通道。</w:t>
      </w:r>
    </w:p>
    <w:p w14:paraId="26DEA8F9">
      <w:pPr>
        <w:pStyle w:val="15"/>
      </w:pPr>
      <w:r>
        <w:rPr>
          <w:rFonts w:hint="eastAsia"/>
        </w:rPr>
        <w:t>为保障无公网情况下的语音通话，在国家队配备卫星电话1台，为每支省队配备卫星电话1台/支，共22台。</w:t>
      </w:r>
    </w:p>
    <w:p w14:paraId="47050DE1">
      <w:pPr>
        <w:pStyle w:val="44"/>
        <w:spacing w:before="0" w:after="0" w:line="240" w:lineRule="auto"/>
        <w:ind w:firstLine="480"/>
        <w:jc w:val="center"/>
        <w:rPr>
          <w:rFonts w:hint="eastAsia"/>
        </w:rPr>
      </w:pPr>
      <w:r>
        <w:drawing>
          <wp:inline distT="0" distB="0" distL="0" distR="0">
            <wp:extent cx="3625850" cy="2759710"/>
            <wp:effectExtent l="0" t="0" r="1270" b="13970"/>
            <wp:docPr id="102233102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2331028" name="图片 1"/>
                    <pic:cNvPicPr>
                      <a:picLocks noChangeAspect="1"/>
                    </pic:cNvPicPr>
                  </pic:nvPicPr>
                  <pic:blipFill>
                    <a:blip r:embed="rId26"/>
                    <a:stretch>
                      <a:fillRect/>
                    </a:stretch>
                  </pic:blipFill>
                  <pic:spPr>
                    <a:xfrm>
                      <a:off x="0" y="0"/>
                      <a:ext cx="3625850" cy="2759710"/>
                    </a:xfrm>
                    <a:prstGeom prst="rect">
                      <a:avLst/>
                    </a:prstGeom>
                  </pic:spPr>
                </pic:pic>
              </a:graphicData>
            </a:graphic>
          </wp:inline>
        </w:drawing>
      </w:r>
    </w:p>
    <w:p w14:paraId="27F25E23">
      <w:pPr>
        <w:pStyle w:val="50"/>
        <w:spacing w:line="240" w:lineRule="auto"/>
        <w:ind w:firstLine="0" w:firstLineChars="0"/>
        <w:jc w:val="center"/>
        <w:rPr>
          <w:rFonts w:hint="eastAsia" w:ascii="黑体" w:hAnsi="黑体" w:eastAsia="黑体" w:cs="黑体"/>
          <w:sz w:val="20"/>
        </w:rPr>
      </w:pPr>
      <w:r>
        <w:rPr>
          <w:rFonts w:hint="eastAsia" w:ascii="黑体" w:hAnsi="黑体" w:eastAsia="黑体" w:cs="黑体"/>
          <w:sz w:val="20"/>
        </w:rPr>
        <w:t>图</w:t>
      </w:r>
      <w:r>
        <w:rPr>
          <w:rFonts w:hint="eastAsia" w:ascii="黑体" w:hAnsi="黑体" w:eastAsia="黑体" w:cs="黑体"/>
          <w:sz w:val="20"/>
        </w:rPr>
        <w:fldChar w:fldCharType="begin"/>
      </w:r>
      <w:r>
        <w:rPr>
          <w:rFonts w:hint="eastAsia" w:ascii="黑体" w:hAnsi="黑体" w:eastAsia="黑体" w:cs="黑体"/>
          <w:sz w:val="20"/>
        </w:rPr>
        <w:instrText xml:space="preserve"> STYLEREF 1 \s </w:instrText>
      </w:r>
      <w:r>
        <w:rPr>
          <w:rFonts w:hint="eastAsia" w:ascii="黑体" w:hAnsi="黑体" w:eastAsia="黑体" w:cs="黑体"/>
          <w:sz w:val="20"/>
        </w:rPr>
        <w:fldChar w:fldCharType="separate"/>
      </w:r>
      <w:r>
        <w:rPr>
          <w:rFonts w:hint="eastAsia" w:ascii="黑体" w:hAnsi="黑体" w:eastAsia="黑体" w:cs="黑体"/>
          <w:sz w:val="20"/>
        </w:rPr>
        <w:t>0</w:t>
      </w:r>
      <w:r>
        <w:rPr>
          <w:rFonts w:hint="eastAsia" w:ascii="黑体" w:hAnsi="黑体" w:eastAsia="黑体" w:cs="黑体"/>
          <w:sz w:val="20"/>
        </w:rPr>
        <w:fldChar w:fldCharType="end"/>
      </w:r>
      <w:r>
        <w:rPr>
          <w:rFonts w:hint="eastAsia" w:ascii="黑体" w:hAnsi="黑体" w:eastAsia="黑体" w:cs="黑体"/>
          <w:sz w:val="20"/>
        </w:rPr>
        <w:noBreakHyphen/>
      </w:r>
      <w:r>
        <w:rPr>
          <w:rFonts w:hint="eastAsia" w:ascii="黑体" w:hAnsi="黑体" w:eastAsia="黑体" w:cs="黑体"/>
          <w:sz w:val="20"/>
        </w:rPr>
        <w:fldChar w:fldCharType="begin"/>
      </w:r>
      <w:r>
        <w:rPr>
          <w:rFonts w:hint="eastAsia" w:ascii="黑体" w:hAnsi="黑体" w:eastAsia="黑体" w:cs="黑体"/>
          <w:sz w:val="20"/>
        </w:rPr>
        <w:instrText xml:space="preserve"> SEQ 图 \* ARABIC \s 1 </w:instrText>
      </w:r>
      <w:r>
        <w:rPr>
          <w:rFonts w:hint="eastAsia" w:ascii="黑体" w:hAnsi="黑体" w:eastAsia="黑体" w:cs="黑体"/>
          <w:sz w:val="20"/>
        </w:rPr>
        <w:fldChar w:fldCharType="separate"/>
      </w:r>
      <w:r>
        <w:rPr>
          <w:rFonts w:hint="eastAsia" w:ascii="黑体" w:hAnsi="黑体" w:eastAsia="黑体" w:cs="黑体"/>
          <w:sz w:val="20"/>
        </w:rPr>
        <w:t>23</w:t>
      </w:r>
      <w:r>
        <w:rPr>
          <w:rFonts w:hint="eastAsia" w:ascii="黑体" w:hAnsi="黑体" w:eastAsia="黑体" w:cs="黑体"/>
          <w:sz w:val="20"/>
        </w:rPr>
        <w:fldChar w:fldCharType="end"/>
      </w:r>
      <w:bookmarkStart w:id="36" w:name="_Toc4050"/>
      <w:bookmarkStart w:id="37" w:name="_Toc6720"/>
      <w:r>
        <w:rPr>
          <w:rFonts w:hint="eastAsia" w:ascii="黑体" w:hAnsi="黑体" w:eastAsia="黑体" w:cs="黑体"/>
          <w:sz w:val="20"/>
        </w:rPr>
        <w:t>天通网络系统部署图</w:t>
      </w:r>
      <w:bookmarkEnd w:id="36"/>
      <w:bookmarkEnd w:id="37"/>
    </w:p>
    <w:p w14:paraId="18121FB0">
      <w:pPr>
        <w:pStyle w:val="15"/>
      </w:pPr>
      <w:r>
        <w:rPr>
          <w:rFonts w:hint="eastAsia"/>
        </w:rPr>
        <w:t>本项目共配备68台天通猫和22台卫星电话，并为每台天通猫和卫星电话配置含通话时长不小于1500分钟/年（1年通话时长25小时）的应急资费套餐。</w:t>
      </w:r>
    </w:p>
    <w:p w14:paraId="0A56548B">
      <w:pPr>
        <w:pStyle w:val="15"/>
      </w:pPr>
      <w:r>
        <w:rPr>
          <w:rFonts w:hint="eastAsia"/>
        </w:rPr>
        <w:t>（4）网络设备介绍</w:t>
      </w:r>
    </w:p>
    <w:p w14:paraId="2CF6156A">
      <w:pPr>
        <w:pStyle w:val="15"/>
      </w:pPr>
      <w:r>
        <w:rPr>
          <w:rFonts w:hint="eastAsia"/>
        </w:rPr>
        <w:t>天通猫是为其他智能手机提供天通卫星业务接入能力的天通卫星通信终端设备，配合手机终端的天通猫APP，可以实现让所有的智能手机都能拨打卫星电话和发送短信。应用于应急通信、车载船载、应急等场景。其具有以下特点：</w:t>
      </w:r>
    </w:p>
    <w:p w14:paraId="77A050D5">
      <w:pPr>
        <w:pStyle w:val="15"/>
      </w:pPr>
      <w:r>
        <w:rPr>
          <w:rFonts w:hint="eastAsia"/>
        </w:rPr>
        <w:t>1）设备体积小、重量轻，易于携带；</w:t>
      </w:r>
    </w:p>
    <w:p w14:paraId="5C49E69A">
      <w:pPr>
        <w:pStyle w:val="15"/>
      </w:pPr>
      <w:r>
        <w:rPr>
          <w:rFonts w:hint="eastAsia"/>
        </w:rPr>
        <w:t>2）全向天线，易于对星；</w:t>
      </w:r>
    </w:p>
    <w:p w14:paraId="1A207917">
      <w:pPr>
        <w:pStyle w:val="15"/>
      </w:pPr>
      <w:r>
        <w:rPr>
          <w:rFonts w:hint="eastAsia"/>
        </w:rPr>
        <w:t>3）信号稳定，可同时接入不少于8台终端；</w:t>
      </w:r>
    </w:p>
    <w:p w14:paraId="6AD22458">
      <w:pPr>
        <w:pStyle w:val="15"/>
      </w:pPr>
      <w:r>
        <w:rPr>
          <w:rFonts w:hint="eastAsia"/>
        </w:rPr>
        <w:t>4）具有一键SOS功能，能在第一时间发出呼救信号；</w:t>
      </w:r>
    </w:p>
    <w:p w14:paraId="1AC93EA1">
      <w:pPr>
        <w:pStyle w:val="15"/>
      </w:pPr>
      <w:r>
        <w:rPr>
          <w:rFonts w:hint="eastAsia"/>
        </w:rPr>
        <w:t>5）功耗小，续航时间长。</w:t>
      </w:r>
    </w:p>
    <w:p w14:paraId="3574674D">
      <w:pPr>
        <w:pStyle w:val="15"/>
      </w:pPr>
      <w:r>
        <w:rPr>
          <w:rFonts w:hint="eastAsia"/>
        </w:rPr>
        <w:t>3.宽带卫星网络设计</w:t>
      </w:r>
    </w:p>
    <w:p w14:paraId="4DABD362">
      <w:pPr>
        <w:pStyle w:val="15"/>
      </w:pPr>
      <w:r>
        <w:rPr>
          <w:rFonts w:hint="eastAsia"/>
        </w:rPr>
        <w:t>（1）概述</w:t>
      </w:r>
    </w:p>
    <w:p w14:paraId="53D92B58">
      <w:pPr>
        <w:pStyle w:val="15"/>
      </w:pPr>
      <w:r>
        <w:rPr>
          <w:rFonts w:hint="eastAsia"/>
        </w:rPr>
        <w:t>宽带卫星通信系统因其具有不受地形、距离影响的特性，在极端环境下依然能建立稳定的通信链路，使其在应急通信保障体系中具有不可替代性。在4G/5G公网遭受破坏，也无应急通信车或空中应急通信服务保障的极端情况下，保障应急通信终端通过宽带卫星通信系统进行音视频的回传。</w:t>
      </w:r>
    </w:p>
    <w:p w14:paraId="4D60B984">
      <w:pPr>
        <w:pStyle w:val="15"/>
      </w:pPr>
      <w:r>
        <w:rPr>
          <w:rFonts w:hint="eastAsia"/>
        </w:rPr>
        <w:t>本项目建设宽带卫星通信网络，为极端情况下国家紧急医学救援（福建）队的音视频信息回传提供通信支撑。</w:t>
      </w:r>
    </w:p>
    <w:p w14:paraId="12B9E209">
      <w:pPr>
        <w:pStyle w:val="15"/>
      </w:pPr>
      <w:r>
        <w:rPr>
          <w:rFonts w:hint="eastAsia"/>
        </w:rPr>
        <w:t>（2）系统架构</w:t>
      </w:r>
    </w:p>
    <w:p w14:paraId="00212806">
      <w:pPr>
        <w:pStyle w:val="44"/>
        <w:spacing w:before="0" w:after="0" w:line="240" w:lineRule="auto"/>
        <w:ind w:firstLine="0" w:firstLineChars="0"/>
        <w:jc w:val="center"/>
        <w:rPr>
          <w:rFonts w:hint="eastAsia"/>
        </w:rPr>
      </w:pPr>
      <w:r>
        <w:drawing>
          <wp:inline distT="0" distB="0" distL="0" distR="0">
            <wp:extent cx="5312410" cy="2291715"/>
            <wp:effectExtent l="0" t="0" r="6350" b="0"/>
            <wp:docPr id="175308013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3080136" name="图片 8"/>
                    <pic:cNvPicPr>
                      <a:picLocks noChangeAspect="1"/>
                    </pic:cNvPicPr>
                  </pic:nvPicPr>
                  <pic:blipFill>
                    <a:blip r:embed="rId27"/>
                    <a:stretch>
                      <a:fillRect/>
                    </a:stretch>
                  </pic:blipFill>
                  <pic:spPr>
                    <a:xfrm>
                      <a:off x="0" y="0"/>
                      <a:ext cx="5312410" cy="2291715"/>
                    </a:xfrm>
                    <a:prstGeom prst="rect">
                      <a:avLst/>
                    </a:prstGeom>
                  </pic:spPr>
                </pic:pic>
              </a:graphicData>
            </a:graphic>
          </wp:inline>
        </w:drawing>
      </w:r>
    </w:p>
    <w:p w14:paraId="13091CDD">
      <w:pPr>
        <w:pStyle w:val="50"/>
        <w:spacing w:line="240" w:lineRule="auto"/>
        <w:ind w:firstLine="0" w:firstLineChars="0"/>
        <w:jc w:val="center"/>
        <w:rPr>
          <w:rFonts w:hint="eastAsia" w:ascii="黑体" w:hAnsi="黑体" w:eastAsia="黑体" w:cs="黑体"/>
          <w:sz w:val="20"/>
        </w:rPr>
      </w:pPr>
      <w:r>
        <w:rPr>
          <w:rFonts w:hint="eastAsia" w:ascii="黑体" w:hAnsi="黑体" w:eastAsia="黑体" w:cs="黑体"/>
          <w:sz w:val="20"/>
        </w:rPr>
        <w:t>图</w:t>
      </w:r>
      <w:r>
        <w:rPr>
          <w:rFonts w:hint="eastAsia" w:ascii="黑体" w:hAnsi="黑体" w:eastAsia="黑体" w:cs="黑体"/>
          <w:sz w:val="20"/>
        </w:rPr>
        <w:fldChar w:fldCharType="begin"/>
      </w:r>
      <w:r>
        <w:rPr>
          <w:rFonts w:hint="eastAsia" w:ascii="黑体" w:hAnsi="黑体" w:eastAsia="黑体" w:cs="黑体"/>
          <w:sz w:val="20"/>
        </w:rPr>
        <w:instrText xml:space="preserve"> STYLEREF 1 \s </w:instrText>
      </w:r>
      <w:r>
        <w:rPr>
          <w:rFonts w:hint="eastAsia" w:ascii="黑体" w:hAnsi="黑体" w:eastAsia="黑体" w:cs="黑体"/>
          <w:sz w:val="20"/>
        </w:rPr>
        <w:fldChar w:fldCharType="separate"/>
      </w:r>
      <w:r>
        <w:rPr>
          <w:rFonts w:hint="eastAsia" w:ascii="黑体" w:hAnsi="黑体" w:eastAsia="黑体" w:cs="黑体"/>
          <w:sz w:val="20"/>
        </w:rPr>
        <w:t>0</w:t>
      </w:r>
      <w:r>
        <w:rPr>
          <w:rFonts w:hint="eastAsia" w:ascii="黑体" w:hAnsi="黑体" w:eastAsia="黑体" w:cs="黑体"/>
          <w:sz w:val="20"/>
        </w:rPr>
        <w:fldChar w:fldCharType="end"/>
      </w:r>
      <w:r>
        <w:rPr>
          <w:rFonts w:hint="eastAsia" w:ascii="黑体" w:hAnsi="黑体" w:eastAsia="黑体" w:cs="黑体"/>
          <w:sz w:val="20"/>
        </w:rPr>
        <w:noBreakHyphen/>
      </w:r>
      <w:r>
        <w:rPr>
          <w:rFonts w:hint="eastAsia" w:ascii="黑体" w:hAnsi="黑体" w:eastAsia="黑体" w:cs="黑体"/>
          <w:sz w:val="20"/>
        </w:rPr>
        <w:fldChar w:fldCharType="begin"/>
      </w:r>
      <w:r>
        <w:rPr>
          <w:rFonts w:hint="eastAsia" w:ascii="黑体" w:hAnsi="黑体" w:eastAsia="黑体" w:cs="黑体"/>
          <w:sz w:val="20"/>
        </w:rPr>
        <w:instrText xml:space="preserve"> SEQ 图 \* ARABIC \s 1 </w:instrText>
      </w:r>
      <w:r>
        <w:rPr>
          <w:rFonts w:hint="eastAsia" w:ascii="黑体" w:hAnsi="黑体" w:eastAsia="黑体" w:cs="黑体"/>
          <w:sz w:val="20"/>
        </w:rPr>
        <w:fldChar w:fldCharType="separate"/>
      </w:r>
      <w:r>
        <w:rPr>
          <w:rFonts w:hint="eastAsia" w:ascii="黑体" w:hAnsi="黑体" w:eastAsia="黑体" w:cs="黑体"/>
          <w:sz w:val="20"/>
        </w:rPr>
        <w:t>24</w:t>
      </w:r>
      <w:r>
        <w:rPr>
          <w:rFonts w:hint="eastAsia" w:ascii="黑体" w:hAnsi="黑体" w:eastAsia="黑体" w:cs="黑体"/>
          <w:sz w:val="20"/>
        </w:rPr>
        <w:fldChar w:fldCharType="end"/>
      </w:r>
      <w:bookmarkStart w:id="38" w:name="_Toc11687"/>
      <w:bookmarkStart w:id="39" w:name="_Toc25594"/>
      <w:r>
        <w:rPr>
          <w:rFonts w:hint="eastAsia" w:ascii="黑体" w:hAnsi="黑体" w:eastAsia="黑体" w:cs="黑体"/>
          <w:sz w:val="20"/>
        </w:rPr>
        <w:t>宽带卫星网络系统组网图</w:t>
      </w:r>
      <w:bookmarkEnd w:id="38"/>
      <w:bookmarkEnd w:id="39"/>
    </w:p>
    <w:p w14:paraId="5FA503FB">
      <w:pPr>
        <w:pStyle w:val="15"/>
      </w:pPr>
      <w:r>
        <w:rPr>
          <w:rFonts w:hint="eastAsia"/>
        </w:rPr>
        <w:t>4.VPN专网设计</w:t>
      </w:r>
    </w:p>
    <w:p w14:paraId="58969725">
      <w:pPr>
        <w:pStyle w:val="15"/>
      </w:pPr>
      <w:r>
        <w:rPr>
          <w:rFonts w:hint="eastAsia"/>
        </w:rPr>
        <w:t>（1）概述</w:t>
      </w:r>
    </w:p>
    <w:p w14:paraId="24314620">
      <w:pPr>
        <w:pStyle w:val="15"/>
      </w:pPr>
      <w:r>
        <w:rPr>
          <w:rFonts w:hint="eastAsia"/>
        </w:rPr>
        <w:t>本项目拟选用亚太6D卫星，选用广东地面关口站，为保障卫星链路的稳定性，本项目拟布设广东深圳-项目指挥基地的卫星专线。</w:t>
      </w:r>
    </w:p>
    <w:p w14:paraId="115C11BE">
      <w:pPr>
        <w:pStyle w:val="15"/>
      </w:pPr>
      <w:r>
        <w:rPr>
          <w:rFonts w:hint="eastAsia"/>
        </w:rPr>
        <w:t>相较单纯使用卫星通信终端，拉专线的方式具有以下优势：</w:t>
      </w:r>
    </w:p>
    <w:p w14:paraId="142170E1">
      <w:pPr>
        <w:pStyle w:val="15"/>
      </w:pPr>
      <w:r>
        <w:rPr>
          <w:rFonts w:hint="eastAsia"/>
        </w:rPr>
        <w:t>网络稳定性高：卫星通信终端通常是多个用户共享卫星通信资源，当用户数量增多或网络使用高峰时段，会面临网络拥堵，导致网速变慢或信号中断。而拉专线是专用的通信链路，通信资源由专线用户独自使用，不受其他用户数据流量波动的干扰，能保障网络连接的持续性与稳定性，特别适合对网络可靠性要求高的业务场景。</w:t>
      </w:r>
    </w:p>
    <w:p w14:paraId="61F42CD2">
      <w:pPr>
        <w:pStyle w:val="15"/>
      </w:pPr>
      <w:r>
        <w:rPr>
          <w:rFonts w:hint="eastAsia"/>
        </w:rPr>
        <w:t>带宽更有保障：专线可以根据用户实际需求提供固定且较大的带宽，用户可按需灵活申请相应速率的专线，并且能保证带宽始终稳定达标，满足大数据量快速传输需求。而常规卫星通信终端的带宽一般是预定义的标准套餐模式，在实际使用中还可能因资源竞争难以达到标称速率。同时常规卫星通信终端还会受到雨雪、大雾等天气的影响，进一步降低传输速率。</w:t>
      </w:r>
    </w:p>
    <w:p w14:paraId="6F686042">
      <w:pPr>
        <w:pStyle w:val="15"/>
      </w:pPr>
      <w:r>
        <w:rPr>
          <w:rFonts w:hint="eastAsia"/>
        </w:rPr>
        <w:t>数据安全性强：专线通常是基于私有网络或通过专用物理线路构建，数据传输路径相对封闭，外界用户难以介入和干扰，同时还能进一步部署加密举措、防火墙等安全机制，降低数据泄露与遭受恶意攻击的风险，相比之下，普通卫星通信终端的数据传输更容易暴露在公共网络环境下，面临更多安全隐患。</w:t>
      </w:r>
    </w:p>
    <w:p w14:paraId="1241BA5E">
      <w:pPr>
        <w:pStyle w:val="15"/>
      </w:pPr>
      <w:r>
        <w:rPr>
          <w:rFonts w:hint="eastAsia"/>
        </w:rPr>
        <w:t>服务质量有保障：网络服务提供商通常会对专线用户给予更高等级的服务响应承诺，在网络维护、故障排查以及修复等方面提供更快的处理速度与更高优先级，能及时解决专线出现的各类问题，减少业务受影响的时间，而卫星通信终端的服务响应级别通常低于专线服务。</w:t>
      </w:r>
    </w:p>
    <w:p w14:paraId="7E975B52">
      <w:pPr>
        <w:pStyle w:val="15"/>
      </w:pPr>
      <w:r>
        <w:rPr>
          <w:rFonts w:hint="eastAsia"/>
        </w:rPr>
        <w:t>网络延迟更低：专线一般采用点对点的直接连接方式，数据传输时无需经过复杂的公共网络路由节点，有效缩短了传输路径，进而减少了网络延迟，这对金融交易、实时视频会议、工业自动化控制等对延迟较为敏感的应用有着重要意义。</w:t>
      </w:r>
    </w:p>
    <w:p w14:paraId="0F975B51">
      <w:pPr>
        <w:pStyle w:val="15"/>
      </w:pPr>
      <w:r>
        <w:rPr>
          <w:rFonts w:hint="eastAsia"/>
        </w:rPr>
        <w:t>本项目建设国家紧急医学救援（福建）基地，项目意义重大，因此有必要采用拉专线的方式来保障应急通信网络。</w:t>
      </w:r>
    </w:p>
    <w:p w14:paraId="3C96F616">
      <w:pPr>
        <w:pStyle w:val="15"/>
      </w:pPr>
      <w:r>
        <w:rPr>
          <w:rFonts w:hint="eastAsia"/>
        </w:rPr>
        <w:t>（2）选址</w:t>
      </w:r>
    </w:p>
    <w:p w14:paraId="066B84A9">
      <w:pPr>
        <w:pStyle w:val="15"/>
      </w:pPr>
      <w:r>
        <w:rPr>
          <w:rFonts w:hint="eastAsia"/>
        </w:rPr>
        <w:t>目前，亚太6D的地面关口站包括北京、西安、深圳、香港、大理、吉隆坡、珀斯。离本项目最近的亚太6D卫星地面关口站是广东深圳，因此本项目拟建设广东深圳地面关口站至本项目救援基地的专线。</w:t>
      </w:r>
    </w:p>
    <w:p w14:paraId="65CCF2A0">
      <w:pPr>
        <w:pStyle w:val="15"/>
      </w:pPr>
      <w:r>
        <w:rPr>
          <w:rFonts w:hint="eastAsia"/>
        </w:rPr>
        <w:t>（3）建设流程</w:t>
      </w:r>
    </w:p>
    <w:p w14:paraId="0284DCEA">
      <w:pPr>
        <w:pStyle w:val="15"/>
      </w:pPr>
      <w:r>
        <w:rPr>
          <w:rFonts w:hint="eastAsia"/>
        </w:rPr>
        <w:t>建设专线的流程如下：</w:t>
      </w:r>
    </w:p>
    <w:p w14:paraId="3E1BA8FE">
      <w:pPr>
        <w:pStyle w:val="15"/>
      </w:pPr>
      <w:r>
        <w:rPr>
          <w:rFonts w:hint="eastAsia"/>
        </w:rPr>
        <w:t>明确自身需求：先确定专线所需要的网络带宽、传输稳定性、服务级别等具体要求，如企业用户需要专线支持高流量数据传输以及特定安全等级等。</w:t>
      </w:r>
    </w:p>
    <w:p w14:paraId="462EE3A7">
      <w:pPr>
        <w:pStyle w:val="15"/>
      </w:pPr>
      <w:r>
        <w:rPr>
          <w:rFonts w:hint="eastAsia"/>
        </w:rPr>
        <w:t>选择服务提供商：亚太6D卫星由亚太星通运营，可以直接联系亚太星通，了解其专线业务的内容、资费、服务质量等方面的情况。</w:t>
      </w:r>
    </w:p>
    <w:p w14:paraId="0FE0642C">
      <w:pPr>
        <w:pStyle w:val="15"/>
      </w:pPr>
      <w:r>
        <w:rPr>
          <w:rFonts w:hint="eastAsia"/>
        </w:rPr>
        <w:t>提交申请材料：向选定的服务提供商提交申请，通常需要提供企业基本信息，包含名称、地址、联系方式，还得提供营业执照复印件等，同时要填写详细描述网络需求的申请表格。</w:t>
      </w:r>
    </w:p>
    <w:p w14:paraId="2E6FB20B">
      <w:pPr>
        <w:pStyle w:val="15"/>
      </w:pPr>
      <w:r>
        <w:rPr>
          <w:rFonts w:hint="eastAsia"/>
        </w:rPr>
        <w:t>完成线路规划与资源调配：服务提供商收到申请并审核通过后，将基于亚太6D卫星的资源状况以及广东地面关口站的实际情况，进行从广东到福建的专线路由规划，并对卫星频段、带宽等相关通信资源进行调配和预占。</w:t>
      </w:r>
    </w:p>
    <w:p w14:paraId="0E0E2378">
      <w:pPr>
        <w:pStyle w:val="15"/>
      </w:pPr>
      <w:r>
        <w:rPr>
          <w:rFonts w:hint="eastAsia"/>
        </w:rPr>
        <w:t>进行设备安装：在福建的专线接入端，根据服务商的要求安装相应的卫星通信终端设备，例如VSAT（甚小口径终端）天线以及配套的调制解调器等设备，用于实现与亚太6D卫星的信号交互。而广东地面关口站方面，也需要做好与专线对应的地面通信设备对接准备。</w:t>
      </w:r>
    </w:p>
    <w:p w14:paraId="4F737368">
      <w:pPr>
        <w:pStyle w:val="15"/>
      </w:pPr>
      <w:r>
        <w:rPr>
          <w:rFonts w:hint="eastAsia"/>
        </w:rPr>
        <w:t>专线测试与优化：完成设备安装后，服务商技术人员会对专线进行全面测试，检查网络的连通性、带宽速率、信号稳定性等各项指标，若发现问题会进行优化调整，以保障专线能达到用户申请时所期望的服务标准。</w:t>
      </w:r>
    </w:p>
    <w:p w14:paraId="1B1F3B32">
      <w:pPr>
        <w:pStyle w:val="15"/>
      </w:pPr>
      <w:r>
        <w:rPr>
          <w:rFonts w:hint="eastAsia"/>
        </w:rPr>
        <w:t>专线开通与验收：测试确认专线各项性能均符合要求后，双方按照约定完成验收流程，之后便可正式开通专线供用户使用。</w:t>
      </w:r>
    </w:p>
    <w:p w14:paraId="182E9B8C">
      <w:pPr>
        <w:pStyle w:val="15"/>
      </w:pPr>
      <w:r>
        <w:rPr>
          <w:rFonts w:hint="eastAsia"/>
        </w:rPr>
        <w:t>（4）建设方案</w:t>
      </w:r>
    </w:p>
    <w:p w14:paraId="4F120E0B">
      <w:pPr>
        <w:pStyle w:val="44"/>
        <w:spacing w:before="0" w:after="0" w:line="240" w:lineRule="auto"/>
        <w:ind w:firstLine="0" w:firstLineChars="0"/>
        <w:jc w:val="center"/>
        <w:rPr>
          <w:rFonts w:hint="eastAsia"/>
        </w:rPr>
      </w:pPr>
      <w:r>
        <w:drawing>
          <wp:inline distT="0" distB="0" distL="0" distR="0">
            <wp:extent cx="5615940" cy="1729105"/>
            <wp:effectExtent l="0" t="0" r="7620" b="8255"/>
            <wp:docPr id="166399479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994794" name="图片 1"/>
                    <pic:cNvPicPr>
                      <a:picLocks noChangeAspect="1"/>
                    </pic:cNvPicPr>
                  </pic:nvPicPr>
                  <pic:blipFill>
                    <a:blip r:embed="rId28"/>
                    <a:stretch>
                      <a:fillRect/>
                    </a:stretch>
                  </pic:blipFill>
                  <pic:spPr>
                    <a:xfrm>
                      <a:off x="0" y="0"/>
                      <a:ext cx="5615940" cy="1729105"/>
                    </a:xfrm>
                    <a:prstGeom prst="rect">
                      <a:avLst/>
                    </a:prstGeom>
                  </pic:spPr>
                </pic:pic>
              </a:graphicData>
            </a:graphic>
          </wp:inline>
        </w:drawing>
      </w:r>
    </w:p>
    <w:p w14:paraId="02B1A114">
      <w:pPr>
        <w:pStyle w:val="50"/>
        <w:spacing w:line="240" w:lineRule="auto"/>
        <w:ind w:firstLine="0" w:firstLineChars="0"/>
        <w:jc w:val="center"/>
        <w:rPr>
          <w:rFonts w:hint="eastAsia" w:ascii="黑体" w:hAnsi="黑体" w:eastAsia="黑体" w:cs="黑体"/>
          <w:sz w:val="20"/>
        </w:rPr>
      </w:pPr>
      <w:r>
        <w:rPr>
          <w:rFonts w:hint="eastAsia" w:ascii="黑体" w:hAnsi="黑体" w:eastAsia="黑体" w:cs="黑体"/>
          <w:sz w:val="20"/>
        </w:rPr>
        <w:t>图</w:t>
      </w:r>
      <w:r>
        <w:rPr>
          <w:rFonts w:hint="eastAsia" w:ascii="黑体" w:hAnsi="黑体" w:eastAsia="黑体" w:cs="黑体"/>
          <w:sz w:val="20"/>
        </w:rPr>
        <w:fldChar w:fldCharType="begin"/>
      </w:r>
      <w:r>
        <w:rPr>
          <w:rFonts w:hint="eastAsia" w:ascii="黑体" w:hAnsi="黑体" w:eastAsia="黑体" w:cs="黑体"/>
          <w:sz w:val="20"/>
        </w:rPr>
        <w:instrText xml:space="preserve"> STYLEREF 1 \s </w:instrText>
      </w:r>
      <w:r>
        <w:rPr>
          <w:rFonts w:hint="eastAsia" w:ascii="黑体" w:hAnsi="黑体" w:eastAsia="黑体" w:cs="黑体"/>
          <w:sz w:val="20"/>
        </w:rPr>
        <w:fldChar w:fldCharType="separate"/>
      </w:r>
      <w:r>
        <w:rPr>
          <w:rFonts w:hint="eastAsia" w:ascii="黑体" w:hAnsi="黑体" w:eastAsia="黑体" w:cs="黑体"/>
          <w:sz w:val="20"/>
        </w:rPr>
        <w:t>0</w:t>
      </w:r>
      <w:r>
        <w:rPr>
          <w:rFonts w:hint="eastAsia" w:ascii="黑体" w:hAnsi="黑体" w:eastAsia="黑体" w:cs="黑体"/>
          <w:sz w:val="20"/>
        </w:rPr>
        <w:fldChar w:fldCharType="end"/>
      </w:r>
      <w:r>
        <w:rPr>
          <w:rFonts w:hint="eastAsia" w:ascii="黑体" w:hAnsi="黑体" w:eastAsia="黑体" w:cs="黑体"/>
          <w:sz w:val="20"/>
        </w:rPr>
        <w:noBreakHyphen/>
      </w:r>
      <w:r>
        <w:rPr>
          <w:rFonts w:hint="eastAsia" w:ascii="黑体" w:hAnsi="黑体" w:eastAsia="黑体" w:cs="黑体"/>
          <w:sz w:val="20"/>
        </w:rPr>
        <w:fldChar w:fldCharType="begin"/>
      </w:r>
      <w:r>
        <w:rPr>
          <w:rFonts w:hint="eastAsia" w:ascii="黑体" w:hAnsi="黑体" w:eastAsia="黑体" w:cs="黑体"/>
          <w:sz w:val="20"/>
        </w:rPr>
        <w:instrText xml:space="preserve"> SEQ 图 \* ARABIC \s 1 </w:instrText>
      </w:r>
      <w:r>
        <w:rPr>
          <w:rFonts w:hint="eastAsia" w:ascii="黑体" w:hAnsi="黑体" w:eastAsia="黑体" w:cs="黑体"/>
          <w:sz w:val="20"/>
        </w:rPr>
        <w:fldChar w:fldCharType="separate"/>
      </w:r>
      <w:r>
        <w:rPr>
          <w:rFonts w:hint="eastAsia" w:ascii="黑体" w:hAnsi="黑体" w:eastAsia="黑体" w:cs="黑体"/>
          <w:sz w:val="20"/>
        </w:rPr>
        <w:t>25</w:t>
      </w:r>
      <w:r>
        <w:rPr>
          <w:rFonts w:hint="eastAsia" w:ascii="黑体" w:hAnsi="黑体" w:eastAsia="黑体" w:cs="黑体"/>
          <w:sz w:val="20"/>
        </w:rPr>
        <w:fldChar w:fldCharType="end"/>
      </w:r>
      <w:bookmarkStart w:id="40" w:name="_Toc26283"/>
      <w:bookmarkStart w:id="41" w:name="_Toc2669"/>
      <w:r>
        <w:rPr>
          <w:rFonts w:hint="eastAsia" w:ascii="黑体" w:hAnsi="黑体" w:eastAsia="黑体" w:cs="黑体"/>
          <w:sz w:val="20"/>
        </w:rPr>
        <w:t>宽带卫星VPN专线连接示意图</w:t>
      </w:r>
      <w:bookmarkEnd w:id="40"/>
      <w:bookmarkEnd w:id="41"/>
    </w:p>
    <w:p w14:paraId="737D3103">
      <w:pPr>
        <w:pStyle w:val="15"/>
      </w:pPr>
      <w:r>
        <w:rPr>
          <w:rFonts w:hint="eastAsia"/>
        </w:rPr>
        <w:t>采用专线的方式，将亚太6D深圳关口站通过运营商的骨干网对接到指挥基地。部署在前突小分队的卫星便携站和部署在通信指挥车上的车载卫星终端通过分配固定的IP地址，经亚太6D卫星传输至亚太6D深圳关口站，再通过VPN专线接入到指挥基地，建立网络连接。</w:t>
      </w:r>
    </w:p>
    <w:p w14:paraId="24CE3B80">
      <w:pPr>
        <w:pStyle w:val="15"/>
      </w:pPr>
      <w:r>
        <w:rPr>
          <w:rFonts w:hint="eastAsia"/>
        </w:rPr>
        <w:t>（5）系统部署</w:t>
      </w:r>
    </w:p>
    <w:p w14:paraId="16CD6E33">
      <w:pPr>
        <w:pStyle w:val="15"/>
      </w:pPr>
      <w:r>
        <w:rPr>
          <w:rFonts w:hint="eastAsia"/>
        </w:rPr>
        <w:t>宽带卫星网络主要用于极端情况下作为回传网络传输音视频信息，本项目在基地建设一条卫星VPN专线。</w:t>
      </w:r>
    </w:p>
    <w:p w14:paraId="6209660E">
      <w:pPr>
        <w:pStyle w:val="15"/>
      </w:pPr>
      <w:r>
        <w:rPr>
          <w:rFonts w:hint="eastAsia"/>
        </w:rPr>
        <w:t>在通信指挥车上，部署1套车载卫星终端，为音视频信号回传提供宽带通道。</w:t>
      </w:r>
    </w:p>
    <w:p w14:paraId="1D9D0486">
      <w:pPr>
        <w:pStyle w:val="15"/>
      </w:pPr>
      <w:r>
        <w:rPr>
          <w:rFonts w:hint="eastAsia"/>
        </w:rPr>
        <w:t>在应急现场无公网信号且通信指挥车无法发挥作用的极端情况下，在国家队前突队部署1套卫星便携站，用于保障前突队的音视频回传。</w:t>
      </w:r>
    </w:p>
    <w:p w14:paraId="2BC34F90">
      <w:pPr>
        <w:pStyle w:val="44"/>
        <w:spacing w:before="0" w:after="0" w:line="240" w:lineRule="auto"/>
        <w:ind w:firstLine="0" w:firstLineChars="0"/>
        <w:jc w:val="center"/>
        <w:rPr>
          <w:rFonts w:hint="eastAsia"/>
        </w:rPr>
      </w:pPr>
      <w:r>
        <w:drawing>
          <wp:inline distT="0" distB="0" distL="0" distR="0">
            <wp:extent cx="5615940" cy="2962910"/>
            <wp:effectExtent l="0" t="0" r="7620" b="8890"/>
            <wp:docPr id="17692894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9289445" name="图片 1"/>
                    <pic:cNvPicPr>
                      <a:picLocks noChangeAspect="1"/>
                    </pic:cNvPicPr>
                  </pic:nvPicPr>
                  <pic:blipFill>
                    <a:blip r:embed="rId29"/>
                    <a:stretch>
                      <a:fillRect/>
                    </a:stretch>
                  </pic:blipFill>
                  <pic:spPr>
                    <a:xfrm>
                      <a:off x="0" y="0"/>
                      <a:ext cx="5615940" cy="2962910"/>
                    </a:xfrm>
                    <a:prstGeom prst="rect">
                      <a:avLst/>
                    </a:prstGeom>
                  </pic:spPr>
                </pic:pic>
              </a:graphicData>
            </a:graphic>
          </wp:inline>
        </w:drawing>
      </w:r>
    </w:p>
    <w:p w14:paraId="7ED01AB4">
      <w:pPr>
        <w:pStyle w:val="50"/>
        <w:spacing w:line="240" w:lineRule="auto"/>
        <w:ind w:firstLine="0" w:firstLineChars="0"/>
        <w:jc w:val="center"/>
        <w:rPr>
          <w:rFonts w:hint="eastAsia" w:ascii="黑体" w:hAnsi="黑体" w:eastAsia="黑体" w:cs="黑体"/>
          <w:sz w:val="20"/>
        </w:rPr>
      </w:pPr>
      <w:r>
        <w:rPr>
          <w:rFonts w:hint="eastAsia" w:ascii="黑体" w:hAnsi="黑体" w:eastAsia="黑体" w:cs="黑体"/>
          <w:sz w:val="20"/>
        </w:rPr>
        <w:t>图</w:t>
      </w:r>
      <w:r>
        <w:rPr>
          <w:rFonts w:hint="eastAsia" w:ascii="黑体" w:hAnsi="黑体" w:eastAsia="黑体" w:cs="黑体"/>
          <w:sz w:val="20"/>
        </w:rPr>
        <w:fldChar w:fldCharType="begin"/>
      </w:r>
      <w:r>
        <w:rPr>
          <w:rFonts w:hint="eastAsia" w:ascii="黑体" w:hAnsi="黑体" w:eastAsia="黑体" w:cs="黑体"/>
          <w:sz w:val="20"/>
        </w:rPr>
        <w:instrText xml:space="preserve"> STYLEREF 1 \s </w:instrText>
      </w:r>
      <w:r>
        <w:rPr>
          <w:rFonts w:hint="eastAsia" w:ascii="黑体" w:hAnsi="黑体" w:eastAsia="黑体" w:cs="黑体"/>
          <w:sz w:val="20"/>
        </w:rPr>
        <w:fldChar w:fldCharType="separate"/>
      </w:r>
      <w:r>
        <w:rPr>
          <w:rFonts w:hint="eastAsia" w:ascii="黑体" w:hAnsi="黑体" w:eastAsia="黑体" w:cs="黑体"/>
          <w:sz w:val="20"/>
        </w:rPr>
        <w:t>0</w:t>
      </w:r>
      <w:r>
        <w:rPr>
          <w:rFonts w:hint="eastAsia" w:ascii="黑体" w:hAnsi="黑体" w:eastAsia="黑体" w:cs="黑体"/>
          <w:sz w:val="20"/>
        </w:rPr>
        <w:fldChar w:fldCharType="end"/>
      </w:r>
      <w:r>
        <w:rPr>
          <w:rFonts w:hint="eastAsia" w:ascii="黑体" w:hAnsi="黑体" w:eastAsia="黑体" w:cs="黑体"/>
          <w:sz w:val="20"/>
        </w:rPr>
        <w:noBreakHyphen/>
      </w:r>
      <w:r>
        <w:rPr>
          <w:rFonts w:hint="eastAsia" w:ascii="黑体" w:hAnsi="黑体" w:eastAsia="黑体" w:cs="黑体"/>
          <w:sz w:val="20"/>
        </w:rPr>
        <w:fldChar w:fldCharType="begin"/>
      </w:r>
      <w:r>
        <w:rPr>
          <w:rFonts w:hint="eastAsia" w:ascii="黑体" w:hAnsi="黑体" w:eastAsia="黑体" w:cs="黑体"/>
          <w:sz w:val="20"/>
        </w:rPr>
        <w:instrText xml:space="preserve"> SEQ 图 \* ARABIC \s 1 </w:instrText>
      </w:r>
      <w:r>
        <w:rPr>
          <w:rFonts w:hint="eastAsia" w:ascii="黑体" w:hAnsi="黑体" w:eastAsia="黑体" w:cs="黑体"/>
          <w:sz w:val="20"/>
        </w:rPr>
        <w:fldChar w:fldCharType="separate"/>
      </w:r>
      <w:r>
        <w:rPr>
          <w:rFonts w:hint="eastAsia" w:ascii="黑体" w:hAnsi="黑体" w:eastAsia="黑体" w:cs="黑体"/>
          <w:sz w:val="20"/>
        </w:rPr>
        <w:t>26</w:t>
      </w:r>
      <w:r>
        <w:rPr>
          <w:rFonts w:hint="eastAsia" w:ascii="黑体" w:hAnsi="黑体" w:eastAsia="黑体" w:cs="黑体"/>
          <w:sz w:val="20"/>
        </w:rPr>
        <w:fldChar w:fldCharType="end"/>
      </w:r>
      <w:bookmarkStart w:id="42" w:name="_Toc20760"/>
      <w:bookmarkStart w:id="43" w:name="_Toc18655"/>
      <w:r>
        <w:rPr>
          <w:rFonts w:hint="eastAsia" w:ascii="黑体" w:hAnsi="黑体" w:eastAsia="黑体" w:cs="黑体"/>
          <w:sz w:val="20"/>
        </w:rPr>
        <w:t>宽带卫星网络系统部署图</w:t>
      </w:r>
      <w:bookmarkEnd w:id="42"/>
      <w:bookmarkEnd w:id="43"/>
    </w:p>
    <w:p w14:paraId="109D71F7">
      <w:pPr>
        <w:pStyle w:val="15"/>
      </w:pPr>
      <w:r>
        <w:rPr>
          <w:rFonts w:hint="eastAsia"/>
        </w:rPr>
        <w:t>本项目拟配备车载卫星终端（复用1台）、卫星便携站（数量1台），建立共享应急卫星流量池，为无公网环境下通过宽带卫星实现语音视频数据传输，为流量池配置60G/年应急流量套餐，超过部分另行计费。</w:t>
      </w:r>
    </w:p>
    <w:p w14:paraId="0329CCE7">
      <w:pPr>
        <w:pStyle w:val="15"/>
      </w:pPr>
      <w:r>
        <w:rPr>
          <w:rFonts w:hint="eastAsia"/>
        </w:rPr>
        <w:t>（6）网络设备介绍</w:t>
      </w:r>
    </w:p>
    <w:p w14:paraId="75A667EC">
      <w:pPr>
        <w:pStyle w:val="15"/>
      </w:pPr>
      <w:r>
        <w:rPr>
          <w:rFonts w:hint="eastAsia"/>
        </w:rPr>
        <w:t>1）车载卫星终端</w:t>
      </w:r>
    </w:p>
    <w:p w14:paraId="0BEDB6CF">
      <w:pPr>
        <w:pStyle w:val="11"/>
        <w:spacing w:line="240" w:lineRule="auto"/>
        <w:ind w:firstLine="0" w:firstLineChars="0"/>
        <w:jc w:val="center"/>
        <w:rPr>
          <w:rFonts w:hint="eastAsia"/>
        </w:rPr>
      </w:pPr>
      <w:r>
        <w:drawing>
          <wp:inline distT="0" distB="0" distL="0" distR="0">
            <wp:extent cx="1379855" cy="1179195"/>
            <wp:effectExtent l="0" t="0" r="0" b="0"/>
            <wp:docPr id="135513277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5132772" name="图片 19"/>
                    <pic:cNvPicPr>
                      <a:picLocks noChangeAspect="1"/>
                    </pic:cNvPicPr>
                  </pic:nvPicPr>
                  <pic:blipFill>
                    <a:blip r:embed="rId30"/>
                    <a:stretch>
                      <a:fillRect/>
                    </a:stretch>
                  </pic:blipFill>
                  <pic:spPr>
                    <a:xfrm>
                      <a:off x="0" y="0"/>
                      <a:ext cx="1380344" cy="1179678"/>
                    </a:xfrm>
                    <a:prstGeom prst="rect">
                      <a:avLst/>
                    </a:prstGeom>
                  </pic:spPr>
                </pic:pic>
              </a:graphicData>
            </a:graphic>
          </wp:inline>
        </w:drawing>
      </w:r>
    </w:p>
    <w:p w14:paraId="398AE729">
      <w:pPr>
        <w:pStyle w:val="19"/>
        <w:keepNext w:val="0"/>
        <w:widowControl w:val="0"/>
      </w:pPr>
      <w:r>
        <w:t xml:space="preserve">图 </w:t>
      </w:r>
      <w:r>
        <w:fldChar w:fldCharType="begin"/>
      </w:r>
      <w:r>
        <w:instrText xml:space="preserve"> STYLEREF 1 \s </w:instrText>
      </w:r>
      <w:r>
        <w:fldChar w:fldCharType="separate"/>
      </w:r>
      <w:r>
        <w:t>0</w:t>
      </w:r>
      <w:r>
        <w:rPr>
          <w:rFonts w:hint="eastAsia"/>
        </w:rPr>
        <w:fldChar w:fldCharType="end"/>
      </w:r>
      <w:r>
        <w:rPr>
          <w:rFonts w:hint="eastAsia"/>
        </w:rPr>
        <w:t>-</w:t>
      </w:r>
      <w:r>
        <w:fldChar w:fldCharType="begin"/>
      </w:r>
      <w:r>
        <w:instrText xml:space="preserve"> SEQ 图 \* ARABIC \s 1 </w:instrText>
      </w:r>
      <w:r>
        <w:fldChar w:fldCharType="separate"/>
      </w:r>
      <w:r>
        <w:t>27</w:t>
      </w:r>
      <w:r>
        <w:fldChar w:fldCharType="end"/>
      </w:r>
      <w:bookmarkStart w:id="44" w:name="_Toc15712"/>
      <w:r>
        <w:rPr>
          <w:rFonts w:hint="eastAsia"/>
        </w:rPr>
        <w:t>车载卫星终端示样图</w:t>
      </w:r>
      <w:bookmarkEnd w:id="44"/>
    </w:p>
    <w:p w14:paraId="20D2E012">
      <w:pPr>
        <w:pStyle w:val="15"/>
      </w:pPr>
      <w:r>
        <w:rPr>
          <w:rFonts w:hint="eastAsia"/>
        </w:rPr>
        <w:t>车载卫星终端（利旧）部署在通信指挥车上，接收亚太6D卫星信号，转化为宽带和Wi-Fi信号，在没有公网的情况下，为通信指挥车上的采集终端（如多模指挥终端、云台摄像机等）和专网网络设备（如370M自组网固定站、Mesh自组网车载台）提供语音、视频回传通道。</w:t>
      </w:r>
    </w:p>
    <w:p w14:paraId="54EAD3A7">
      <w:pPr>
        <w:pStyle w:val="15"/>
      </w:pPr>
      <w:r>
        <w:rPr>
          <w:rFonts w:hint="eastAsia"/>
        </w:rPr>
        <w:t>车载卫星终端设备是一种安装在车辆上，用于在静止状态下快速建立卫星通信链路的设备，具有快速对星、稳定通信等特点，产品广泛应用在应急指挥、公安消防现场执法/抢险救援、现场新闻采集等场景。</w:t>
      </w:r>
    </w:p>
    <w:p w14:paraId="4FC68196">
      <w:pPr>
        <w:pStyle w:val="15"/>
      </w:pPr>
      <w:r>
        <w:rPr>
          <w:rFonts w:hint="eastAsia"/>
        </w:rPr>
        <w:t>系统由天馈子系统、转台子系统、伺服控制子系统、姿态采集子系统、接收子系统组成。</w:t>
      </w:r>
    </w:p>
    <w:p w14:paraId="0D66421E">
      <w:pPr>
        <w:pStyle w:val="15"/>
      </w:pPr>
      <w:r>
        <w:rPr>
          <w:rFonts w:hint="eastAsia"/>
        </w:rPr>
        <w:t>（a）天馈子系统</w:t>
      </w:r>
    </w:p>
    <w:p w14:paraId="27033E95">
      <w:pPr>
        <w:pStyle w:val="15"/>
      </w:pPr>
      <w:r>
        <w:rPr>
          <w:rFonts w:hint="eastAsia"/>
        </w:rPr>
        <w:t>通常由碳纤维主反射面、馈源等组成，碳纤维材质具有重量轻、强度高、性能稳定等优点，能保证天线的信号接收和发射质量。</w:t>
      </w:r>
    </w:p>
    <w:p w14:paraId="4284B11F">
      <w:pPr>
        <w:pStyle w:val="15"/>
      </w:pPr>
      <w:r>
        <w:rPr>
          <w:rFonts w:hint="eastAsia"/>
        </w:rPr>
        <w:t>（b）转台子系统</w:t>
      </w:r>
    </w:p>
    <w:p w14:paraId="778BC7AD">
      <w:pPr>
        <w:pStyle w:val="15"/>
      </w:pPr>
      <w:r>
        <w:rPr>
          <w:rFonts w:hint="eastAsia"/>
        </w:rPr>
        <w:t>包括方位、俯仰、极化三轴转台，可实现天线在不同方向上的转动，以准确对准卫星。</w:t>
      </w:r>
    </w:p>
    <w:p w14:paraId="48783ABF">
      <w:pPr>
        <w:pStyle w:val="15"/>
      </w:pPr>
      <w:r>
        <w:rPr>
          <w:rFonts w:hint="eastAsia"/>
        </w:rPr>
        <w:t>（c）伺服控制子系统</w:t>
      </w:r>
    </w:p>
    <w:p w14:paraId="477297D0">
      <w:pPr>
        <w:pStyle w:val="15"/>
      </w:pPr>
      <w:r>
        <w:rPr>
          <w:rFonts w:hint="eastAsia"/>
        </w:rPr>
        <w:t>由天线控制单元、天线驱动单元构成，负责控制天线的转动，实现自动对星功能。</w:t>
      </w:r>
    </w:p>
    <w:p w14:paraId="1236EC05">
      <w:pPr>
        <w:pStyle w:val="15"/>
      </w:pPr>
      <w:r>
        <w:rPr>
          <w:rFonts w:hint="eastAsia"/>
        </w:rPr>
        <w:t>（d）姿态采集子系统</w:t>
      </w:r>
    </w:p>
    <w:p w14:paraId="60092D0B">
      <w:pPr>
        <w:pStyle w:val="15"/>
      </w:pPr>
      <w:r>
        <w:rPr>
          <w:rFonts w:hint="eastAsia"/>
        </w:rPr>
        <w:t>一般包含数字罗盘、GPS等设备，用于获取车辆的位置、姿态等信息，为天线的对星提供数据支持。</w:t>
      </w:r>
    </w:p>
    <w:p w14:paraId="5B11E5CC">
      <w:pPr>
        <w:pStyle w:val="15"/>
      </w:pPr>
      <w:r>
        <w:rPr>
          <w:rFonts w:hint="eastAsia"/>
        </w:rPr>
        <w:t>（e）接收子系统</w:t>
      </w:r>
    </w:p>
    <w:p w14:paraId="58A9A50A">
      <w:pPr>
        <w:pStyle w:val="15"/>
      </w:pPr>
      <w:r>
        <w:rPr>
          <w:rFonts w:hint="eastAsia"/>
        </w:rPr>
        <w:t>主要有高灵敏度信标接收机，用于接收卫星信标信号，帮助天线准确锁定卫星。</w:t>
      </w:r>
    </w:p>
    <w:p w14:paraId="7F2D59FA">
      <w:pPr>
        <w:pStyle w:val="15"/>
      </w:pPr>
      <w:r>
        <w:rPr>
          <w:rFonts w:hint="eastAsia"/>
        </w:rPr>
        <w:t>车载卫星终端具有以下特点：</w:t>
      </w:r>
    </w:p>
    <w:p w14:paraId="09E1DADD">
      <w:pPr>
        <w:pStyle w:val="15"/>
      </w:pPr>
      <w:r>
        <w:rPr>
          <w:rFonts w:hint="eastAsia"/>
        </w:rPr>
        <w:t>快速对星：配置BD/GPS、电子罗盘、数字信标接收机等，可在短时间内完成自动对星。</w:t>
      </w:r>
    </w:p>
    <w:p w14:paraId="3895FA52">
      <w:pPr>
        <w:pStyle w:val="15"/>
      </w:pPr>
      <w:r>
        <w:rPr>
          <w:rFonts w:hint="eastAsia"/>
        </w:rPr>
        <w:t>操作简便：天线自动化程度高，提供“一键通”功能，无需专业培训即可操作，降低了使用门槛。</w:t>
      </w:r>
    </w:p>
    <w:p w14:paraId="6CB0F1CE">
      <w:pPr>
        <w:pStyle w:val="15"/>
      </w:pPr>
      <w:r>
        <w:rPr>
          <w:rFonts w:hint="eastAsia"/>
        </w:rPr>
        <w:t>通信稳定：采用多重供电保障，如电力发电、磷酸铁锂电池、市电等，确保设备在各种环境下都能持续稳定工作，可支持高清视频通话，网络延迟低于100毫秒。</w:t>
      </w:r>
    </w:p>
    <w:p w14:paraId="5B3959C1">
      <w:pPr>
        <w:pStyle w:val="15"/>
      </w:pPr>
      <w:r>
        <w:rPr>
          <w:rFonts w:hint="eastAsia"/>
        </w:rPr>
        <w:t>安全性高：具有自动告警、机械限位、软件限位等多重保护功能，可防止天线过度转动或出现故障时损坏设备，保障天线运转安全。</w:t>
      </w:r>
    </w:p>
    <w:p w14:paraId="42352CEF">
      <w:pPr>
        <w:pStyle w:val="15"/>
      </w:pPr>
      <w:r>
        <w:rPr>
          <w:rFonts w:hint="eastAsia"/>
        </w:rPr>
        <w:t>环境适应性强：具备优越的可靠性、可维护性及环境适应性，适于野外及城市路况使用，工作温度范围一般为-40℃至+65℃，能在恶劣环境下正常工作。</w:t>
      </w:r>
    </w:p>
    <w:p w14:paraId="0D09B547">
      <w:pPr>
        <w:pStyle w:val="15"/>
      </w:pPr>
      <w:r>
        <w:rPr>
          <w:rFonts w:hint="eastAsia"/>
        </w:rPr>
        <w:t>2）卫星便携站</w:t>
      </w:r>
    </w:p>
    <w:p w14:paraId="487C2036">
      <w:pPr>
        <w:pStyle w:val="11"/>
        <w:spacing w:line="240" w:lineRule="auto"/>
        <w:ind w:firstLine="0" w:firstLineChars="0"/>
        <w:jc w:val="center"/>
        <w:rPr>
          <w:rFonts w:hint="eastAsia"/>
        </w:rPr>
      </w:pPr>
      <w:r>
        <w:drawing>
          <wp:inline distT="0" distB="0" distL="0" distR="0">
            <wp:extent cx="918210" cy="987425"/>
            <wp:effectExtent l="0" t="0" r="11430" b="3175"/>
            <wp:docPr id="2050892098"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892098" name="image2.jpeg"/>
                    <pic:cNvPicPr>
                      <a:picLocks noChangeAspect="1"/>
                    </pic:cNvPicPr>
                  </pic:nvPicPr>
                  <pic:blipFill>
                    <a:blip r:embed="rId31" cstate="print"/>
                    <a:stretch>
                      <a:fillRect/>
                    </a:stretch>
                  </pic:blipFill>
                  <pic:spPr>
                    <a:xfrm>
                      <a:off x="0" y="0"/>
                      <a:ext cx="918530" cy="987809"/>
                    </a:xfrm>
                    <a:prstGeom prst="rect">
                      <a:avLst/>
                    </a:prstGeom>
                  </pic:spPr>
                </pic:pic>
              </a:graphicData>
            </a:graphic>
          </wp:inline>
        </w:drawing>
      </w:r>
    </w:p>
    <w:p w14:paraId="5CEC9307">
      <w:pPr>
        <w:pStyle w:val="19"/>
        <w:keepNext w:val="0"/>
        <w:widowControl w:val="0"/>
        <w:rPr>
          <w:b/>
          <w:bCs/>
        </w:rPr>
      </w:pPr>
      <w:r>
        <w:t xml:space="preserve">图 </w:t>
      </w:r>
      <w:r>
        <w:fldChar w:fldCharType="begin"/>
      </w:r>
      <w:r>
        <w:instrText xml:space="preserve"> STYLEREF 1 \s </w:instrText>
      </w:r>
      <w:r>
        <w:fldChar w:fldCharType="separate"/>
      </w:r>
      <w:r>
        <w:t>0</w:t>
      </w:r>
      <w:r>
        <w:rPr>
          <w:rFonts w:hint="eastAsia"/>
        </w:rPr>
        <w:fldChar w:fldCharType="end"/>
      </w:r>
      <w:r>
        <w:rPr>
          <w:rFonts w:hint="eastAsia"/>
        </w:rPr>
        <w:t>-</w:t>
      </w:r>
      <w:r>
        <w:fldChar w:fldCharType="begin"/>
      </w:r>
      <w:r>
        <w:instrText xml:space="preserve"> SEQ 图 \* ARABIC \s 1 </w:instrText>
      </w:r>
      <w:r>
        <w:fldChar w:fldCharType="separate"/>
      </w:r>
      <w:r>
        <w:t>28</w:t>
      </w:r>
      <w:r>
        <w:fldChar w:fldCharType="end"/>
      </w:r>
      <w:bookmarkStart w:id="45" w:name="_Toc30259"/>
      <w:r>
        <w:rPr>
          <w:rFonts w:hint="eastAsia"/>
        </w:rPr>
        <w:t>卫星便携站示样图</w:t>
      </w:r>
      <w:bookmarkEnd w:id="45"/>
    </w:p>
    <w:p w14:paraId="7AD16475">
      <w:pPr>
        <w:pStyle w:val="15"/>
      </w:pPr>
      <w:r>
        <w:rPr>
          <w:rFonts w:hint="eastAsia"/>
        </w:rPr>
        <w:t>卫星便携站部署在国家紧急医学救援队伍前突队，接收亚太6D卫星信号，转化为宽带和Wi-Fi信号，在没有公网的情况下，为应急现场的采集终端（如多模指挥终端、布控球、智能头盔等）和专网网络设备（如370M自组网背负站、Mesh自组网背负电台）提供语音、视频回传通道。</w:t>
      </w:r>
    </w:p>
    <w:p w14:paraId="4E07D271">
      <w:pPr>
        <w:pStyle w:val="15"/>
      </w:pPr>
      <w:r>
        <w:rPr>
          <w:rFonts w:hint="eastAsia"/>
        </w:rPr>
        <w:t>卫星便携站是一种以高机动、轻小便携、操作简便为突出优势的卫星通信设备，可在室外指定地点快速建立通信网络，广泛应用在应急指挥、公安消防现场执法/抢险救援、现场新闻采集等场景。</w:t>
      </w:r>
    </w:p>
    <w:p w14:paraId="1D210F4C">
      <w:pPr>
        <w:pStyle w:val="15"/>
      </w:pPr>
      <w:r>
        <w:rPr>
          <w:rFonts w:hint="eastAsia"/>
        </w:rPr>
        <w:t>卫星便携站按逻辑结构划分通信层和应用层两部分，由通信分系统、音视频分系统、计算机控制分系统、供电分系统、站控分系统、辅助分系统组成，负责实现与指挥中心的双向视频、话音和数据通信。其具有以下特点：</w:t>
      </w:r>
    </w:p>
    <w:p w14:paraId="18548CB6">
      <w:pPr>
        <w:pStyle w:val="15"/>
      </w:pPr>
      <w:r>
        <w:rPr>
          <w:rFonts w:hint="eastAsia"/>
        </w:rPr>
        <w:t>便携性强：体积小、重量轻，可单人背负或拉行，方便携带至各种偏远或交通不便的地方；</w:t>
      </w:r>
    </w:p>
    <w:p w14:paraId="7EA6DB22">
      <w:pPr>
        <w:pStyle w:val="15"/>
      </w:pPr>
      <w:r>
        <w:rPr>
          <w:rFonts w:hint="eastAsia"/>
        </w:rPr>
        <w:t>操作简便：具备全自动一键对星功能，天线展开、对星、跟踪、调整、收起均可自动完成，无需专业人员操作；</w:t>
      </w:r>
    </w:p>
    <w:p w14:paraId="6231B052">
      <w:pPr>
        <w:pStyle w:val="15"/>
      </w:pPr>
      <w:r>
        <w:rPr>
          <w:rFonts w:hint="eastAsia"/>
        </w:rPr>
        <w:t>通信功能多样：提供基础卫星通信链路，可通过地面卫星主站接入互联网，为音视频采集终端提供网络，还可为专网设备提供回传通道；</w:t>
      </w:r>
    </w:p>
    <w:p w14:paraId="27461521">
      <w:pPr>
        <w:pStyle w:val="15"/>
      </w:pPr>
      <w:r>
        <w:rPr>
          <w:rFonts w:hint="eastAsia"/>
        </w:rPr>
        <w:t>环境适应性强：能适应沙漠、高原、严寒等恶劣环境。</w:t>
      </w:r>
    </w:p>
    <w:p w14:paraId="46A55693">
      <w:pPr>
        <w:pStyle w:val="15"/>
      </w:pPr>
      <w:r>
        <w:rPr>
          <w:rFonts w:hint="eastAsia"/>
        </w:rPr>
        <w:t>5.Mesh自组网设计</w:t>
      </w:r>
    </w:p>
    <w:p w14:paraId="4FF71919">
      <w:pPr>
        <w:pStyle w:val="15"/>
      </w:pPr>
      <w:r>
        <w:rPr>
          <w:rFonts w:hint="eastAsia"/>
        </w:rPr>
        <w:t>（1）概述</w:t>
      </w:r>
    </w:p>
    <w:p w14:paraId="558AA9CD">
      <w:pPr>
        <w:pStyle w:val="15"/>
      </w:pPr>
      <w:r>
        <w:rPr>
          <w:rFonts w:hint="eastAsia"/>
        </w:rPr>
        <w:t>Mesh自组网（MeshNetwork），全称为无线网状网络，是一种与传统星型、树型网络架构截然不同的分布式通信网络技术。其核心特征是网络中的每个节点（Node）既具备信号接收与发送能力，又能充当中继站为其他节点转发数据，无需依赖集中式的基站或核心交换机，可实现节点间的多跳（Multi-hop）通信与动态自组织。</w:t>
      </w:r>
    </w:p>
    <w:p w14:paraId="43A0EF85">
      <w:pPr>
        <w:pStyle w:val="15"/>
      </w:pPr>
      <w:r>
        <w:rPr>
          <w:rFonts w:hint="eastAsia"/>
        </w:rPr>
        <w:t>Mesh自组网的本质是“无中心、自组织、自修复”的分布式通信系统。在该网络中，不存在绝对的“核心节点”。当节点加入或离开网络、链路因干扰或遮挡中断时，网络能自动检测拓扑变化，并重新计算最优通信路径，确保整体通信的连续性。</w:t>
      </w:r>
    </w:p>
    <w:p w14:paraId="10119730">
      <w:pPr>
        <w:pStyle w:val="15"/>
      </w:pPr>
      <w:r>
        <w:rPr>
          <w:rFonts w:hint="eastAsia"/>
        </w:rPr>
        <w:t>Mesh自组网是应对“无基础通信设施、环境复杂、需求动态变化”场景的核心通信技术，其“无中心、自组织、自修复”的特性填补了传统网络在极端环境、移动场景下的能力空白。随着无线通信技术的发展，Mesh自组网正与5G、物联网、卫星通信深度融合，在应急、工业、城市等领域发挥着愈发重要的“通信兜底”与“灵活扩展”作用。</w:t>
      </w:r>
    </w:p>
    <w:p w14:paraId="0DE1C610">
      <w:pPr>
        <w:pStyle w:val="15"/>
      </w:pPr>
      <w:r>
        <w:rPr>
          <w:rFonts w:hint="eastAsia"/>
        </w:rPr>
        <w:t>（2）系统架构</w:t>
      </w:r>
    </w:p>
    <w:p w14:paraId="2977FB14">
      <w:pPr>
        <w:pStyle w:val="15"/>
      </w:pPr>
      <w:r>
        <w:rPr>
          <w:rFonts w:hint="eastAsia"/>
        </w:rPr>
        <w:t>Mesh自组网网络主要用于传输音视频。当应急现场有4G/5G公网信号时，优先使用公网信号传输音视频；当应急现场没有4G/5G公网信号时，通过Mesh自组网网络传输音视频，其能通过中继的方式扩大覆盖范围，将应急现场的双模对讲机、布控球、智能头盔、单兵记录仪、单兵眼镜采集的音视频传输至通信指挥车。</w:t>
      </w:r>
    </w:p>
    <w:p w14:paraId="7AE7E8A2">
      <w:pPr>
        <w:pStyle w:val="15"/>
      </w:pPr>
      <w:r>
        <w:rPr>
          <w:rFonts w:hint="eastAsia"/>
        </w:rPr>
        <w:t>其系统组网方式如下图所示：</w:t>
      </w:r>
    </w:p>
    <w:p w14:paraId="2DD47BCC">
      <w:pPr>
        <w:pStyle w:val="44"/>
        <w:spacing w:before="0" w:after="0" w:line="240" w:lineRule="auto"/>
        <w:ind w:firstLine="0" w:firstLineChars="0"/>
        <w:jc w:val="center"/>
        <w:rPr>
          <w:rFonts w:hint="eastAsia"/>
        </w:rPr>
      </w:pPr>
      <w:r>
        <w:drawing>
          <wp:inline distT="0" distB="0" distL="0" distR="0">
            <wp:extent cx="5274310" cy="1511300"/>
            <wp:effectExtent l="0" t="0" r="13970" b="12700"/>
            <wp:docPr id="17918408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1840854" name="图片 1"/>
                    <pic:cNvPicPr>
                      <a:picLocks noChangeAspect="1"/>
                    </pic:cNvPicPr>
                  </pic:nvPicPr>
                  <pic:blipFill>
                    <a:blip r:embed="rId32"/>
                    <a:stretch>
                      <a:fillRect/>
                    </a:stretch>
                  </pic:blipFill>
                  <pic:spPr>
                    <a:xfrm>
                      <a:off x="0" y="0"/>
                      <a:ext cx="5274310" cy="1511300"/>
                    </a:xfrm>
                    <a:prstGeom prst="rect">
                      <a:avLst/>
                    </a:prstGeom>
                  </pic:spPr>
                </pic:pic>
              </a:graphicData>
            </a:graphic>
          </wp:inline>
        </w:drawing>
      </w:r>
    </w:p>
    <w:p w14:paraId="4B9E1F25">
      <w:pPr>
        <w:pStyle w:val="50"/>
        <w:spacing w:line="240" w:lineRule="auto"/>
        <w:ind w:firstLine="0" w:firstLineChars="0"/>
        <w:jc w:val="center"/>
        <w:rPr>
          <w:rFonts w:hint="eastAsia" w:ascii="黑体" w:hAnsi="黑体" w:eastAsia="黑体" w:cs="黑体"/>
          <w:sz w:val="20"/>
        </w:rPr>
      </w:pPr>
      <w:r>
        <w:rPr>
          <w:rFonts w:hint="eastAsia" w:ascii="黑体" w:hAnsi="黑体" w:eastAsia="黑体" w:cs="黑体"/>
          <w:sz w:val="20"/>
        </w:rPr>
        <w:t>图</w:t>
      </w:r>
      <w:r>
        <w:rPr>
          <w:rFonts w:hint="eastAsia" w:ascii="黑体" w:hAnsi="黑体" w:eastAsia="黑体" w:cs="黑体"/>
          <w:sz w:val="20"/>
        </w:rPr>
        <w:fldChar w:fldCharType="begin"/>
      </w:r>
      <w:r>
        <w:rPr>
          <w:rFonts w:hint="eastAsia" w:ascii="黑体" w:hAnsi="黑体" w:eastAsia="黑体" w:cs="黑体"/>
          <w:sz w:val="20"/>
        </w:rPr>
        <w:instrText xml:space="preserve"> STYLEREF 1 \s </w:instrText>
      </w:r>
      <w:r>
        <w:rPr>
          <w:rFonts w:hint="eastAsia" w:ascii="黑体" w:hAnsi="黑体" w:eastAsia="黑体" w:cs="黑体"/>
          <w:sz w:val="20"/>
        </w:rPr>
        <w:fldChar w:fldCharType="separate"/>
      </w:r>
      <w:r>
        <w:rPr>
          <w:rFonts w:hint="eastAsia" w:ascii="黑体" w:hAnsi="黑体" w:eastAsia="黑体" w:cs="黑体"/>
          <w:sz w:val="20"/>
        </w:rPr>
        <w:t>0</w:t>
      </w:r>
      <w:r>
        <w:rPr>
          <w:rFonts w:hint="eastAsia" w:ascii="黑体" w:hAnsi="黑体" w:eastAsia="黑体" w:cs="黑体"/>
          <w:sz w:val="20"/>
        </w:rPr>
        <w:fldChar w:fldCharType="end"/>
      </w:r>
      <w:r>
        <w:rPr>
          <w:rFonts w:hint="eastAsia" w:ascii="黑体" w:hAnsi="黑体" w:eastAsia="黑体" w:cs="黑体"/>
          <w:sz w:val="20"/>
        </w:rPr>
        <w:noBreakHyphen/>
      </w:r>
      <w:r>
        <w:rPr>
          <w:rFonts w:hint="eastAsia" w:ascii="黑体" w:hAnsi="黑体" w:eastAsia="黑体" w:cs="黑体"/>
          <w:sz w:val="20"/>
        </w:rPr>
        <w:fldChar w:fldCharType="begin"/>
      </w:r>
      <w:r>
        <w:rPr>
          <w:rFonts w:hint="eastAsia" w:ascii="黑体" w:hAnsi="黑体" w:eastAsia="黑体" w:cs="黑体"/>
          <w:sz w:val="20"/>
        </w:rPr>
        <w:instrText xml:space="preserve"> SEQ 图 \* ARABIC \s 1 </w:instrText>
      </w:r>
      <w:r>
        <w:rPr>
          <w:rFonts w:hint="eastAsia" w:ascii="黑体" w:hAnsi="黑体" w:eastAsia="黑体" w:cs="黑体"/>
          <w:sz w:val="20"/>
        </w:rPr>
        <w:fldChar w:fldCharType="separate"/>
      </w:r>
      <w:r>
        <w:rPr>
          <w:rFonts w:hint="eastAsia" w:ascii="黑体" w:hAnsi="黑体" w:eastAsia="黑体" w:cs="黑体"/>
          <w:sz w:val="20"/>
        </w:rPr>
        <w:t>29</w:t>
      </w:r>
      <w:r>
        <w:rPr>
          <w:rFonts w:hint="eastAsia" w:ascii="黑体" w:hAnsi="黑体" w:eastAsia="黑体" w:cs="黑体"/>
          <w:sz w:val="20"/>
        </w:rPr>
        <w:fldChar w:fldCharType="end"/>
      </w:r>
      <w:bookmarkStart w:id="46" w:name="_Toc30497"/>
      <w:bookmarkStart w:id="47" w:name="_Toc1707"/>
      <w:r>
        <w:rPr>
          <w:rFonts w:hint="eastAsia" w:ascii="黑体" w:hAnsi="黑体" w:eastAsia="黑体" w:cs="黑体"/>
          <w:sz w:val="20"/>
        </w:rPr>
        <w:t>Mesh自组网（通过通信指挥车回传）系统组网图</w:t>
      </w:r>
      <w:bookmarkEnd w:id="46"/>
      <w:bookmarkEnd w:id="47"/>
    </w:p>
    <w:p w14:paraId="0C1DA6B6">
      <w:pPr>
        <w:pStyle w:val="15"/>
      </w:pPr>
      <w:r>
        <w:rPr>
          <w:rFonts w:hint="eastAsia"/>
        </w:rPr>
        <w:t>当应急现场无公网且无通信指挥车（如海上应急救援场景），或通信指挥车与应急现场受遮挡严重时，需要出动国家紧急医学救援队小组，其配备的卫星便携站能为应急现场提供网络回传通道。在前突队中配备2台Mesh自组网背负电台，可提供宽带或Wi-Fi信号，为布控球、智能头盔、单兵记录仪、单兵眼镜、双模对讲机提供音视频回传通道。</w:t>
      </w:r>
    </w:p>
    <w:p w14:paraId="6891468B">
      <w:pPr>
        <w:pStyle w:val="44"/>
        <w:spacing w:before="0" w:after="0" w:line="240" w:lineRule="auto"/>
        <w:ind w:firstLine="0" w:firstLineChars="0"/>
        <w:jc w:val="center"/>
        <w:rPr>
          <w:rFonts w:hint="eastAsia"/>
        </w:rPr>
      </w:pPr>
      <w:r>
        <w:drawing>
          <wp:inline distT="0" distB="0" distL="0" distR="0">
            <wp:extent cx="3759200" cy="2823210"/>
            <wp:effectExtent l="0" t="0" r="5080" b="11430"/>
            <wp:docPr id="5919778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97781" name="图片 1"/>
                    <pic:cNvPicPr>
                      <a:picLocks noChangeAspect="1"/>
                    </pic:cNvPicPr>
                  </pic:nvPicPr>
                  <pic:blipFill>
                    <a:blip r:embed="rId33"/>
                    <a:stretch>
                      <a:fillRect/>
                    </a:stretch>
                  </pic:blipFill>
                  <pic:spPr>
                    <a:xfrm>
                      <a:off x="0" y="0"/>
                      <a:ext cx="3759200" cy="2823210"/>
                    </a:xfrm>
                    <a:prstGeom prst="rect">
                      <a:avLst/>
                    </a:prstGeom>
                  </pic:spPr>
                </pic:pic>
              </a:graphicData>
            </a:graphic>
          </wp:inline>
        </w:drawing>
      </w:r>
    </w:p>
    <w:p w14:paraId="284C25B4">
      <w:pPr>
        <w:pStyle w:val="50"/>
        <w:spacing w:line="240" w:lineRule="auto"/>
        <w:ind w:firstLine="0" w:firstLineChars="0"/>
        <w:jc w:val="center"/>
        <w:rPr>
          <w:rFonts w:hint="eastAsia" w:ascii="黑体" w:hAnsi="黑体" w:eastAsia="黑体" w:cs="黑体"/>
          <w:b/>
          <w:bCs/>
          <w:sz w:val="20"/>
        </w:rPr>
      </w:pPr>
      <w:r>
        <w:rPr>
          <w:rFonts w:hint="eastAsia" w:ascii="黑体" w:hAnsi="黑体" w:eastAsia="黑体" w:cs="黑体"/>
          <w:sz w:val="20"/>
        </w:rPr>
        <w:t>图</w:t>
      </w:r>
      <w:r>
        <w:rPr>
          <w:rFonts w:hint="eastAsia" w:ascii="黑体" w:hAnsi="黑体" w:eastAsia="黑体" w:cs="黑体"/>
          <w:sz w:val="20"/>
        </w:rPr>
        <w:fldChar w:fldCharType="begin"/>
      </w:r>
      <w:r>
        <w:rPr>
          <w:rFonts w:hint="eastAsia" w:ascii="黑体" w:hAnsi="黑体" w:eastAsia="黑体" w:cs="黑体"/>
          <w:sz w:val="20"/>
        </w:rPr>
        <w:instrText xml:space="preserve"> STYLEREF 1 \s </w:instrText>
      </w:r>
      <w:r>
        <w:rPr>
          <w:rFonts w:hint="eastAsia" w:ascii="黑体" w:hAnsi="黑体" w:eastAsia="黑体" w:cs="黑体"/>
          <w:sz w:val="20"/>
        </w:rPr>
        <w:fldChar w:fldCharType="separate"/>
      </w:r>
      <w:r>
        <w:rPr>
          <w:rFonts w:hint="eastAsia" w:ascii="黑体" w:hAnsi="黑体" w:eastAsia="黑体" w:cs="黑体"/>
          <w:sz w:val="20"/>
        </w:rPr>
        <w:t>0</w:t>
      </w:r>
      <w:r>
        <w:rPr>
          <w:rFonts w:hint="eastAsia" w:ascii="黑体" w:hAnsi="黑体" w:eastAsia="黑体" w:cs="黑体"/>
          <w:sz w:val="20"/>
        </w:rPr>
        <w:fldChar w:fldCharType="end"/>
      </w:r>
      <w:r>
        <w:rPr>
          <w:rFonts w:hint="eastAsia" w:ascii="黑体" w:hAnsi="黑体" w:eastAsia="黑体" w:cs="黑体"/>
          <w:sz w:val="20"/>
        </w:rPr>
        <w:noBreakHyphen/>
      </w:r>
      <w:r>
        <w:rPr>
          <w:rFonts w:hint="eastAsia" w:ascii="黑体" w:hAnsi="黑体" w:eastAsia="黑体" w:cs="黑体"/>
          <w:sz w:val="20"/>
        </w:rPr>
        <w:fldChar w:fldCharType="begin"/>
      </w:r>
      <w:r>
        <w:rPr>
          <w:rFonts w:hint="eastAsia" w:ascii="黑体" w:hAnsi="黑体" w:eastAsia="黑体" w:cs="黑体"/>
          <w:sz w:val="20"/>
        </w:rPr>
        <w:instrText xml:space="preserve"> SEQ 图 \* ARABIC \s 1 </w:instrText>
      </w:r>
      <w:r>
        <w:rPr>
          <w:rFonts w:hint="eastAsia" w:ascii="黑体" w:hAnsi="黑体" w:eastAsia="黑体" w:cs="黑体"/>
          <w:sz w:val="20"/>
        </w:rPr>
        <w:fldChar w:fldCharType="separate"/>
      </w:r>
      <w:r>
        <w:rPr>
          <w:rFonts w:hint="eastAsia" w:ascii="黑体" w:hAnsi="黑体" w:eastAsia="黑体" w:cs="黑体"/>
          <w:sz w:val="20"/>
        </w:rPr>
        <w:t>30</w:t>
      </w:r>
      <w:r>
        <w:rPr>
          <w:rFonts w:hint="eastAsia" w:ascii="黑体" w:hAnsi="黑体" w:eastAsia="黑体" w:cs="黑体"/>
          <w:sz w:val="20"/>
        </w:rPr>
        <w:fldChar w:fldCharType="end"/>
      </w:r>
      <w:bookmarkStart w:id="48" w:name="_Toc5141"/>
      <w:bookmarkStart w:id="49" w:name="_Toc5889"/>
      <w:r>
        <w:rPr>
          <w:rFonts w:hint="eastAsia" w:ascii="黑体" w:hAnsi="黑体" w:eastAsia="黑体" w:cs="黑体"/>
          <w:sz w:val="20"/>
        </w:rPr>
        <w:t>Mesh自组网（通过卫星便携站回传）系统组网图</w:t>
      </w:r>
      <w:bookmarkEnd w:id="48"/>
      <w:bookmarkEnd w:id="49"/>
    </w:p>
    <w:p w14:paraId="0C4F30C0">
      <w:pPr>
        <w:pStyle w:val="15"/>
      </w:pPr>
      <w:r>
        <w:rPr>
          <w:rFonts w:hint="eastAsia"/>
        </w:rPr>
        <w:t>（3）系统部署</w:t>
      </w:r>
    </w:p>
    <w:p w14:paraId="550DFEBB">
      <w:pPr>
        <w:pStyle w:val="15"/>
      </w:pPr>
      <w:r>
        <w:rPr>
          <w:rFonts w:hint="eastAsia"/>
        </w:rPr>
        <w:t>本项目Mesh自组网仅在国家队配备。</w:t>
      </w:r>
    </w:p>
    <w:p w14:paraId="14F222A1">
      <w:pPr>
        <w:pStyle w:val="15"/>
      </w:pPr>
      <w:r>
        <w:rPr>
          <w:rFonts w:hint="eastAsia"/>
        </w:rPr>
        <w:t>在通信指挥车中，部署1台现场宽带自组网中继通信机（Mesh自组网车载电台）。</w:t>
      </w:r>
    </w:p>
    <w:p w14:paraId="28273409">
      <w:pPr>
        <w:pStyle w:val="15"/>
      </w:pPr>
      <w:r>
        <w:rPr>
          <w:rFonts w:hint="eastAsia"/>
        </w:rPr>
        <w:t>国家队前突队中，配备2台现场宽带自组网中继通信机（Mesh自组网背负电台），主战场部署1台，1台灵活调配。</w:t>
      </w:r>
    </w:p>
    <w:p w14:paraId="030403EE">
      <w:pPr>
        <w:pStyle w:val="44"/>
        <w:spacing w:before="0" w:after="0" w:line="240" w:lineRule="auto"/>
        <w:ind w:firstLine="0" w:firstLineChars="0"/>
        <w:jc w:val="center"/>
        <w:rPr>
          <w:rFonts w:hint="eastAsia"/>
        </w:rPr>
      </w:pPr>
      <w:r>
        <w:drawing>
          <wp:inline distT="0" distB="0" distL="0" distR="0">
            <wp:extent cx="5274310" cy="2176780"/>
            <wp:effectExtent l="0" t="0" r="13970" b="2540"/>
            <wp:docPr id="20386683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8668343" name="图片 1"/>
                    <pic:cNvPicPr>
                      <a:picLocks noChangeAspect="1"/>
                    </pic:cNvPicPr>
                  </pic:nvPicPr>
                  <pic:blipFill>
                    <a:blip r:embed="rId34"/>
                    <a:stretch>
                      <a:fillRect/>
                    </a:stretch>
                  </pic:blipFill>
                  <pic:spPr>
                    <a:xfrm>
                      <a:off x="0" y="0"/>
                      <a:ext cx="5274310" cy="2176780"/>
                    </a:xfrm>
                    <a:prstGeom prst="rect">
                      <a:avLst/>
                    </a:prstGeom>
                  </pic:spPr>
                </pic:pic>
              </a:graphicData>
            </a:graphic>
          </wp:inline>
        </w:drawing>
      </w:r>
    </w:p>
    <w:p w14:paraId="4C177FF3">
      <w:pPr>
        <w:pStyle w:val="50"/>
        <w:spacing w:line="240" w:lineRule="auto"/>
        <w:ind w:firstLine="0" w:firstLineChars="0"/>
        <w:jc w:val="center"/>
        <w:rPr>
          <w:rFonts w:hint="eastAsia" w:ascii="黑体" w:hAnsi="黑体" w:eastAsia="黑体" w:cs="黑体"/>
          <w:b/>
          <w:bCs/>
          <w:sz w:val="20"/>
        </w:rPr>
      </w:pPr>
      <w:r>
        <w:rPr>
          <w:rFonts w:hint="eastAsia" w:ascii="黑体" w:hAnsi="黑体" w:eastAsia="黑体" w:cs="黑体"/>
          <w:sz w:val="20"/>
        </w:rPr>
        <w:t>图</w:t>
      </w:r>
      <w:r>
        <w:rPr>
          <w:rFonts w:hint="eastAsia" w:ascii="黑体" w:hAnsi="黑体" w:eastAsia="黑体" w:cs="黑体"/>
          <w:sz w:val="20"/>
        </w:rPr>
        <w:fldChar w:fldCharType="begin"/>
      </w:r>
      <w:r>
        <w:rPr>
          <w:rFonts w:hint="eastAsia" w:ascii="黑体" w:hAnsi="黑体" w:eastAsia="黑体" w:cs="黑体"/>
          <w:sz w:val="20"/>
        </w:rPr>
        <w:instrText xml:space="preserve"> STYLEREF 1 \s </w:instrText>
      </w:r>
      <w:r>
        <w:rPr>
          <w:rFonts w:hint="eastAsia" w:ascii="黑体" w:hAnsi="黑体" w:eastAsia="黑体" w:cs="黑体"/>
          <w:sz w:val="20"/>
        </w:rPr>
        <w:fldChar w:fldCharType="separate"/>
      </w:r>
      <w:r>
        <w:rPr>
          <w:rFonts w:hint="eastAsia" w:ascii="黑体" w:hAnsi="黑体" w:eastAsia="黑体" w:cs="黑体"/>
          <w:sz w:val="20"/>
        </w:rPr>
        <w:t>0</w:t>
      </w:r>
      <w:r>
        <w:rPr>
          <w:rFonts w:hint="eastAsia" w:ascii="黑体" w:hAnsi="黑体" w:eastAsia="黑体" w:cs="黑体"/>
          <w:sz w:val="20"/>
        </w:rPr>
        <w:fldChar w:fldCharType="end"/>
      </w:r>
      <w:r>
        <w:rPr>
          <w:rFonts w:hint="eastAsia" w:ascii="黑体" w:hAnsi="黑体" w:eastAsia="黑体" w:cs="黑体"/>
          <w:sz w:val="20"/>
        </w:rPr>
        <w:noBreakHyphen/>
      </w:r>
      <w:r>
        <w:rPr>
          <w:rFonts w:hint="eastAsia" w:ascii="黑体" w:hAnsi="黑体" w:eastAsia="黑体" w:cs="黑体"/>
          <w:sz w:val="20"/>
        </w:rPr>
        <w:fldChar w:fldCharType="begin"/>
      </w:r>
      <w:r>
        <w:rPr>
          <w:rFonts w:hint="eastAsia" w:ascii="黑体" w:hAnsi="黑体" w:eastAsia="黑体" w:cs="黑体"/>
          <w:sz w:val="20"/>
        </w:rPr>
        <w:instrText xml:space="preserve"> SEQ 图 \* ARABIC \s 1 </w:instrText>
      </w:r>
      <w:r>
        <w:rPr>
          <w:rFonts w:hint="eastAsia" w:ascii="黑体" w:hAnsi="黑体" w:eastAsia="黑体" w:cs="黑体"/>
          <w:sz w:val="20"/>
        </w:rPr>
        <w:fldChar w:fldCharType="separate"/>
      </w:r>
      <w:r>
        <w:rPr>
          <w:rFonts w:hint="eastAsia" w:ascii="黑体" w:hAnsi="黑体" w:eastAsia="黑体" w:cs="黑体"/>
          <w:sz w:val="20"/>
        </w:rPr>
        <w:t>31</w:t>
      </w:r>
      <w:r>
        <w:rPr>
          <w:rFonts w:hint="eastAsia" w:ascii="黑体" w:hAnsi="黑体" w:eastAsia="黑体" w:cs="黑体"/>
          <w:sz w:val="20"/>
        </w:rPr>
        <w:fldChar w:fldCharType="end"/>
      </w:r>
      <w:bookmarkStart w:id="50" w:name="_Toc32148"/>
      <w:bookmarkStart w:id="51" w:name="_Toc17625"/>
      <w:r>
        <w:rPr>
          <w:rFonts w:hint="eastAsia" w:ascii="黑体" w:hAnsi="黑体" w:eastAsia="黑体" w:cs="黑体"/>
          <w:sz w:val="20"/>
        </w:rPr>
        <w:t>Mesh自组网系统部署图</w:t>
      </w:r>
      <w:bookmarkEnd w:id="50"/>
      <w:bookmarkEnd w:id="51"/>
    </w:p>
    <w:p w14:paraId="3C9479DA">
      <w:pPr>
        <w:pStyle w:val="15"/>
      </w:pPr>
      <w:r>
        <w:rPr>
          <w:rFonts w:hint="eastAsia"/>
        </w:rPr>
        <w:t>（4）网络设备介绍</w:t>
      </w:r>
    </w:p>
    <w:p w14:paraId="2713723E">
      <w:pPr>
        <w:pStyle w:val="11"/>
        <w:ind w:firstLine="480"/>
        <w:jc w:val="center"/>
        <w:rPr>
          <w:rFonts w:hint="eastAsia"/>
        </w:rPr>
      </w:pPr>
      <w:r>
        <w:drawing>
          <wp:inline distT="0" distB="0" distL="0" distR="0">
            <wp:extent cx="2002155" cy="447675"/>
            <wp:effectExtent l="0" t="0" r="0" b="10795"/>
            <wp:docPr id="10"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6"/>
                    <pic:cNvPicPr>
                      <a:picLocks noChangeAspect="1"/>
                    </pic:cNvPicPr>
                  </pic:nvPicPr>
                  <pic:blipFill>
                    <a:blip r:embed="rId35" cstate="print">
                      <a:clrChange>
                        <a:clrFrom>
                          <a:srgbClr val="000000">
                            <a:alpha val="0"/>
                          </a:srgbClr>
                        </a:clrFrom>
                        <a:clrTo>
                          <a:srgbClr val="000000">
                            <a:alpha val="0"/>
                          </a:srgbClr>
                        </a:clrTo>
                      </a:clrChange>
                      <a:extLst>
                        <a:ext uri="{28A0092B-C50C-407E-A947-70E740481C1C}">
                          <a14:useLocalDpi xmlns:a14="http://schemas.microsoft.com/office/drawing/2010/main" val="0"/>
                        </a:ext>
                      </a:extLst>
                    </a:blip>
                    <a:srcRect r="-8136"/>
                    <a:stretch>
                      <a:fillRect/>
                    </a:stretch>
                  </pic:blipFill>
                  <pic:spPr>
                    <a:xfrm>
                      <a:off x="0" y="0"/>
                      <a:ext cx="2005229" cy="448303"/>
                    </a:xfrm>
                    <a:prstGeom prst="rect">
                      <a:avLst/>
                    </a:prstGeom>
                    <a:ln>
                      <a:noFill/>
                    </a:ln>
                  </pic:spPr>
                </pic:pic>
              </a:graphicData>
            </a:graphic>
          </wp:inline>
        </w:drawing>
      </w:r>
      <w:r>
        <w:drawing>
          <wp:inline distT="0" distB="0" distL="0" distR="0">
            <wp:extent cx="1139190" cy="1021715"/>
            <wp:effectExtent l="0" t="0" r="0" b="14605"/>
            <wp:docPr id="40"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24"/>
                    <pic:cNvPicPr>
                      <a:picLocks noChangeAspect="1"/>
                    </pic:cNvPicPr>
                  </pic:nvPicPr>
                  <pic:blipFill>
                    <a:blip r:embed="rId36"/>
                    <a:stretch>
                      <a:fillRect/>
                    </a:stretch>
                  </pic:blipFill>
                  <pic:spPr>
                    <a:xfrm>
                      <a:off x="0" y="0"/>
                      <a:ext cx="1139740" cy="1021976"/>
                    </a:xfrm>
                    <a:prstGeom prst="rect">
                      <a:avLst/>
                    </a:prstGeom>
                  </pic:spPr>
                </pic:pic>
              </a:graphicData>
            </a:graphic>
          </wp:inline>
        </w:drawing>
      </w:r>
    </w:p>
    <w:p w14:paraId="30128A64">
      <w:pPr>
        <w:pStyle w:val="19"/>
        <w:ind w:firstLine="480"/>
      </w:pPr>
      <w:r>
        <w:t xml:space="preserve">图 </w:t>
      </w:r>
      <w:r>
        <w:fldChar w:fldCharType="begin"/>
      </w:r>
      <w:r>
        <w:instrText xml:space="preserve"> STYLEREF 1 \s </w:instrText>
      </w:r>
      <w:r>
        <w:fldChar w:fldCharType="separate"/>
      </w:r>
      <w:r>
        <w:t>0</w:t>
      </w:r>
      <w:r>
        <w:rPr>
          <w:rFonts w:hint="eastAsia"/>
        </w:rPr>
        <w:fldChar w:fldCharType="end"/>
      </w:r>
      <w:r>
        <w:rPr>
          <w:rFonts w:hint="eastAsia"/>
        </w:rPr>
        <w:t>-</w:t>
      </w:r>
      <w:r>
        <w:fldChar w:fldCharType="begin"/>
      </w:r>
      <w:r>
        <w:instrText xml:space="preserve"> SEQ 图 \* ARABIC \s 1 </w:instrText>
      </w:r>
      <w:r>
        <w:fldChar w:fldCharType="separate"/>
      </w:r>
      <w:r>
        <w:t>32</w:t>
      </w:r>
      <w:r>
        <w:fldChar w:fldCharType="end"/>
      </w:r>
      <w:bookmarkStart w:id="52" w:name="_Toc13122"/>
      <w:r>
        <w:rPr>
          <w:rFonts w:hint="eastAsia"/>
        </w:rPr>
        <w:t>Mesh自组网车载电台示样图Mesh自组网背负电台示样图</w:t>
      </w:r>
      <w:bookmarkEnd w:id="52"/>
    </w:p>
    <w:p w14:paraId="5253FE4F">
      <w:pPr>
        <w:pStyle w:val="15"/>
      </w:pPr>
      <w:r>
        <w:rPr>
          <w:rFonts w:hint="eastAsia"/>
        </w:rPr>
        <w:t>Mesh自组网车载电台部署在通信指挥车上，通过CPE或车载卫星终端接入应急通信网络，Mesh自组网背负电台部署在国家紧急医学救援队伍前突队，其与Mesh自组网车载电台组成Mesh自组网。Mesh自组网提供宽带或Wi-Fi信号，提供应急现场的多模指挥终端、布控球、智能头盔接入，回传音频、视频等信息。</w:t>
      </w:r>
    </w:p>
    <w:p w14:paraId="7B5010AF">
      <w:pPr>
        <w:pStyle w:val="15"/>
      </w:pPr>
      <w:r>
        <w:rPr>
          <w:rFonts w:hint="eastAsia"/>
        </w:rPr>
        <w:t>采用COFDM、MIMO和移动Adhoc网络技术，不依赖任何基础通信设施，可临时、动态、快速地构建无线IPMesh网络，具有自组织、自恢复、高抗毁的能力，支撑数据、话音、视频等多媒体业务多跳传输，可应用于应急通信、智慧城市、无线图传、矿井作业、临时会议、环境监测、公安消防、反恐特勤、抢险救灾、单兵协同、车辆组网、无人平台组网等各种应用场合。其具有以下特点：</w:t>
      </w:r>
    </w:p>
    <w:p w14:paraId="499D10AB">
      <w:pPr>
        <w:pStyle w:val="15"/>
      </w:pPr>
      <w:r>
        <w:rPr>
          <w:rFonts w:hint="eastAsia"/>
        </w:rPr>
        <w:t>网络规模大：采用动态TDMA协议，优异的时隙资源动态分配算法可支持单频64个节点稳定组网；</w:t>
      </w:r>
    </w:p>
    <w:p w14:paraId="29955D25">
      <w:pPr>
        <w:pStyle w:val="15"/>
      </w:pPr>
      <w:r>
        <w:rPr>
          <w:rFonts w:hint="eastAsia"/>
        </w:rPr>
        <w:t>传输距离远：采用COFDM和MIMO等技术，设备接收灵敏度优于-103dBm，在楼群、树丛、山丘、沟谷等环境下有很好的抗多径干扰和绕射能力；</w:t>
      </w:r>
    </w:p>
    <w:p w14:paraId="622312EE">
      <w:pPr>
        <w:pStyle w:val="15"/>
      </w:pPr>
      <w:r>
        <w:rPr>
          <w:rFonts w:hint="eastAsia"/>
        </w:rPr>
        <w:t>传输速率高：采用COFDM、QPSK/16QAM/64QAM/256QAM自适应调制、MIMO等技术，峰值速率高，适合较大业务量多跳传输；</w:t>
      </w:r>
    </w:p>
    <w:p w14:paraId="769A2107">
      <w:pPr>
        <w:pStyle w:val="15"/>
      </w:pPr>
      <w:r>
        <w:rPr>
          <w:rFonts w:hint="eastAsia"/>
        </w:rPr>
        <w:t>传输稳定可靠：与降频方案不同，随着距离增大传输速率下降不明显，传输速率能保持相对较高并且稳定；</w:t>
      </w:r>
    </w:p>
    <w:p w14:paraId="11F21151">
      <w:pPr>
        <w:pStyle w:val="15"/>
      </w:pPr>
      <w:r>
        <w:rPr>
          <w:rFonts w:hint="eastAsia"/>
        </w:rPr>
        <w:t>中继跳数多：自动路由中继能力强，视频传输不小于8跳以上，扩大网络覆盖范围，提升自组网灵活性，增强网络应用环境的适用性。</w:t>
      </w:r>
    </w:p>
    <w:p w14:paraId="0E8F0900">
      <w:pPr>
        <w:pStyle w:val="15"/>
      </w:pPr>
      <w:r>
        <w:rPr>
          <w:rFonts w:hint="eastAsia"/>
        </w:rPr>
        <w:t>6.北斗网络设计</w:t>
      </w:r>
    </w:p>
    <w:p w14:paraId="2058FDCC">
      <w:pPr>
        <w:pStyle w:val="15"/>
      </w:pPr>
      <w:r>
        <w:rPr>
          <w:rFonts w:hint="eastAsia"/>
        </w:rPr>
        <w:t>（1）概述</w:t>
      </w:r>
    </w:p>
    <w:p w14:paraId="110D48D0">
      <w:pPr>
        <w:pStyle w:val="15"/>
      </w:pPr>
      <w:r>
        <w:rPr>
          <w:rFonts w:hint="eastAsia"/>
        </w:rPr>
        <w:t>北斗定位是中国北斗卫星导航系统（BDS）核心服务能力之一，指系统通过空间段卫星、地面段基础设施与用户段终端的协同工作，为全球用户提供全天候、全天时的位置确定服务，是北斗系统“定位、导航、授时（PNT）”核心功能的基础。北斗定位已深度融入生产生活各领域，成为关键基础设施支撑，广泛应用在交通运输、农林渔业、测绘地理信息、救灾减灾、民生服务等领域。</w:t>
      </w:r>
    </w:p>
    <w:p w14:paraId="45AF14E6">
      <w:pPr>
        <w:pStyle w:val="15"/>
      </w:pPr>
      <w:r>
        <w:rPr>
          <w:rFonts w:hint="eastAsia"/>
        </w:rPr>
        <w:t>（2）系统架构</w:t>
      </w:r>
    </w:p>
    <w:p w14:paraId="68C1A461">
      <w:pPr>
        <w:pStyle w:val="15"/>
      </w:pPr>
      <w:r>
        <w:rPr>
          <w:rFonts w:hint="eastAsia"/>
        </w:rPr>
        <w:t>北斗网络主要用于人员和车辆定位。</w:t>
      </w:r>
    </w:p>
    <w:p w14:paraId="67CBFB7F">
      <w:pPr>
        <w:pStyle w:val="44"/>
        <w:spacing w:before="0" w:after="0" w:line="240" w:lineRule="auto"/>
        <w:ind w:firstLine="0" w:firstLineChars="0"/>
        <w:jc w:val="center"/>
        <w:rPr>
          <w:rFonts w:hint="eastAsia"/>
        </w:rPr>
      </w:pPr>
      <w:r>
        <w:drawing>
          <wp:inline distT="0" distB="0" distL="0" distR="0">
            <wp:extent cx="5274310" cy="2831465"/>
            <wp:effectExtent l="0" t="0" r="13970" b="3175"/>
            <wp:docPr id="100495776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957769" name="图片 1"/>
                    <pic:cNvPicPr>
                      <a:picLocks noChangeAspect="1"/>
                    </pic:cNvPicPr>
                  </pic:nvPicPr>
                  <pic:blipFill>
                    <a:blip r:embed="rId37"/>
                    <a:stretch>
                      <a:fillRect/>
                    </a:stretch>
                  </pic:blipFill>
                  <pic:spPr>
                    <a:xfrm>
                      <a:off x="0" y="0"/>
                      <a:ext cx="5274310" cy="2831465"/>
                    </a:xfrm>
                    <a:prstGeom prst="rect">
                      <a:avLst/>
                    </a:prstGeom>
                  </pic:spPr>
                </pic:pic>
              </a:graphicData>
            </a:graphic>
          </wp:inline>
        </w:drawing>
      </w:r>
    </w:p>
    <w:p w14:paraId="177C244F">
      <w:pPr>
        <w:pStyle w:val="50"/>
        <w:spacing w:line="240" w:lineRule="auto"/>
        <w:ind w:firstLine="0" w:firstLineChars="0"/>
        <w:jc w:val="center"/>
        <w:rPr>
          <w:rFonts w:hint="eastAsia" w:ascii="黑体" w:hAnsi="黑体" w:eastAsia="黑体" w:cs="黑体"/>
          <w:sz w:val="20"/>
        </w:rPr>
      </w:pPr>
      <w:r>
        <w:rPr>
          <w:rFonts w:hint="eastAsia" w:ascii="黑体" w:hAnsi="黑体" w:eastAsia="黑体" w:cs="黑体"/>
          <w:sz w:val="20"/>
        </w:rPr>
        <w:t>图</w:t>
      </w:r>
      <w:r>
        <w:rPr>
          <w:rFonts w:hint="eastAsia" w:ascii="黑体" w:hAnsi="黑体" w:eastAsia="黑体" w:cs="黑体"/>
          <w:sz w:val="20"/>
        </w:rPr>
        <w:fldChar w:fldCharType="begin"/>
      </w:r>
      <w:r>
        <w:rPr>
          <w:rFonts w:hint="eastAsia" w:ascii="黑体" w:hAnsi="黑体" w:eastAsia="黑体" w:cs="黑体"/>
          <w:sz w:val="20"/>
        </w:rPr>
        <w:instrText xml:space="preserve"> STYLEREF 1 \s </w:instrText>
      </w:r>
      <w:r>
        <w:rPr>
          <w:rFonts w:hint="eastAsia" w:ascii="黑体" w:hAnsi="黑体" w:eastAsia="黑体" w:cs="黑体"/>
          <w:sz w:val="20"/>
        </w:rPr>
        <w:fldChar w:fldCharType="separate"/>
      </w:r>
      <w:r>
        <w:rPr>
          <w:rFonts w:hint="eastAsia" w:ascii="黑体" w:hAnsi="黑体" w:eastAsia="黑体" w:cs="黑体"/>
          <w:sz w:val="20"/>
        </w:rPr>
        <w:t>0</w:t>
      </w:r>
      <w:r>
        <w:rPr>
          <w:rFonts w:hint="eastAsia" w:ascii="黑体" w:hAnsi="黑体" w:eastAsia="黑体" w:cs="黑体"/>
          <w:sz w:val="20"/>
        </w:rPr>
        <w:fldChar w:fldCharType="end"/>
      </w:r>
      <w:r>
        <w:rPr>
          <w:rFonts w:hint="eastAsia" w:ascii="黑体" w:hAnsi="黑体" w:eastAsia="黑体" w:cs="黑体"/>
          <w:sz w:val="20"/>
        </w:rPr>
        <w:noBreakHyphen/>
      </w:r>
      <w:r>
        <w:rPr>
          <w:rFonts w:hint="eastAsia" w:ascii="黑体" w:hAnsi="黑体" w:eastAsia="黑体" w:cs="黑体"/>
          <w:sz w:val="20"/>
        </w:rPr>
        <w:fldChar w:fldCharType="begin"/>
      </w:r>
      <w:r>
        <w:rPr>
          <w:rFonts w:hint="eastAsia" w:ascii="黑体" w:hAnsi="黑体" w:eastAsia="黑体" w:cs="黑体"/>
          <w:sz w:val="20"/>
        </w:rPr>
        <w:instrText xml:space="preserve"> SEQ 图 \* ARABIC \s 1 </w:instrText>
      </w:r>
      <w:r>
        <w:rPr>
          <w:rFonts w:hint="eastAsia" w:ascii="黑体" w:hAnsi="黑体" w:eastAsia="黑体" w:cs="黑体"/>
          <w:sz w:val="20"/>
        </w:rPr>
        <w:fldChar w:fldCharType="separate"/>
      </w:r>
      <w:r>
        <w:rPr>
          <w:rFonts w:hint="eastAsia" w:ascii="黑体" w:hAnsi="黑体" w:eastAsia="黑体" w:cs="黑体"/>
          <w:sz w:val="20"/>
        </w:rPr>
        <w:t>33</w:t>
      </w:r>
      <w:r>
        <w:rPr>
          <w:rFonts w:hint="eastAsia" w:ascii="黑体" w:hAnsi="黑体" w:eastAsia="黑体" w:cs="黑体"/>
          <w:sz w:val="20"/>
        </w:rPr>
        <w:fldChar w:fldCharType="end"/>
      </w:r>
      <w:bookmarkStart w:id="53" w:name="_Toc892"/>
      <w:bookmarkStart w:id="54" w:name="_Toc15901"/>
      <w:r>
        <w:rPr>
          <w:rFonts w:hint="eastAsia" w:ascii="黑体" w:hAnsi="黑体" w:eastAsia="黑体" w:cs="黑体"/>
          <w:sz w:val="20"/>
        </w:rPr>
        <w:t>北斗网络系统组网图</w:t>
      </w:r>
      <w:bookmarkEnd w:id="53"/>
      <w:bookmarkEnd w:id="54"/>
    </w:p>
    <w:p w14:paraId="1089B721">
      <w:pPr>
        <w:pStyle w:val="15"/>
      </w:pPr>
      <w:r>
        <w:rPr>
          <w:rFonts w:hint="eastAsia"/>
        </w:rPr>
        <w:t>（3）系统部署</w:t>
      </w:r>
    </w:p>
    <w:p w14:paraId="0E432AF5">
      <w:pPr>
        <w:pStyle w:val="15"/>
      </w:pPr>
      <w:r>
        <w:rPr>
          <w:rFonts w:hint="eastAsia"/>
        </w:rPr>
        <w:t>在应急指挥中心部署1套北斗定位平台，提供人员和车辆的定位信息；</w:t>
      </w:r>
    </w:p>
    <w:p w14:paraId="41D3B4CC">
      <w:pPr>
        <w:pStyle w:val="15"/>
      </w:pPr>
      <w:r>
        <w:rPr>
          <w:rFonts w:hint="eastAsia"/>
        </w:rPr>
        <w:t>在通信指挥车上配备1台车辆单北斗定位终端；</w:t>
      </w:r>
    </w:p>
    <w:p w14:paraId="71CBCDFF">
      <w:pPr>
        <w:pStyle w:val="15"/>
      </w:pPr>
      <w:r>
        <w:rPr>
          <w:rFonts w:hint="eastAsia"/>
        </w:rPr>
        <w:t>在国家队中，为前突队配备5台手持单北斗定位终端和150台贴片定位终端；在省队中，为每支前突小分队配备1台手持单北斗定位终端10台贴片定位终端，共210台。</w:t>
      </w:r>
    </w:p>
    <w:p w14:paraId="32AAB250">
      <w:pPr>
        <w:pStyle w:val="44"/>
        <w:spacing w:before="0" w:after="0" w:line="240" w:lineRule="auto"/>
        <w:ind w:firstLine="0" w:firstLineChars="0"/>
        <w:jc w:val="center"/>
        <w:rPr>
          <w:rFonts w:hint="eastAsia"/>
        </w:rPr>
      </w:pPr>
      <w:r>
        <w:drawing>
          <wp:inline distT="0" distB="0" distL="0" distR="0">
            <wp:extent cx="4907280" cy="2900680"/>
            <wp:effectExtent l="0" t="0" r="0" b="10160"/>
            <wp:docPr id="61553376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5533765" name="图片 1"/>
                    <pic:cNvPicPr>
                      <a:picLocks noChangeAspect="1"/>
                    </pic:cNvPicPr>
                  </pic:nvPicPr>
                  <pic:blipFill>
                    <a:blip r:embed="rId38"/>
                    <a:stretch>
                      <a:fillRect/>
                    </a:stretch>
                  </pic:blipFill>
                  <pic:spPr>
                    <a:xfrm>
                      <a:off x="0" y="0"/>
                      <a:ext cx="4907280" cy="2900680"/>
                    </a:xfrm>
                    <a:prstGeom prst="rect">
                      <a:avLst/>
                    </a:prstGeom>
                  </pic:spPr>
                </pic:pic>
              </a:graphicData>
            </a:graphic>
          </wp:inline>
        </w:drawing>
      </w:r>
    </w:p>
    <w:p w14:paraId="59877882">
      <w:pPr>
        <w:pStyle w:val="50"/>
        <w:spacing w:line="240" w:lineRule="auto"/>
        <w:ind w:firstLine="0" w:firstLineChars="0"/>
        <w:jc w:val="center"/>
        <w:rPr>
          <w:rFonts w:hint="eastAsia" w:ascii="黑体" w:hAnsi="黑体" w:eastAsia="黑体" w:cs="黑体"/>
          <w:sz w:val="20"/>
        </w:rPr>
      </w:pPr>
      <w:r>
        <w:rPr>
          <w:rFonts w:hint="eastAsia" w:ascii="黑体" w:hAnsi="黑体" w:eastAsia="黑体" w:cs="黑体"/>
          <w:sz w:val="20"/>
        </w:rPr>
        <w:t>图</w:t>
      </w:r>
      <w:r>
        <w:rPr>
          <w:rFonts w:hint="eastAsia" w:ascii="黑体" w:hAnsi="黑体" w:eastAsia="黑体" w:cs="黑体"/>
          <w:sz w:val="20"/>
        </w:rPr>
        <w:fldChar w:fldCharType="begin"/>
      </w:r>
      <w:r>
        <w:rPr>
          <w:rFonts w:hint="eastAsia" w:ascii="黑体" w:hAnsi="黑体" w:eastAsia="黑体" w:cs="黑体"/>
          <w:sz w:val="20"/>
        </w:rPr>
        <w:instrText xml:space="preserve"> STYLEREF 1 \s </w:instrText>
      </w:r>
      <w:r>
        <w:rPr>
          <w:rFonts w:hint="eastAsia" w:ascii="黑体" w:hAnsi="黑体" w:eastAsia="黑体" w:cs="黑体"/>
          <w:sz w:val="20"/>
        </w:rPr>
        <w:fldChar w:fldCharType="separate"/>
      </w:r>
      <w:r>
        <w:rPr>
          <w:rFonts w:hint="eastAsia" w:ascii="黑体" w:hAnsi="黑体" w:eastAsia="黑体" w:cs="黑体"/>
          <w:sz w:val="20"/>
        </w:rPr>
        <w:t>0</w:t>
      </w:r>
      <w:r>
        <w:rPr>
          <w:rFonts w:hint="eastAsia" w:ascii="黑体" w:hAnsi="黑体" w:eastAsia="黑体" w:cs="黑体"/>
          <w:sz w:val="20"/>
        </w:rPr>
        <w:fldChar w:fldCharType="end"/>
      </w:r>
      <w:r>
        <w:rPr>
          <w:rFonts w:hint="eastAsia" w:ascii="黑体" w:hAnsi="黑体" w:eastAsia="黑体" w:cs="黑体"/>
          <w:sz w:val="20"/>
        </w:rPr>
        <w:noBreakHyphen/>
      </w:r>
      <w:r>
        <w:rPr>
          <w:rFonts w:hint="eastAsia" w:ascii="黑体" w:hAnsi="黑体" w:eastAsia="黑体" w:cs="黑体"/>
          <w:sz w:val="20"/>
        </w:rPr>
        <w:fldChar w:fldCharType="begin"/>
      </w:r>
      <w:r>
        <w:rPr>
          <w:rFonts w:hint="eastAsia" w:ascii="黑体" w:hAnsi="黑体" w:eastAsia="黑体" w:cs="黑体"/>
          <w:sz w:val="20"/>
        </w:rPr>
        <w:instrText xml:space="preserve"> SEQ 图 \* ARABIC \s 1 </w:instrText>
      </w:r>
      <w:r>
        <w:rPr>
          <w:rFonts w:hint="eastAsia" w:ascii="黑体" w:hAnsi="黑体" w:eastAsia="黑体" w:cs="黑体"/>
          <w:sz w:val="20"/>
        </w:rPr>
        <w:fldChar w:fldCharType="separate"/>
      </w:r>
      <w:r>
        <w:rPr>
          <w:rFonts w:hint="eastAsia" w:ascii="黑体" w:hAnsi="黑体" w:eastAsia="黑体" w:cs="黑体"/>
          <w:sz w:val="20"/>
        </w:rPr>
        <w:t>34</w:t>
      </w:r>
      <w:r>
        <w:rPr>
          <w:rFonts w:hint="eastAsia" w:ascii="黑体" w:hAnsi="黑体" w:eastAsia="黑体" w:cs="黑体"/>
          <w:sz w:val="20"/>
        </w:rPr>
        <w:fldChar w:fldCharType="end"/>
      </w:r>
      <w:bookmarkStart w:id="55" w:name="_Toc12086"/>
      <w:bookmarkStart w:id="56" w:name="_Toc23638"/>
      <w:r>
        <w:rPr>
          <w:rFonts w:hint="eastAsia" w:ascii="黑体" w:hAnsi="黑体" w:eastAsia="黑体" w:cs="黑体"/>
          <w:sz w:val="20"/>
        </w:rPr>
        <w:t>北斗网络系统部署图</w:t>
      </w:r>
      <w:bookmarkEnd w:id="55"/>
      <w:bookmarkEnd w:id="56"/>
    </w:p>
    <w:p w14:paraId="3D26FE13">
      <w:pPr>
        <w:pStyle w:val="15"/>
      </w:pPr>
      <w:r>
        <w:rPr>
          <w:rFonts w:hint="eastAsia"/>
        </w:rPr>
        <w:t>本项目为手持单北斗定位终端（数量26台）配备6000条/年的北斗三代短报文条数。</w:t>
      </w:r>
    </w:p>
    <w:p w14:paraId="1BEDF97E">
      <w:pPr>
        <w:pStyle w:val="9"/>
        <w:keepNext/>
        <w:keepLines/>
        <w:pageBreakBefore w:val="0"/>
        <w:widowControl w:val="0"/>
        <w:tabs>
          <w:tab w:val="left" w:pos="0"/>
        </w:tabs>
        <w:kinsoku/>
        <w:wordWrap/>
        <w:overflowPunct/>
        <w:topLinePunct w:val="0"/>
        <w:autoSpaceDE/>
        <w:autoSpaceDN/>
        <w:bidi w:val="0"/>
        <w:adjustRightInd w:val="0"/>
        <w:snapToGrid w:val="0"/>
        <w:spacing w:line="377" w:lineRule="auto"/>
        <w:ind w:left="0"/>
        <w:textAlignment w:val="auto"/>
      </w:pPr>
      <w:r>
        <w:rPr>
          <w:rFonts w:hint="eastAsia"/>
        </w:rPr>
        <w:t>业务流</w:t>
      </w:r>
    </w:p>
    <w:p w14:paraId="13892168">
      <w:pPr>
        <w:pStyle w:val="10"/>
        <w:keepNext/>
        <w:keepLines/>
        <w:pageBreakBefore w:val="0"/>
        <w:widowControl w:val="0"/>
        <w:tabs>
          <w:tab w:val="left" w:pos="0"/>
        </w:tabs>
        <w:kinsoku/>
        <w:wordWrap/>
        <w:overflowPunct/>
        <w:topLinePunct w:val="0"/>
        <w:autoSpaceDE/>
        <w:autoSpaceDN/>
        <w:bidi w:val="0"/>
        <w:adjustRightInd/>
        <w:snapToGrid/>
        <w:spacing w:line="320" w:lineRule="auto"/>
        <w:ind w:left="0"/>
        <w:textAlignment w:val="auto"/>
      </w:pPr>
      <w:r>
        <w:rPr>
          <w:rFonts w:hint="eastAsia"/>
        </w:rPr>
        <w:t>通信指挥车-指挥中心连接图</w:t>
      </w:r>
    </w:p>
    <w:p w14:paraId="0ED342F7">
      <w:pPr>
        <w:pStyle w:val="15"/>
      </w:pPr>
      <w:r>
        <w:rPr>
          <w:rFonts w:hint="eastAsia"/>
        </w:rPr>
        <w:t>通信指挥车（前指）至指挥中心（后指）的链路如下图所示，在有公网的情况下，优先使用公网进行传输；在无公网的情况下，使用卫星链路进行传输。</w:t>
      </w:r>
    </w:p>
    <w:p w14:paraId="59BCA956">
      <w:pPr>
        <w:pStyle w:val="44"/>
        <w:spacing w:before="0" w:after="0" w:line="240" w:lineRule="auto"/>
        <w:ind w:firstLine="0" w:firstLineChars="0"/>
        <w:jc w:val="center"/>
        <w:rPr>
          <w:rFonts w:hint="eastAsia"/>
        </w:rPr>
      </w:pPr>
      <w:r>
        <w:drawing>
          <wp:inline distT="0" distB="0" distL="0" distR="0">
            <wp:extent cx="4559935" cy="2720975"/>
            <wp:effectExtent l="0" t="0" r="12065" b="6985"/>
            <wp:docPr id="24868708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687089" name="图片 1"/>
                    <pic:cNvPicPr>
                      <a:picLocks noChangeAspect="1"/>
                    </pic:cNvPicPr>
                  </pic:nvPicPr>
                  <pic:blipFill>
                    <a:blip r:embed="rId39"/>
                    <a:stretch>
                      <a:fillRect/>
                    </a:stretch>
                  </pic:blipFill>
                  <pic:spPr>
                    <a:xfrm>
                      <a:off x="0" y="0"/>
                      <a:ext cx="4569149" cy="2726300"/>
                    </a:xfrm>
                    <a:prstGeom prst="rect">
                      <a:avLst/>
                    </a:prstGeom>
                  </pic:spPr>
                </pic:pic>
              </a:graphicData>
            </a:graphic>
          </wp:inline>
        </w:drawing>
      </w:r>
    </w:p>
    <w:p w14:paraId="35B93D82">
      <w:pPr>
        <w:pStyle w:val="19"/>
        <w:keepNext w:val="0"/>
        <w:widowControl w:val="0"/>
      </w:pPr>
      <w:r>
        <w:t xml:space="preserve">图 </w:t>
      </w:r>
      <w:r>
        <w:fldChar w:fldCharType="begin"/>
      </w:r>
      <w:r>
        <w:instrText xml:space="preserve"> STYLEREF 1 \s </w:instrText>
      </w:r>
      <w:r>
        <w:fldChar w:fldCharType="separate"/>
      </w:r>
      <w:r>
        <w:t>0</w:t>
      </w:r>
      <w:r>
        <w:rPr>
          <w:rFonts w:hint="eastAsia"/>
        </w:rPr>
        <w:fldChar w:fldCharType="end"/>
      </w:r>
      <w:r>
        <w:rPr>
          <w:rFonts w:hint="eastAsia"/>
        </w:rPr>
        <w:t>-</w:t>
      </w:r>
      <w:r>
        <w:fldChar w:fldCharType="begin"/>
      </w:r>
      <w:r>
        <w:instrText xml:space="preserve"> SEQ 图 \* ARABIC \s 1 </w:instrText>
      </w:r>
      <w:r>
        <w:fldChar w:fldCharType="separate"/>
      </w:r>
      <w:r>
        <w:t>35</w:t>
      </w:r>
      <w:r>
        <w:fldChar w:fldCharType="end"/>
      </w:r>
      <w:bookmarkStart w:id="57" w:name="_Toc25809"/>
      <w:r>
        <w:rPr>
          <w:rFonts w:hint="eastAsia"/>
        </w:rPr>
        <w:t>通信指挥车-指挥中心连接示意图</w:t>
      </w:r>
      <w:bookmarkEnd w:id="57"/>
    </w:p>
    <w:p w14:paraId="1E7961F8">
      <w:pPr>
        <w:pStyle w:val="10"/>
        <w:keepNext/>
        <w:keepLines/>
        <w:pageBreakBefore w:val="0"/>
        <w:widowControl w:val="0"/>
        <w:tabs>
          <w:tab w:val="left" w:pos="0"/>
        </w:tabs>
        <w:kinsoku/>
        <w:wordWrap/>
        <w:overflowPunct/>
        <w:topLinePunct w:val="0"/>
        <w:autoSpaceDE/>
        <w:autoSpaceDN/>
        <w:bidi w:val="0"/>
        <w:adjustRightInd/>
        <w:snapToGrid/>
        <w:spacing w:line="320" w:lineRule="auto"/>
        <w:ind w:left="0"/>
        <w:textAlignment w:val="auto"/>
      </w:pPr>
      <w:r>
        <w:rPr>
          <w:rFonts w:hint="eastAsia"/>
        </w:rPr>
        <w:t>音频承载网络业务流</w:t>
      </w:r>
    </w:p>
    <w:p w14:paraId="31B03459">
      <w:pPr>
        <w:pStyle w:val="15"/>
      </w:pPr>
      <w:r>
        <w:rPr>
          <w:rFonts w:hint="eastAsia"/>
        </w:rPr>
        <w:t>应急现场前端配备双模对讲机，音频信息承载网络主要以4/5G公网为主，天通网络为辅，实现在应急现场语音的互联互通。</w:t>
      </w:r>
    </w:p>
    <w:p w14:paraId="4FD4F839">
      <w:pPr>
        <w:pStyle w:val="15"/>
      </w:pPr>
      <w:r>
        <w:rPr>
          <w:rFonts w:hint="eastAsia"/>
        </w:rPr>
        <w:t>当应急现场有4G/5G公网信号时，双模对讲机优先选择公网回传至通信指挥车或指挥中心；当应急现场无4G/5G公网信号时，应急现场还可以通过天通网络（天通猫或卫星电话）进行回传。</w:t>
      </w:r>
    </w:p>
    <w:p w14:paraId="38437DE5">
      <w:pPr>
        <w:pStyle w:val="44"/>
        <w:spacing w:before="0" w:after="0" w:line="240" w:lineRule="auto"/>
        <w:ind w:firstLine="0" w:firstLineChars="0"/>
        <w:jc w:val="center"/>
        <w:rPr>
          <w:rFonts w:hint="eastAsia"/>
        </w:rPr>
      </w:pPr>
      <w:r>
        <w:drawing>
          <wp:inline distT="0" distB="0" distL="0" distR="0">
            <wp:extent cx="5274310" cy="3171190"/>
            <wp:effectExtent l="0" t="0" r="13970" b="13970"/>
            <wp:docPr id="36362000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620008" name="图片 1"/>
                    <pic:cNvPicPr>
                      <a:picLocks noChangeAspect="1"/>
                    </pic:cNvPicPr>
                  </pic:nvPicPr>
                  <pic:blipFill>
                    <a:blip r:embed="rId40"/>
                    <a:stretch>
                      <a:fillRect/>
                    </a:stretch>
                  </pic:blipFill>
                  <pic:spPr>
                    <a:xfrm>
                      <a:off x="0" y="0"/>
                      <a:ext cx="5274310" cy="3171190"/>
                    </a:xfrm>
                    <a:prstGeom prst="rect">
                      <a:avLst/>
                    </a:prstGeom>
                  </pic:spPr>
                </pic:pic>
              </a:graphicData>
            </a:graphic>
          </wp:inline>
        </w:drawing>
      </w:r>
    </w:p>
    <w:p w14:paraId="10419635">
      <w:pPr>
        <w:pStyle w:val="19"/>
        <w:keepNext w:val="0"/>
        <w:widowControl w:val="0"/>
      </w:pPr>
      <w:r>
        <w:t xml:space="preserve">图 </w:t>
      </w:r>
      <w:r>
        <w:fldChar w:fldCharType="begin"/>
      </w:r>
      <w:r>
        <w:instrText xml:space="preserve"> STYLEREF 1 \s </w:instrText>
      </w:r>
      <w:r>
        <w:fldChar w:fldCharType="separate"/>
      </w:r>
      <w:r>
        <w:t>0</w:t>
      </w:r>
      <w:r>
        <w:rPr>
          <w:rFonts w:hint="eastAsia"/>
        </w:rPr>
        <w:fldChar w:fldCharType="end"/>
      </w:r>
      <w:r>
        <w:rPr>
          <w:rFonts w:hint="eastAsia"/>
        </w:rPr>
        <w:t>-</w:t>
      </w:r>
      <w:r>
        <w:fldChar w:fldCharType="begin"/>
      </w:r>
      <w:r>
        <w:instrText xml:space="preserve"> SEQ 图 \* ARABIC \s 1 </w:instrText>
      </w:r>
      <w:r>
        <w:fldChar w:fldCharType="separate"/>
      </w:r>
      <w:r>
        <w:t>36</w:t>
      </w:r>
      <w:r>
        <w:fldChar w:fldCharType="end"/>
      </w:r>
      <w:bookmarkStart w:id="58" w:name="_Toc28786"/>
      <w:r>
        <w:rPr>
          <w:rFonts w:hint="eastAsia"/>
        </w:rPr>
        <w:t>音频承载网络业务流</w:t>
      </w:r>
      <w:bookmarkEnd w:id="58"/>
    </w:p>
    <w:p w14:paraId="3F2C24D4">
      <w:pPr>
        <w:pStyle w:val="10"/>
        <w:keepNext/>
        <w:keepLines/>
        <w:pageBreakBefore w:val="0"/>
        <w:widowControl w:val="0"/>
        <w:kinsoku/>
        <w:wordWrap/>
        <w:overflowPunct/>
        <w:topLinePunct w:val="0"/>
        <w:autoSpaceDE/>
        <w:autoSpaceDN/>
        <w:bidi w:val="0"/>
        <w:adjustRightInd/>
        <w:snapToGrid/>
        <w:spacing w:line="320" w:lineRule="auto"/>
        <w:ind w:left="0"/>
        <w:textAlignment w:val="auto"/>
      </w:pPr>
      <w:r>
        <w:rPr>
          <w:rFonts w:hint="eastAsia"/>
        </w:rPr>
        <w:t>视频、定位信息承载网络业务流</w:t>
      </w:r>
    </w:p>
    <w:p w14:paraId="1B8DADFD">
      <w:pPr>
        <w:pStyle w:val="15"/>
      </w:pPr>
      <w:r>
        <w:rPr>
          <w:rFonts w:hint="eastAsia"/>
        </w:rPr>
        <w:t>1.有公网的情形</w:t>
      </w:r>
    </w:p>
    <w:p w14:paraId="255875A3">
      <w:pPr>
        <w:pStyle w:val="15"/>
      </w:pPr>
      <w:r>
        <w:rPr>
          <w:rFonts w:hint="eastAsia"/>
        </w:rPr>
        <w:t>通过前突队配备布控球、智能头盔、单兵记录仪、手持单北斗定位终端、贴片定位终端，通信指挥车部署云台摄像机、车辆单北斗定位终端，实现前端图像、定位信息的采集。</w:t>
      </w:r>
    </w:p>
    <w:p w14:paraId="4DA5C6EE">
      <w:pPr>
        <w:pStyle w:val="15"/>
      </w:pPr>
      <w:r>
        <w:rPr>
          <w:rFonts w:hint="eastAsia"/>
        </w:rPr>
        <w:t>视频、定位信息承载网络主要以公网4G/5G网络为主进行回传。当有公网网络时，应急现场的智能头盔、布控球、单兵记录仪及手持单北斗定位终端、贴片定位终端、车辆单北斗定位终端等采集的音视频、定位信息优先通过4G/5G公网网络进行回传。</w:t>
      </w:r>
    </w:p>
    <w:p w14:paraId="6BCD74B2">
      <w:pPr>
        <w:pStyle w:val="44"/>
        <w:spacing w:before="0" w:after="0" w:line="240" w:lineRule="auto"/>
        <w:ind w:firstLine="0" w:firstLineChars="0"/>
        <w:jc w:val="center"/>
        <w:rPr>
          <w:rFonts w:hint="eastAsia"/>
        </w:rPr>
      </w:pPr>
      <w:r>
        <w:drawing>
          <wp:inline distT="0" distB="0" distL="0" distR="0">
            <wp:extent cx="5275580" cy="3158490"/>
            <wp:effectExtent l="0" t="0" r="12700" b="11430"/>
            <wp:docPr id="56775821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758214" name="图片 4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5275580" cy="3158490"/>
                    </a:xfrm>
                    <a:prstGeom prst="rect">
                      <a:avLst/>
                    </a:prstGeom>
                    <a:noFill/>
                    <a:ln>
                      <a:noFill/>
                    </a:ln>
                  </pic:spPr>
                </pic:pic>
              </a:graphicData>
            </a:graphic>
          </wp:inline>
        </w:drawing>
      </w:r>
    </w:p>
    <w:p w14:paraId="4402C182">
      <w:pPr>
        <w:pStyle w:val="50"/>
        <w:spacing w:line="240" w:lineRule="auto"/>
        <w:ind w:firstLine="0" w:firstLineChars="0"/>
        <w:jc w:val="center"/>
        <w:rPr>
          <w:rFonts w:hint="eastAsia"/>
          <w:sz w:val="21"/>
        </w:rPr>
      </w:pPr>
      <w:r>
        <w:rPr>
          <w:rFonts w:hint="eastAsia" w:ascii="黑体" w:hAnsi="黑体" w:eastAsia="黑体" w:cs="黑体"/>
          <w:sz w:val="20"/>
        </w:rPr>
        <w:t>图</w:t>
      </w:r>
      <w:r>
        <w:rPr>
          <w:rFonts w:hint="eastAsia" w:ascii="黑体" w:hAnsi="黑体" w:eastAsia="黑体" w:cs="黑体"/>
          <w:sz w:val="20"/>
        </w:rPr>
        <w:fldChar w:fldCharType="begin"/>
      </w:r>
      <w:r>
        <w:rPr>
          <w:rFonts w:hint="eastAsia" w:ascii="黑体" w:hAnsi="黑体" w:eastAsia="黑体" w:cs="黑体"/>
          <w:sz w:val="20"/>
        </w:rPr>
        <w:instrText xml:space="preserve"> STYLEREF 1 \s </w:instrText>
      </w:r>
      <w:r>
        <w:rPr>
          <w:rFonts w:hint="eastAsia" w:ascii="黑体" w:hAnsi="黑体" w:eastAsia="黑体" w:cs="黑体"/>
          <w:sz w:val="20"/>
        </w:rPr>
        <w:fldChar w:fldCharType="separate"/>
      </w:r>
      <w:r>
        <w:rPr>
          <w:rFonts w:hint="eastAsia" w:ascii="黑体" w:hAnsi="黑体" w:eastAsia="黑体" w:cs="黑体"/>
          <w:sz w:val="20"/>
        </w:rPr>
        <w:t>0</w:t>
      </w:r>
      <w:r>
        <w:rPr>
          <w:rFonts w:hint="eastAsia" w:ascii="黑体" w:hAnsi="黑体" w:eastAsia="黑体" w:cs="黑体"/>
          <w:sz w:val="20"/>
        </w:rPr>
        <w:fldChar w:fldCharType="end"/>
      </w:r>
      <w:r>
        <w:rPr>
          <w:rFonts w:hint="eastAsia" w:ascii="黑体" w:hAnsi="黑体" w:eastAsia="黑体" w:cs="黑体"/>
          <w:sz w:val="20"/>
        </w:rPr>
        <w:noBreakHyphen/>
      </w:r>
      <w:r>
        <w:rPr>
          <w:rFonts w:hint="eastAsia" w:ascii="黑体" w:hAnsi="黑体" w:eastAsia="黑体" w:cs="黑体"/>
          <w:sz w:val="20"/>
        </w:rPr>
        <w:fldChar w:fldCharType="begin"/>
      </w:r>
      <w:r>
        <w:rPr>
          <w:rFonts w:hint="eastAsia" w:ascii="黑体" w:hAnsi="黑体" w:eastAsia="黑体" w:cs="黑体"/>
          <w:sz w:val="20"/>
        </w:rPr>
        <w:instrText xml:space="preserve"> SEQ 图 \* ARABIC \s 1 </w:instrText>
      </w:r>
      <w:r>
        <w:rPr>
          <w:rFonts w:hint="eastAsia" w:ascii="黑体" w:hAnsi="黑体" w:eastAsia="黑体" w:cs="黑体"/>
          <w:sz w:val="20"/>
        </w:rPr>
        <w:fldChar w:fldCharType="separate"/>
      </w:r>
      <w:r>
        <w:rPr>
          <w:rFonts w:hint="eastAsia" w:ascii="黑体" w:hAnsi="黑体" w:eastAsia="黑体" w:cs="黑体"/>
          <w:sz w:val="20"/>
        </w:rPr>
        <w:t>37</w:t>
      </w:r>
      <w:r>
        <w:rPr>
          <w:rFonts w:hint="eastAsia" w:ascii="黑体" w:hAnsi="黑体" w:eastAsia="黑体" w:cs="黑体"/>
          <w:sz w:val="20"/>
        </w:rPr>
        <w:fldChar w:fldCharType="end"/>
      </w:r>
      <w:bookmarkStart w:id="59" w:name="_Toc26410"/>
      <w:r>
        <w:rPr>
          <w:rFonts w:hint="eastAsia" w:ascii="黑体" w:hAnsi="黑体" w:eastAsia="黑体" w:cs="黑体"/>
          <w:sz w:val="20"/>
        </w:rPr>
        <w:t xml:space="preserve"> 视频承载网络（有公网情形）业务流</w:t>
      </w:r>
      <w:bookmarkEnd w:id="59"/>
    </w:p>
    <w:p w14:paraId="38C660FC">
      <w:pPr>
        <w:pStyle w:val="15"/>
      </w:pPr>
      <w:r>
        <w:rPr>
          <w:rFonts w:hint="eastAsia"/>
        </w:rPr>
        <w:t>2.租赁应急通信车/空中应急通信服务情形</w:t>
      </w:r>
    </w:p>
    <w:p w14:paraId="2D836556">
      <w:pPr>
        <w:pStyle w:val="15"/>
      </w:pPr>
      <w:r>
        <w:rPr>
          <w:rFonts w:hint="eastAsia"/>
        </w:rPr>
        <w:t>当应急现场无公网网络时，可以租赁运营商的应急通信车或搭载有应急通信系统的直升机提供应急服务保障。应急通信车/空中应急直升机能提供应急4G/5G信号，应急现场的智能头盔、布控球、单兵记录仪及手持单北斗定位终端、贴片定位终端、车辆单北斗定位终端等采集的音视频、定位信息通过4G/5G应急网络进行回传。</w:t>
      </w:r>
    </w:p>
    <w:p w14:paraId="24D35A27">
      <w:pPr>
        <w:pStyle w:val="44"/>
        <w:spacing w:before="0" w:after="0" w:line="240" w:lineRule="auto"/>
        <w:ind w:firstLine="0" w:firstLineChars="0"/>
        <w:rPr>
          <w:rFonts w:hint="eastAsia"/>
        </w:rPr>
      </w:pPr>
      <w:r>
        <w:drawing>
          <wp:inline distT="0" distB="0" distL="0" distR="0">
            <wp:extent cx="5268595" cy="3158490"/>
            <wp:effectExtent l="0" t="0" r="4445" b="11430"/>
            <wp:docPr id="258259471"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259471" name="图片 4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5268595" cy="3158490"/>
                    </a:xfrm>
                    <a:prstGeom prst="rect">
                      <a:avLst/>
                    </a:prstGeom>
                    <a:noFill/>
                    <a:ln>
                      <a:noFill/>
                    </a:ln>
                  </pic:spPr>
                </pic:pic>
              </a:graphicData>
            </a:graphic>
          </wp:inline>
        </w:drawing>
      </w:r>
    </w:p>
    <w:p w14:paraId="5B364FB3">
      <w:pPr>
        <w:pStyle w:val="50"/>
        <w:spacing w:line="240" w:lineRule="auto"/>
        <w:ind w:firstLine="0" w:firstLineChars="0"/>
        <w:jc w:val="center"/>
        <w:rPr>
          <w:rFonts w:hint="eastAsia"/>
          <w:b/>
          <w:bCs/>
          <w:sz w:val="21"/>
          <w:szCs w:val="21"/>
        </w:rPr>
      </w:pPr>
      <w:r>
        <w:rPr>
          <w:rFonts w:hint="eastAsia" w:ascii="黑体" w:hAnsi="黑体" w:eastAsia="黑体" w:cs="黑体"/>
          <w:sz w:val="20"/>
        </w:rPr>
        <w:t>图</w:t>
      </w:r>
      <w:r>
        <w:rPr>
          <w:rFonts w:hint="eastAsia" w:ascii="黑体" w:hAnsi="黑体" w:eastAsia="黑体" w:cs="黑体"/>
          <w:sz w:val="20"/>
        </w:rPr>
        <w:fldChar w:fldCharType="begin"/>
      </w:r>
      <w:r>
        <w:rPr>
          <w:rFonts w:hint="eastAsia" w:ascii="黑体" w:hAnsi="黑体" w:eastAsia="黑体" w:cs="黑体"/>
          <w:sz w:val="20"/>
        </w:rPr>
        <w:instrText xml:space="preserve"> STYLEREF 1 \s </w:instrText>
      </w:r>
      <w:r>
        <w:rPr>
          <w:rFonts w:hint="eastAsia" w:ascii="黑体" w:hAnsi="黑体" w:eastAsia="黑体" w:cs="黑体"/>
          <w:sz w:val="20"/>
        </w:rPr>
        <w:fldChar w:fldCharType="separate"/>
      </w:r>
      <w:r>
        <w:rPr>
          <w:rFonts w:hint="eastAsia" w:ascii="黑体" w:hAnsi="黑体" w:eastAsia="黑体" w:cs="黑体"/>
          <w:sz w:val="20"/>
        </w:rPr>
        <w:t>0</w:t>
      </w:r>
      <w:r>
        <w:rPr>
          <w:rFonts w:hint="eastAsia" w:ascii="黑体" w:hAnsi="黑体" w:eastAsia="黑体" w:cs="黑体"/>
          <w:sz w:val="20"/>
        </w:rPr>
        <w:fldChar w:fldCharType="end"/>
      </w:r>
      <w:r>
        <w:rPr>
          <w:rFonts w:hint="eastAsia" w:ascii="黑体" w:hAnsi="黑体" w:eastAsia="黑体" w:cs="黑体"/>
          <w:sz w:val="20"/>
        </w:rPr>
        <w:noBreakHyphen/>
      </w:r>
      <w:r>
        <w:rPr>
          <w:rFonts w:hint="eastAsia" w:ascii="黑体" w:hAnsi="黑体" w:eastAsia="黑体" w:cs="黑体"/>
          <w:sz w:val="20"/>
        </w:rPr>
        <w:fldChar w:fldCharType="begin"/>
      </w:r>
      <w:r>
        <w:rPr>
          <w:rFonts w:hint="eastAsia" w:ascii="黑体" w:hAnsi="黑体" w:eastAsia="黑体" w:cs="黑体"/>
          <w:sz w:val="20"/>
        </w:rPr>
        <w:instrText xml:space="preserve"> SEQ 图 \* ARABIC \s 1 </w:instrText>
      </w:r>
      <w:r>
        <w:rPr>
          <w:rFonts w:hint="eastAsia" w:ascii="黑体" w:hAnsi="黑体" w:eastAsia="黑体" w:cs="黑体"/>
          <w:sz w:val="20"/>
        </w:rPr>
        <w:fldChar w:fldCharType="separate"/>
      </w:r>
      <w:r>
        <w:rPr>
          <w:rFonts w:hint="eastAsia" w:ascii="黑体" w:hAnsi="黑体" w:eastAsia="黑体" w:cs="黑体"/>
          <w:sz w:val="20"/>
        </w:rPr>
        <w:t>38</w:t>
      </w:r>
      <w:r>
        <w:rPr>
          <w:rFonts w:hint="eastAsia" w:ascii="黑体" w:hAnsi="黑体" w:eastAsia="黑体" w:cs="黑体"/>
          <w:sz w:val="20"/>
        </w:rPr>
        <w:fldChar w:fldCharType="end"/>
      </w:r>
      <w:bookmarkStart w:id="60" w:name="_Toc2730"/>
      <w:r>
        <w:rPr>
          <w:rFonts w:hint="eastAsia" w:ascii="黑体" w:hAnsi="黑体" w:eastAsia="黑体" w:cs="黑体"/>
          <w:sz w:val="20"/>
        </w:rPr>
        <w:t xml:space="preserve"> 视频承载网络（租赁应急通信服务情形）业务流</w:t>
      </w:r>
      <w:bookmarkEnd w:id="60"/>
    </w:p>
    <w:p w14:paraId="4D9C7572">
      <w:pPr>
        <w:pStyle w:val="15"/>
        <w:keepNext/>
        <w:keepLines w:val="0"/>
        <w:pageBreakBefore w:val="0"/>
        <w:widowControl/>
        <w:kinsoku/>
        <w:wordWrap/>
        <w:overflowPunct/>
        <w:topLinePunct w:val="0"/>
        <w:autoSpaceDE/>
        <w:autoSpaceDN/>
        <w:bidi w:val="0"/>
        <w:adjustRightInd/>
        <w:snapToGrid/>
        <w:textAlignment w:val="auto"/>
      </w:pPr>
      <w:r>
        <w:rPr>
          <w:rFonts w:hint="eastAsia"/>
        </w:rPr>
        <w:t>3.无公网未租赁应急通信服务情形</w:t>
      </w:r>
    </w:p>
    <w:p w14:paraId="06527414">
      <w:pPr>
        <w:pStyle w:val="15"/>
      </w:pPr>
      <w:r>
        <w:rPr>
          <w:rFonts w:hint="eastAsia"/>
        </w:rPr>
        <w:t>当周边无公网网络，且无法提供应急服务保障时，应急现场的智能头盔、布控球、单兵记录仪、单兵眼镜、手持单北斗定位终端等采集的音视频、定位信息通过Mesh自组网与宽带卫星网络进行传输。</w:t>
      </w:r>
    </w:p>
    <w:p w14:paraId="243BD8B1">
      <w:pPr>
        <w:pStyle w:val="44"/>
        <w:spacing w:before="0" w:after="0" w:line="240" w:lineRule="auto"/>
        <w:ind w:firstLine="0" w:firstLineChars="0"/>
        <w:jc w:val="center"/>
        <w:rPr>
          <w:rFonts w:hint="eastAsia"/>
        </w:rPr>
      </w:pPr>
      <w:r>
        <w:drawing>
          <wp:inline distT="0" distB="0" distL="0" distR="0">
            <wp:extent cx="5268595" cy="3172460"/>
            <wp:effectExtent l="0" t="0" r="4445" b="12700"/>
            <wp:docPr id="49362104"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62104" name="图片 4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5268595" cy="3172460"/>
                    </a:xfrm>
                    <a:prstGeom prst="rect">
                      <a:avLst/>
                    </a:prstGeom>
                    <a:noFill/>
                    <a:ln>
                      <a:noFill/>
                    </a:ln>
                  </pic:spPr>
                </pic:pic>
              </a:graphicData>
            </a:graphic>
          </wp:inline>
        </w:drawing>
      </w:r>
    </w:p>
    <w:p w14:paraId="26F4C556">
      <w:pPr>
        <w:pStyle w:val="50"/>
        <w:spacing w:line="240" w:lineRule="auto"/>
        <w:ind w:firstLine="0" w:firstLineChars="0"/>
        <w:jc w:val="center"/>
        <w:rPr>
          <w:rFonts w:hint="eastAsia" w:ascii="黑体" w:hAnsi="黑体" w:eastAsia="黑体" w:cs="黑体"/>
          <w:sz w:val="20"/>
        </w:rPr>
      </w:pPr>
      <w:r>
        <w:rPr>
          <w:rFonts w:hint="eastAsia" w:ascii="黑体" w:hAnsi="黑体" w:eastAsia="黑体" w:cs="黑体"/>
          <w:sz w:val="20"/>
        </w:rPr>
        <w:t>图</w:t>
      </w:r>
      <w:r>
        <w:rPr>
          <w:rFonts w:hint="eastAsia" w:ascii="黑体" w:hAnsi="黑体" w:eastAsia="黑体" w:cs="黑体"/>
          <w:sz w:val="20"/>
        </w:rPr>
        <w:fldChar w:fldCharType="begin"/>
      </w:r>
      <w:r>
        <w:rPr>
          <w:rFonts w:hint="eastAsia" w:ascii="黑体" w:hAnsi="黑体" w:eastAsia="黑体" w:cs="黑体"/>
          <w:sz w:val="20"/>
        </w:rPr>
        <w:instrText xml:space="preserve"> STYLEREF 1 \s </w:instrText>
      </w:r>
      <w:r>
        <w:rPr>
          <w:rFonts w:hint="eastAsia" w:ascii="黑体" w:hAnsi="黑体" w:eastAsia="黑体" w:cs="黑体"/>
          <w:sz w:val="20"/>
        </w:rPr>
        <w:fldChar w:fldCharType="separate"/>
      </w:r>
      <w:r>
        <w:rPr>
          <w:rFonts w:hint="eastAsia" w:ascii="黑体" w:hAnsi="黑体" w:eastAsia="黑体" w:cs="黑体"/>
          <w:sz w:val="20"/>
        </w:rPr>
        <w:t>0</w:t>
      </w:r>
      <w:r>
        <w:rPr>
          <w:rFonts w:hint="eastAsia" w:ascii="黑体" w:hAnsi="黑体" w:eastAsia="黑体" w:cs="黑体"/>
          <w:sz w:val="20"/>
        </w:rPr>
        <w:fldChar w:fldCharType="end"/>
      </w:r>
      <w:r>
        <w:rPr>
          <w:rFonts w:hint="eastAsia" w:ascii="黑体" w:hAnsi="黑体" w:eastAsia="黑体" w:cs="黑体"/>
          <w:sz w:val="20"/>
        </w:rPr>
        <w:noBreakHyphen/>
      </w:r>
      <w:r>
        <w:rPr>
          <w:rFonts w:hint="eastAsia" w:ascii="黑体" w:hAnsi="黑体" w:eastAsia="黑体" w:cs="黑体"/>
          <w:sz w:val="20"/>
        </w:rPr>
        <w:fldChar w:fldCharType="begin"/>
      </w:r>
      <w:r>
        <w:rPr>
          <w:rFonts w:hint="eastAsia" w:ascii="黑体" w:hAnsi="黑体" w:eastAsia="黑体" w:cs="黑体"/>
          <w:sz w:val="20"/>
        </w:rPr>
        <w:instrText xml:space="preserve"> SEQ 图 \* ARABIC \s 1 </w:instrText>
      </w:r>
      <w:r>
        <w:rPr>
          <w:rFonts w:hint="eastAsia" w:ascii="黑体" w:hAnsi="黑体" w:eastAsia="黑体" w:cs="黑体"/>
          <w:sz w:val="20"/>
        </w:rPr>
        <w:fldChar w:fldCharType="separate"/>
      </w:r>
      <w:r>
        <w:rPr>
          <w:rFonts w:hint="eastAsia" w:ascii="黑体" w:hAnsi="黑体" w:eastAsia="黑体" w:cs="黑体"/>
          <w:sz w:val="20"/>
        </w:rPr>
        <w:t>39</w:t>
      </w:r>
      <w:r>
        <w:rPr>
          <w:rFonts w:hint="eastAsia" w:ascii="黑体" w:hAnsi="黑体" w:eastAsia="黑体" w:cs="黑体"/>
          <w:sz w:val="20"/>
        </w:rPr>
        <w:fldChar w:fldCharType="end"/>
      </w:r>
      <w:bookmarkStart w:id="61" w:name="_Toc13829"/>
      <w:r>
        <w:rPr>
          <w:rFonts w:hint="eastAsia" w:ascii="黑体" w:hAnsi="黑体" w:eastAsia="黑体" w:cs="黑体"/>
          <w:sz w:val="20"/>
        </w:rPr>
        <w:t xml:space="preserve"> 视频承载网络（无公网未租赁应急通信服务情形）业务流</w:t>
      </w:r>
      <w:bookmarkEnd w:id="61"/>
    </w:p>
    <w:p w14:paraId="17432F37">
      <w:pPr>
        <w:pStyle w:val="15"/>
        <w:ind w:firstLine="602"/>
        <w:rPr>
          <w:rFonts w:eastAsia="黑体" w:cstheme="majorBidi"/>
          <w:b/>
          <w:bCs/>
          <w:color w:val="000000" w:themeColor="text1"/>
          <w:sz w:val="30"/>
          <w:szCs w:val="32"/>
          <w14:textFill>
            <w14:solidFill>
              <w14:schemeClr w14:val="tx1"/>
            </w14:solidFill>
          </w14:textFill>
        </w:rPr>
      </w:pPr>
    </w:p>
    <w:sectPr>
      <w:pgSz w:w="11906" w:h="16838"/>
      <w:pgMar w:top="1417" w:right="1418" w:bottom="1417" w:left="1418"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Calibri Light">
    <w:panose1 w:val="020F0302020204030204"/>
    <w:charset w:val="00"/>
    <w:family w:val="swiss"/>
    <w:pitch w:val="default"/>
    <w:sig w:usb0="E0002AFF" w:usb1="C000247B" w:usb2="00000009" w:usb3="00000000" w:csb0="200001FF"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B83E1C"/>
    <w:multiLevelType w:val="multilevel"/>
    <w:tmpl w:val="00B83E1C"/>
    <w:lvl w:ilvl="0" w:tentative="0">
      <w:start w:val="1"/>
      <w:numFmt w:val="decimal"/>
      <w:pStyle w:val="5"/>
      <w:suff w:val="space"/>
      <w:lvlText w:val="第%1章"/>
      <w:lvlJc w:val="left"/>
      <w:pPr>
        <w:ind w:left="0" w:firstLine="0"/>
      </w:pPr>
      <w:rPr>
        <w:rFonts w:hint="eastAsia"/>
      </w:rPr>
    </w:lvl>
    <w:lvl w:ilvl="1" w:tentative="0">
      <w:start w:val="1"/>
      <w:numFmt w:val="decimal"/>
      <w:pStyle w:val="6"/>
      <w:suff w:val="space"/>
      <w:lvlText w:val="%1.%2"/>
      <w:lvlJc w:val="left"/>
      <w:pPr>
        <w:ind w:left="0" w:firstLine="0"/>
      </w:pPr>
      <w:rPr>
        <w:rFonts w:hint="eastAsia"/>
      </w:rPr>
    </w:lvl>
    <w:lvl w:ilvl="2" w:tentative="0">
      <w:start w:val="1"/>
      <w:numFmt w:val="decimal"/>
      <w:pStyle w:val="7"/>
      <w:suff w:val="space"/>
      <w:lvlText w:val="%1.%2.%3"/>
      <w:lvlJc w:val="left"/>
      <w:pPr>
        <w:ind w:left="0" w:firstLine="0"/>
      </w:pPr>
      <w:rPr>
        <w:rFonts w:hint="eastAsia"/>
      </w:rPr>
    </w:lvl>
    <w:lvl w:ilvl="3" w:tentative="0">
      <w:start w:val="1"/>
      <w:numFmt w:val="decimal"/>
      <w:pStyle w:val="8"/>
      <w:suff w:val="space"/>
      <w:lvlText w:val="%1.%2.%3.%4"/>
      <w:lvlJc w:val="left"/>
      <w:pPr>
        <w:ind w:left="284" w:firstLine="0"/>
      </w:pPr>
      <w:rPr>
        <w:rFonts w:hint="eastAsia"/>
      </w:rPr>
    </w:lvl>
    <w:lvl w:ilvl="4" w:tentative="0">
      <w:start w:val="1"/>
      <w:numFmt w:val="decimal"/>
      <w:pStyle w:val="9"/>
      <w:suff w:val="space"/>
      <w:lvlText w:val="%1.%2.%3.%4.%5"/>
      <w:lvlJc w:val="left"/>
      <w:pPr>
        <w:ind w:left="710" w:firstLine="0"/>
      </w:pPr>
      <w:rPr>
        <w:rFonts w:hint="eastAsia"/>
      </w:rPr>
    </w:lvl>
    <w:lvl w:ilvl="5" w:tentative="0">
      <w:start w:val="1"/>
      <w:numFmt w:val="decimal"/>
      <w:pStyle w:val="10"/>
      <w:suff w:val="space"/>
      <w:lvlText w:val="%1.%2.%3.%4.%5.%6"/>
      <w:lvlJc w:val="left"/>
      <w:pPr>
        <w:ind w:left="568" w:firstLine="0"/>
      </w:pPr>
      <w:rPr>
        <w:rFonts w:hint="eastAsia"/>
      </w:rPr>
    </w:lvl>
    <w:lvl w:ilvl="6" w:tentative="0">
      <w:start w:val="1"/>
      <w:numFmt w:val="decimal"/>
      <w:suff w:val="space"/>
      <w:lvlText w:val="%1.%2.%3.%4.%5.%6.%7"/>
      <w:lvlJc w:val="left"/>
      <w:pPr>
        <w:ind w:left="0" w:firstLine="0"/>
      </w:pPr>
      <w:rPr>
        <w:rFonts w:hint="eastAsia"/>
      </w:rPr>
    </w:lvl>
    <w:lvl w:ilvl="7" w:tentative="0">
      <w:start w:val="1"/>
      <w:numFmt w:val="decimal"/>
      <w:suff w:val="space"/>
      <w:lvlText w:val="%1.%2.%3.%4.%5.%6.%7.%8"/>
      <w:lvlJc w:val="left"/>
      <w:pPr>
        <w:ind w:left="0" w:firstLine="0"/>
      </w:pPr>
      <w:rPr>
        <w:rFonts w:hint="eastAsia"/>
      </w:rPr>
    </w:lvl>
    <w:lvl w:ilvl="8" w:tentative="0">
      <w:start w:val="1"/>
      <w:numFmt w:val="decimal"/>
      <w:suff w:val="space"/>
      <w:lvlText w:val="%1.%2.%3.%4.%5.%6.%7.%8.%9"/>
      <w:lvlJc w:val="left"/>
      <w:pPr>
        <w:ind w:left="0" w:firstLine="0"/>
      </w:pPr>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zQ5MzM4NGJkNmU2YjZhOWMxMTcyNDNkZWIyM2IzYzgifQ=="/>
  </w:docVars>
  <w:rsids>
    <w:rsidRoot w:val="2A212BF9"/>
    <w:rsid w:val="00087074"/>
    <w:rsid w:val="000B693E"/>
    <w:rsid w:val="000D400C"/>
    <w:rsid w:val="00120E85"/>
    <w:rsid w:val="001B23B5"/>
    <w:rsid w:val="001D6F0C"/>
    <w:rsid w:val="002C4F38"/>
    <w:rsid w:val="00360434"/>
    <w:rsid w:val="00384C7E"/>
    <w:rsid w:val="004335F5"/>
    <w:rsid w:val="00444D7F"/>
    <w:rsid w:val="004505A4"/>
    <w:rsid w:val="004A0241"/>
    <w:rsid w:val="004C03F9"/>
    <w:rsid w:val="004D488D"/>
    <w:rsid w:val="004E2E57"/>
    <w:rsid w:val="00640E08"/>
    <w:rsid w:val="00676903"/>
    <w:rsid w:val="00676F69"/>
    <w:rsid w:val="00743D6A"/>
    <w:rsid w:val="007A4271"/>
    <w:rsid w:val="007F20E3"/>
    <w:rsid w:val="00834478"/>
    <w:rsid w:val="008476D7"/>
    <w:rsid w:val="008F22E6"/>
    <w:rsid w:val="0093305D"/>
    <w:rsid w:val="00977571"/>
    <w:rsid w:val="009A0095"/>
    <w:rsid w:val="009D124E"/>
    <w:rsid w:val="009E5941"/>
    <w:rsid w:val="00A33EF2"/>
    <w:rsid w:val="00BB13FF"/>
    <w:rsid w:val="00BD7FEC"/>
    <w:rsid w:val="00BE6AF1"/>
    <w:rsid w:val="00C07623"/>
    <w:rsid w:val="00CB1923"/>
    <w:rsid w:val="00CB469D"/>
    <w:rsid w:val="00E35F4C"/>
    <w:rsid w:val="00EC1F4E"/>
    <w:rsid w:val="00EC61D9"/>
    <w:rsid w:val="00EE4E56"/>
    <w:rsid w:val="00FB156C"/>
    <w:rsid w:val="01631C94"/>
    <w:rsid w:val="05917228"/>
    <w:rsid w:val="09030688"/>
    <w:rsid w:val="09A64A64"/>
    <w:rsid w:val="100B5492"/>
    <w:rsid w:val="10CA6BF4"/>
    <w:rsid w:val="17C27715"/>
    <w:rsid w:val="190E24E6"/>
    <w:rsid w:val="1DD07B01"/>
    <w:rsid w:val="209F500C"/>
    <w:rsid w:val="222138E3"/>
    <w:rsid w:val="23F00E68"/>
    <w:rsid w:val="25CE3729"/>
    <w:rsid w:val="28974A46"/>
    <w:rsid w:val="292A0C96"/>
    <w:rsid w:val="294C42DA"/>
    <w:rsid w:val="2A212BF9"/>
    <w:rsid w:val="2FB37AC1"/>
    <w:rsid w:val="309335A5"/>
    <w:rsid w:val="30AB637E"/>
    <w:rsid w:val="30D53BBD"/>
    <w:rsid w:val="31E367AE"/>
    <w:rsid w:val="31F021D3"/>
    <w:rsid w:val="34257C99"/>
    <w:rsid w:val="352769B2"/>
    <w:rsid w:val="35904CED"/>
    <w:rsid w:val="361C5DEB"/>
    <w:rsid w:val="371143AA"/>
    <w:rsid w:val="373959DD"/>
    <w:rsid w:val="3779005F"/>
    <w:rsid w:val="399C13BA"/>
    <w:rsid w:val="3AE35129"/>
    <w:rsid w:val="3F804B24"/>
    <w:rsid w:val="424C7A58"/>
    <w:rsid w:val="439B388B"/>
    <w:rsid w:val="457D7B1A"/>
    <w:rsid w:val="4A3E1CA5"/>
    <w:rsid w:val="51A25E57"/>
    <w:rsid w:val="53114AD1"/>
    <w:rsid w:val="55A35789"/>
    <w:rsid w:val="56AE04EC"/>
    <w:rsid w:val="57560358"/>
    <w:rsid w:val="5FE175D9"/>
    <w:rsid w:val="63231CB8"/>
    <w:rsid w:val="65B95E55"/>
    <w:rsid w:val="68BA6AE4"/>
    <w:rsid w:val="6974145B"/>
    <w:rsid w:val="6CB71DEE"/>
    <w:rsid w:val="6DAC0977"/>
    <w:rsid w:val="6DAC2F2D"/>
    <w:rsid w:val="6E6D7DC8"/>
    <w:rsid w:val="6E9E4306"/>
    <w:rsid w:val="703457B0"/>
    <w:rsid w:val="71844269"/>
    <w:rsid w:val="7420471D"/>
    <w:rsid w:val="76CE304C"/>
    <w:rsid w:val="778D20C9"/>
    <w:rsid w:val="78941451"/>
    <w:rsid w:val="79815C5D"/>
    <w:rsid w:val="7E5D626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0"/>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9" w:semiHidden="0" w:name="Normal"/>
    <w:lsdException w:qFormat="1" w:unhideWhenUsed="0" w:uiPriority="9" w:semiHidden="0" w:name="heading 1"/>
    <w:lsdException w:qFormat="1" w:unhideWhenUsed="0" w:uiPriority="9" w:semiHidden="0" w:name="heading 2"/>
    <w:lsdException w:qFormat="1" w:unhideWhenUsed="0" w:uiPriority="9" w:semiHidden="0" w:name="heading 3"/>
    <w:lsdException w:qFormat="1" w:unhideWhenUsed="0" w:uiPriority="9" w:semiHidden="0" w:name="heading 4"/>
    <w:lsdException w:qFormat="1" w:unhideWhenUsed="0" w:uiPriority="9"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iPriority="99" w:semiHidden="0" w:name="Normal Indent"/>
    <w:lsdException w:qFormat="1" w:unhideWhenUsed="0" w:uiPriority="99"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nhideWhenUsed="0" w:uiPriority="0" w:semiHidden="0" w:name="caption"/>
    <w:lsdException w:unhideWhenUsed="0" w:uiPriority="0" w:semiHidden="0" w:name="table of figures"/>
    <w:lsdException w:unhideWhenUsed="0" w:uiPriority="0" w:semiHidden="0" w:name="envelope address"/>
    <w:lsdException w:qFormat="1"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qFormat="1" w:uiPriority="99"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3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autoRedefine/>
    <w:qFormat/>
    <w:uiPriority w:val="9"/>
    <w:pPr>
      <w:widowControl w:val="0"/>
      <w:jc w:val="both"/>
    </w:pPr>
    <w:rPr>
      <w:rFonts w:asciiTheme="minorHAnsi" w:hAnsiTheme="minorHAnsi" w:eastAsiaTheme="minorEastAsia" w:cstheme="minorBidi"/>
      <w:kern w:val="2"/>
      <w:sz w:val="21"/>
      <w:szCs w:val="21"/>
      <w:lang w:val="en-US" w:eastAsia="zh-CN" w:bidi="ar-SA"/>
    </w:rPr>
  </w:style>
  <w:style w:type="paragraph" w:styleId="5">
    <w:name w:val="heading 1"/>
    <w:basedOn w:val="1"/>
    <w:next w:val="1"/>
    <w:qFormat/>
    <w:uiPriority w:val="9"/>
    <w:pPr>
      <w:keepNext/>
      <w:keepLines/>
      <w:pageBreakBefore/>
      <w:numPr>
        <w:ilvl w:val="0"/>
        <w:numId w:val="1"/>
      </w:numPr>
      <w:spacing w:before="240" w:beforeLines="50" w:afterLines="50" w:line="360" w:lineRule="auto"/>
      <w:jc w:val="center"/>
      <w:outlineLvl w:val="0"/>
    </w:pPr>
    <w:rPr>
      <w:rFonts w:ascii="等线" w:hAnsi="等线" w:eastAsia="黑体" w:cs="Times New Roman"/>
      <w:b/>
      <w:bCs/>
      <w:kern w:val="44"/>
      <w:sz w:val="32"/>
      <w:szCs w:val="44"/>
    </w:rPr>
  </w:style>
  <w:style w:type="paragraph" w:styleId="6">
    <w:name w:val="heading 2"/>
    <w:basedOn w:val="1"/>
    <w:next w:val="1"/>
    <w:autoRedefine/>
    <w:qFormat/>
    <w:uiPriority w:val="9"/>
    <w:pPr>
      <w:keepNext/>
      <w:keepLines/>
      <w:numPr>
        <w:ilvl w:val="1"/>
        <w:numId w:val="1"/>
      </w:numPr>
      <w:snapToGrid w:val="0"/>
      <w:spacing w:line="360" w:lineRule="auto"/>
      <w:contextualSpacing/>
      <w:outlineLvl w:val="1"/>
    </w:pPr>
    <w:rPr>
      <w:rFonts w:ascii="Times New Roman" w:hAnsi="Times New Roman" w:eastAsia="黑体" w:cstheme="majorBidi"/>
      <w:b/>
      <w:bCs/>
      <w:color w:val="000000" w:themeColor="text1"/>
      <w:sz w:val="30"/>
      <w:szCs w:val="32"/>
      <w14:textFill>
        <w14:solidFill>
          <w14:schemeClr w14:val="tx1"/>
        </w14:solidFill>
      </w14:textFill>
    </w:rPr>
  </w:style>
  <w:style w:type="paragraph" w:styleId="7">
    <w:name w:val="heading 3"/>
    <w:basedOn w:val="1"/>
    <w:next w:val="1"/>
    <w:link w:val="29"/>
    <w:autoRedefine/>
    <w:qFormat/>
    <w:uiPriority w:val="9"/>
    <w:pPr>
      <w:keepNext/>
      <w:keepLines/>
      <w:numPr>
        <w:ilvl w:val="2"/>
        <w:numId w:val="1"/>
      </w:numPr>
      <w:adjustRightInd w:val="0"/>
      <w:snapToGrid w:val="0"/>
      <w:spacing w:line="560" w:lineRule="exact"/>
      <w:contextualSpacing/>
      <w:outlineLvl w:val="2"/>
    </w:pPr>
    <w:rPr>
      <w:rFonts w:eastAsia="黑体"/>
      <w:b/>
      <w:bCs/>
      <w:color w:val="000000" w:themeColor="text1"/>
      <w:sz w:val="24"/>
      <w:szCs w:val="32"/>
      <w14:textFill>
        <w14:solidFill>
          <w14:schemeClr w14:val="tx1"/>
        </w14:solidFill>
      </w14:textFill>
    </w:rPr>
  </w:style>
  <w:style w:type="paragraph" w:styleId="8">
    <w:name w:val="heading 4"/>
    <w:basedOn w:val="7"/>
    <w:next w:val="9"/>
    <w:autoRedefine/>
    <w:qFormat/>
    <w:uiPriority w:val="9"/>
    <w:pPr>
      <w:numPr>
        <w:ilvl w:val="3"/>
      </w:numPr>
      <w:spacing w:before="280" w:after="290" w:line="376" w:lineRule="auto"/>
      <w:outlineLvl w:val="3"/>
    </w:pPr>
    <w:rPr>
      <w:rFonts w:ascii="Times New Roman" w:hAnsi="Times New Roman" w:cstheme="majorBidi"/>
      <w:sz w:val="28"/>
      <w:szCs w:val="28"/>
    </w:rPr>
  </w:style>
  <w:style w:type="paragraph" w:styleId="9">
    <w:name w:val="heading 5"/>
    <w:basedOn w:val="8"/>
    <w:next w:val="10"/>
    <w:autoRedefine/>
    <w:qFormat/>
    <w:uiPriority w:val="9"/>
    <w:pPr>
      <w:numPr>
        <w:ilvl w:val="4"/>
      </w:numPr>
      <w:outlineLvl w:val="4"/>
    </w:pPr>
    <w:rPr>
      <w:rFonts w:ascii="黑体"/>
      <w:sz w:val="24"/>
    </w:rPr>
  </w:style>
  <w:style w:type="paragraph" w:styleId="10">
    <w:name w:val="heading 6"/>
    <w:basedOn w:val="1"/>
    <w:next w:val="11"/>
    <w:qFormat/>
    <w:uiPriority w:val="0"/>
    <w:pPr>
      <w:keepNext/>
      <w:keepLines/>
      <w:numPr>
        <w:ilvl w:val="5"/>
        <w:numId w:val="1"/>
      </w:numPr>
      <w:spacing w:before="240" w:after="64" w:line="320" w:lineRule="auto"/>
      <w:outlineLvl w:val="5"/>
    </w:pPr>
    <w:rPr>
      <w:rFonts w:ascii="黑体" w:eastAsia="黑体" w:hAnsiTheme="majorHAnsi" w:cstheme="majorBidi"/>
      <w:b/>
      <w:bCs/>
      <w:sz w:val="24"/>
      <w:szCs w:val="24"/>
    </w:rPr>
  </w:style>
  <w:style w:type="paragraph" w:styleId="12">
    <w:name w:val="heading 7"/>
    <w:basedOn w:val="1"/>
    <w:next w:val="13"/>
    <w:link w:val="33"/>
    <w:autoRedefine/>
    <w:qFormat/>
    <w:uiPriority w:val="0"/>
    <w:pPr>
      <w:keepNext/>
      <w:widowControl/>
      <w:adjustRightInd w:val="0"/>
      <w:snapToGrid w:val="0"/>
      <w:spacing w:before="120" w:after="120" w:line="360" w:lineRule="auto"/>
      <w:contextualSpacing/>
      <w:jc w:val="left"/>
      <w:outlineLvl w:val="6"/>
    </w:pPr>
    <w:rPr>
      <w:rFonts w:ascii="Times New Roman" w:hAnsi="Times New Roman" w:eastAsia="宋体" w:cs="等线"/>
      <w:b/>
      <w:sz w:val="24"/>
    </w:rPr>
  </w:style>
  <w:style w:type="paragraph" w:styleId="14">
    <w:name w:val="heading 8"/>
    <w:basedOn w:val="1"/>
    <w:next w:val="15"/>
    <w:link w:val="34"/>
    <w:autoRedefine/>
    <w:qFormat/>
    <w:uiPriority w:val="0"/>
    <w:pPr>
      <w:keepNext/>
      <w:widowControl/>
      <w:snapToGrid w:val="0"/>
      <w:spacing w:before="120" w:after="120" w:line="360" w:lineRule="auto"/>
      <w:contextualSpacing/>
      <w:jc w:val="left"/>
      <w:outlineLvl w:val="7"/>
    </w:pPr>
    <w:rPr>
      <w:rFonts w:ascii="Times New Roman" w:hAnsi="Times New Roman" w:eastAsia="宋体" w:cs="等线"/>
      <w:b/>
      <w:sz w:val="24"/>
    </w:rPr>
  </w:style>
  <w:style w:type="paragraph" w:styleId="17">
    <w:name w:val="heading 9"/>
    <w:basedOn w:val="1"/>
    <w:next w:val="15"/>
    <w:link w:val="35"/>
    <w:autoRedefine/>
    <w:qFormat/>
    <w:uiPriority w:val="0"/>
    <w:pPr>
      <w:keepNext/>
      <w:widowControl/>
      <w:snapToGrid w:val="0"/>
      <w:spacing w:before="120" w:after="120" w:line="360" w:lineRule="auto"/>
      <w:contextualSpacing/>
      <w:jc w:val="left"/>
      <w:outlineLvl w:val="8"/>
    </w:pPr>
    <w:rPr>
      <w:rFonts w:ascii="Times New Roman" w:hAnsi="Times New Roman" w:eastAsia="宋体" w:cs="等线"/>
      <w:b/>
      <w:sz w:val="24"/>
    </w:rPr>
  </w:style>
  <w:style w:type="character" w:default="1" w:styleId="27">
    <w:name w:val="Default Paragraph Font"/>
    <w:semiHidden/>
    <w:unhideWhenUsed/>
    <w:qFormat/>
    <w:uiPriority w:val="1"/>
  </w:style>
  <w:style w:type="table" w:default="1" w:styleId="25">
    <w:name w:val="Normal Table"/>
    <w:semiHidden/>
    <w:unhideWhenUsed/>
    <w:qFormat/>
    <w:uiPriority w:val="99"/>
    <w:tblPr>
      <w:tblCellMar>
        <w:top w:w="0" w:type="dxa"/>
        <w:left w:w="108" w:type="dxa"/>
        <w:bottom w:w="0" w:type="dxa"/>
        <w:right w:w="108" w:type="dxa"/>
      </w:tblCellMar>
    </w:tblPr>
  </w:style>
  <w:style w:type="paragraph" w:styleId="2">
    <w:name w:val="Body Text"/>
    <w:basedOn w:val="1"/>
    <w:next w:val="3"/>
    <w:qFormat/>
    <w:uiPriority w:val="0"/>
    <w:pPr>
      <w:spacing w:after="120" w:line="360" w:lineRule="auto"/>
      <w:ind w:firstLine="200" w:firstLineChars="200"/>
    </w:pPr>
    <w:rPr>
      <w:rFonts w:ascii="Calibri" w:hAnsi="Calibri" w:eastAsia="宋体" w:cs="Times New Roman"/>
      <w:sz w:val="24"/>
      <w:szCs w:val="24"/>
    </w:rPr>
  </w:style>
  <w:style w:type="paragraph" w:styleId="3">
    <w:name w:val="Body Text First Indent 2"/>
    <w:basedOn w:val="4"/>
    <w:autoRedefine/>
    <w:qFormat/>
    <w:uiPriority w:val="0"/>
    <w:pPr>
      <w:spacing w:after="120"/>
      <w:ind w:left="420" w:leftChars="200" w:firstLine="420" w:firstLineChars="200"/>
    </w:pPr>
    <w:rPr>
      <w:sz w:val="21"/>
    </w:rPr>
  </w:style>
  <w:style w:type="paragraph" w:styleId="4">
    <w:name w:val="Body Text Indent"/>
    <w:basedOn w:val="1"/>
    <w:autoRedefine/>
    <w:qFormat/>
    <w:uiPriority w:val="0"/>
    <w:pPr>
      <w:ind w:firstLine="645"/>
    </w:pPr>
    <w:rPr>
      <w:rFonts w:ascii="Arial" w:hAnsi="Arial" w:eastAsia="仿宋_GB2312"/>
      <w:sz w:val="28"/>
    </w:rPr>
  </w:style>
  <w:style w:type="paragraph" w:customStyle="1" w:styleId="11">
    <w:name w:val="FC正文"/>
    <w:basedOn w:val="1"/>
    <w:qFormat/>
    <w:uiPriority w:val="0"/>
    <w:pPr>
      <w:spacing w:line="360" w:lineRule="auto"/>
      <w:ind w:firstLine="200" w:firstLineChars="200"/>
    </w:pPr>
    <w:rPr>
      <w:rFonts w:ascii="宋体" w:eastAsia="宋体" w:hAnsiTheme="minorEastAsia" w:cstheme="minorEastAsia"/>
      <w:sz w:val="24"/>
    </w:rPr>
  </w:style>
  <w:style w:type="paragraph" w:customStyle="1" w:styleId="13">
    <w:name w:val="HS   正文"/>
    <w:autoRedefine/>
    <w:qFormat/>
    <w:locked/>
    <w:uiPriority w:val="0"/>
    <w:pPr>
      <w:widowControl w:val="0"/>
      <w:snapToGrid w:val="0"/>
      <w:spacing w:before="50" w:beforeLines="50" w:after="50" w:afterLines="50" w:line="360" w:lineRule="auto"/>
      <w:ind w:firstLine="480" w:firstLineChars="200"/>
      <w:contextualSpacing/>
      <w:jc w:val="both"/>
    </w:pPr>
    <w:rPr>
      <w:rFonts w:ascii="宋体" w:hAnsi="宋体" w:eastAsia="宋体" w:cstheme="minorEastAsia"/>
      <w:kern w:val="2"/>
      <w:sz w:val="24"/>
      <w:szCs w:val="21"/>
      <w:lang w:val="en-US" w:eastAsia="zh-CN" w:bidi="ar-SA"/>
    </w:rPr>
  </w:style>
  <w:style w:type="paragraph" w:customStyle="1" w:styleId="15">
    <w:name w:val="KY1正文"/>
    <w:basedOn w:val="16"/>
    <w:link w:val="36"/>
    <w:autoRedefine/>
    <w:qFormat/>
    <w:uiPriority w:val="0"/>
    <w:pPr>
      <w:spacing w:line="360" w:lineRule="auto"/>
      <w:ind w:firstLine="480" w:firstLineChars="200"/>
    </w:pPr>
    <w:rPr>
      <w:rFonts w:cstheme="minorEastAsia"/>
      <w:sz w:val="24"/>
    </w:rPr>
  </w:style>
  <w:style w:type="paragraph" w:customStyle="1" w:styleId="16">
    <w:name w:val="!基准"/>
    <w:qFormat/>
    <w:uiPriority w:val="5"/>
    <w:rPr>
      <w:rFonts w:ascii="Times New Roman" w:hAnsi="Times New Roman" w:eastAsia="宋体" w:cstheme="minorBidi"/>
      <w:kern w:val="2"/>
      <w:sz w:val="21"/>
      <w:szCs w:val="21"/>
      <w:lang w:val="en-US" w:eastAsia="zh-CN" w:bidi="ar-SA"/>
    </w:rPr>
  </w:style>
  <w:style w:type="paragraph" w:styleId="18">
    <w:name w:val="Normal Indent"/>
    <w:basedOn w:val="1"/>
    <w:next w:val="1"/>
    <w:autoRedefine/>
    <w:unhideWhenUsed/>
    <w:qFormat/>
    <w:uiPriority w:val="99"/>
    <w:pPr>
      <w:ind w:firstLine="420" w:firstLineChars="200"/>
    </w:pPr>
  </w:style>
  <w:style w:type="paragraph" w:styleId="19">
    <w:name w:val="caption"/>
    <w:basedOn w:val="1"/>
    <w:next w:val="15"/>
    <w:link w:val="37"/>
    <w:autoRedefine/>
    <w:qFormat/>
    <w:uiPriority w:val="0"/>
    <w:pPr>
      <w:keepNext/>
      <w:widowControl/>
      <w:jc w:val="center"/>
    </w:pPr>
    <w:rPr>
      <w:rFonts w:ascii="Times New Roman" w:hAnsi="Times New Roman" w:eastAsia="黑体" w:cstheme="majorBidi"/>
      <w:sz w:val="20"/>
      <w:szCs w:val="20"/>
    </w:rPr>
  </w:style>
  <w:style w:type="paragraph" w:styleId="20">
    <w:name w:val="Body Text Indent 2"/>
    <w:basedOn w:val="1"/>
    <w:autoRedefine/>
    <w:unhideWhenUsed/>
    <w:qFormat/>
    <w:uiPriority w:val="99"/>
    <w:pPr>
      <w:widowControl/>
      <w:autoSpaceDN w:val="0"/>
      <w:spacing w:after="120" w:line="480" w:lineRule="auto"/>
      <w:ind w:left="420" w:leftChars="200"/>
    </w:pPr>
    <w:rPr>
      <w:kern w:val="0"/>
      <w:sz w:val="24"/>
      <w:szCs w:val="22"/>
      <w:lang w:eastAsia="en-US" w:bidi="en-US"/>
    </w:rPr>
  </w:style>
  <w:style w:type="paragraph" w:styleId="21">
    <w:name w:val="footer"/>
    <w:basedOn w:val="1"/>
    <w:link w:val="32"/>
    <w:autoRedefine/>
    <w:qFormat/>
    <w:uiPriority w:val="0"/>
    <w:pPr>
      <w:tabs>
        <w:tab w:val="center" w:pos="4153"/>
        <w:tab w:val="right" w:pos="8306"/>
      </w:tabs>
      <w:snapToGrid w:val="0"/>
      <w:jc w:val="left"/>
    </w:pPr>
    <w:rPr>
      <w:sz w:val="18"/>
      <w:szCs w:val="18"/>
    </w:rPr>
  </w:style>
  <w:style w:type="paragraph" w:styleId="22">
    <w:name w:val="envelope return"/>
    <w:basedOn w:val="1"/>
    <w:autoRedefine/>
    <w:qFormat/>
    <w:uiPriority w:val="0"/>
    <w:pPr>
      <w:snapToGrid w:val="0"/>
    </w:pPr>
    <w:rPr>
      <w:rFonts w:ascii="Arial" w:hAnsi="Arial" w:cs="Arial"/>
    </w:rPr>
  </w:style>
  <w:style w:type="paragraph" w:styleId="23">
    <w:name w:val="header"/>
    <w:basedOn w:val="1"/>
    <w:link w:val="31"/>
    <w:autoRedefine/>
    <w:qFormat/>
    <w:uiPriority w:val="0"/>
    <w:pPr>
      <w:tabs>
        <w:tab w:val="center" w:pos="4153"/>
        <w:tab w:val="right" w:pos="8306"/>
      </w:tabs>
      <w:snapToGrid w:val="0"/>
      <w:jc w:val="center"/>
    </w:pPr>
    <w:rPr>
      <w:sz w:val="18"/>
      <w:szCs w:val="18"/>
    </w:rPr>
  </w:style>
  <w:style w:type="paragraph" w:styleId="24">
    <w:name w:val="footnote text"/>
    <w:basedOn w:val="1"/>
    <w:autoRedefine/>
    <w:qFormat/>
    <w:uiPriority w:val="99"/>
    <w:pPr>
      <w:snapToGrid w:val="0"/>
    </w:pPr>
    <w:rPr>
      <w:kern w:val="0"/>
      <w:sz w:val="18"/>
      <w:szCs w:val="18"/>
    </w:rPr>
  </w:style>
  <w:style w:type="table" w:styleId="26">
    <w:name w:val="Table Grid"/>
    <w:basedOn w:val="25"/>
    <w:autoRedefine/>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8">
    <w:name w:val="AA正文"/>
    <w:basedOn w:val="1"/>
    <w:autoRedefine/>
    <w:qFormat/>
    <w:uiPriority w:val="0"/>
    <w:pPr>
      <w:snapToGrid w:val="0"/>
      <w:spacing w:line="360" w:lineRule="auto"/>
      <w:ind w:firstLine="200" w:firstLineChars="200"/>
    </w:pPr>
    <w:rPr>
      <w:sz w:val="24"/>
      <w:szCs w:val="24"/>
    </w:rPr>
  </w:style>
  <w:style w:type="character" w:customStyle="1" w:styleId="29">
    <w:name w:val="标题 3 字符"/>
    <w:link w:val="7"/>
    <w:autoRedefine/>
    <w:qFormat/>
    <w:uiPriority w:val="0"/>
    <w:rPr>
      <w:rFonts w:eastAsia="黑体" w:asciiTheme="minorHAnsi" w:hAnsiTheme="minorHAnsi" w:cstheme="minorBidi"/>
      <w:b/>
      <w:bCs/>
      <w:color w:val="000000" w:themeColor="text1"/>
      <w:kern w:val="2"/>
      <w:sz w:val="24"/>
      <w:szCs w:val="32"/>
      <w:lang w:val="en-US" w:eastAsia="zh-CN" w:bidi="ar-SA"/>
      <w14:textFill>
        <w14:solidFill>
          <w14:schemeClr w14:val="tx1"/>
        </w14:solidFill>
      </w14:textFill>
    </w:rPr>
  </w:style>
  <w:style w:type="paragraph" w:customStyle="1" w:styleId="30">
    <w:name w:val="yhw3"/>
    <w:basedOn w:val="1"/>
    <w:autoRedefine/>
    <w:qFormat/>
    <w:uiPriority w:val="0"/>
    <w:pPr>
      <w:ind w:firstLine="640" w:firstLineChars="200"/>
    </w:pPr>
    <w:rPr>
      <w:rFonts w:cs="宋体"/>
    </w:rPr>
  </w:style>
  <w:style w:type="character" w:customStyle="1" w:styleId="31">
    <w:name w:val="页眉 字符"/>
    <w:basedOn w:val="27"/>
    <w:link w:val="23"/>
    <w:autoRedefine/>
    <w:qFormat/>
    <w:uiPriority w:val="0"/>
    <w:rPr>
      <w:kern w:val="2"/>
      <w:sz w:val="18"/>
      <w:szCs w:val="18"/>
    </w:rPr>
  </w:style>
  <w:style w:type="character" w:customStyle="1" w:styleId="32">
    <w:name w:val="页脚 字符"/>
    <w:basedOn w:val="27"/>
    <w:link w:val="21"/>
    <w:autoRedefine/>
    <w:qFormat/>
    <w:uiPriority w:val="0"/>
    <w:rPr>
      <w:kern w:val="2"/>
      <w:sz w:val="18"/>
      <w:szCs w:val="18"/>
    </w:rPr>
  </w:style>
  <w:style w:type="character" w:customStyle="1" w:styleId="33">
    <w:name w:val="标题 7 字符"/>
    <w:basedOn w:val="27"/>
    <w:link w:val="12"/>
    <w:autoRedefine/>
    <w:qFormat/>
    <w:uiPriority w:val="1"/>
    <w:rPr>
      <w:rFonts w:ascii="Times New Roman" w:hAnsi="Times New Roman" w:eastAsia="宋体" w:cs="等线"/>
      <w:b/>
      <w:kern w:val="2"/>
      <w:sz w:val="24"/>
      <w:szCs w:val="21"/>
    </w:rPr>
  </w:style>
  <w:style w:type="character" w:customStyle="1" w:styleId="34">
    <w:name w:val="标题 8 字符"/>
    <w:basedOn w:val="27"/>
    <w:link w:val="14"/>
    <w:autoRedefine/>
    <w:qFormat/>
    <w:uiPriority w:val="1"/>
    <w:rPr>
      <w:rFonts w:ascii="Times New Roman" w:hAnsi="Times New Roman" w:eastAsia="宋体" w:cs="等线"/>
      <w:b/>
      <w:kern w:val="2"/>
      <w:sz w:val="24"/>
      <w:szCs w:val="21"/>
    </w:rPr>
  </w:style>
  <w:style w:type="character" w:customStyle="1" w:styleId="35">
    <w:name w:val="标题 9 字符"/>
    <w:basedOn w:val="27"/>
    <w:link w:val="17"/>
    <w:autoRedefine/>
    <w:qFormat/>
    <w:uiPriority w:val="1"/>
    <w:rPr>
      <w:rFonts w:ascii="Times New Roman" w:hAnsi="Times New Roman" w:eastAsia="宋体" w:cs="等线"/>
      <w:b/>
      <w:kern w:val="2"/>
      <w:sz w:val="24"/>
      <w:szCs w:val="21"/>
    </w:rPr>
  </w:style>
  <w:style w:type="character" w:customStyle="1" w:styleId="36">
    <w:name w:val="KY1正文 字符"/>
    <w:link w:val="15"/>
    <w:autoRedefine/>
    <w:qFormat/>
    <w:uiPriority w:val="0"/>
    <w:rPr>
      <w:rFonts w:ascii="Times New Roman" w:hAnsi="Times New Roman" w:eastAsia="宋体" w:cstheme="minorEastAsia"/>
      <w:kern w:val="2"/>
      <w:sz w:val="24"/>
      <w:szCs w:val="21"/>
    </w:rPr>
  </w:style>
  <w:style w:type="character" w:customStyle="1" w:styleId="37">
    <w:name w:val="题注 字符"/>
    <w:link w:val="19"/>
    <w:autoRedefine/>
    <w:qFormat/>
    <w:uiPriority w:val="99"/>
    <w:rPr>
      <w:rFonts w:ascii="Times New Roman" w:hAnsi="Times New Roman" w:eastAsia="黑体" w:cstheme="majorBidi"/>
      <w:kern w:val="2"/>
    </w:rPr>
  </w:style>
  <w:style w:type="paragraph" w:customStyle="1" w:styleId="38">
    <w:name w:val="KY3表文"/>
    <w:basedOn w:val="1"/>
    <w:link w:val="39"/>
    <w:autoRedefine/>
    <w:qFormat/>
    <w:uiPriority w:val="0"/>
    <w:pPr>
      <w:widowControl/>
      <w:snapToGrid w:val="0"/>
      <w:contextualSpacing/>
      <w:jc w:val="center"/>
    </w:pPr>
    <w:rPr>
      <w:rFonts w:ascii="Times New Roman" w:hAnsi="Times New Roman" w:eastAsia="宋体" w:cs="Times New Roman"/>
      <w:color w:val="000000" w:themeColor="text1"/>
      <w:kern w:val="0"/>
      <w:szCs w:val="24"/>
      <w14:textFill>
        <w14:solidFill>
          <w14:schemeClr w14:val="tx1"/>
        </w14:solidFill>
      </w14:textFill>
    </w:rPr>
  </w:style>
  <w:style w:type="character" w:customStyle="1" w:styleId="39">
    <w:name w:val="KY3表文 字符"/>
    <w:basedOn w:val="27"/>
    <w:link w:val="38"/>
    <w:autoRedefine/>
    <w:qFormat/>
    <w:uiPriority w:val="0"/>
    <w:rPr>
      <w:rFonts w:ascii="Times New Roman" w:hAnsi="Times New Roman" w:eastAsia="宋体" w:cs="Times New Roman"/>
      <w:color w:val="000000" w:themeColor="text1"/>
      <w:sz w:val="21"/>
      <w:szCs w:val="24"/>
      <w14:textFill>
        <w14:solidFill>
          <w14:schemeClr w14:val="tx1"/>
        </w14:solidFill>
      </w14:textFill>
    </w:rPr>
  </w:style>
  <w:style w:type="table" w:customStyle="1" w:styleId="40">
    <w:name w:val="FC16"/>
    <w:basedOn w:val="25"/>
    <w:autoRedefine/>
    <w:qFormat/>
    <w:uiPriority w:val="99"/>
    <w:pPr>
      <w:jc w:val="center"/>
    </w:pPr>
    <w:rPr>
      <w:rFonts w:ascii="Calibri" w:hAnsi="Calibri" w:eastAsia="宋体" w:cs="Times New Roman"/>
    </w:rPr>
    <w:tblPr>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Pr>
    <w:tcPr>
      <w:shd w:val="clear" w:color="auto" w:fill="FFFFFF"/>
      <w:vAlign w:val="center"/>
    </w:tcPr>
    <w:tblStylePr w:type="firstRow">
      <w:tcPr>
        <w:tcBorders>
          <w:top w:val="double" w:color="auto" w:sz="4" w:space="0"/>
        </w:tcBorders>
        <w:shd w:val="clear" w:color="auto" w:fill="D9D9D9"/>
      </w:tcPr>
    </w:tblStylePr>
    <w:tblStylePr w:type="lastRow">
      <w:tcPr>
        <w:tcBorders>
          <w:bottom w:val="double" w:color="auto" w:sz="4" w:space="0"/>
        </w:tcBorders>
        <w:shd w:val="clear" w:color="auto" w:fill="FFFFFF"/>
      </w:tcPr>
    </w:tblStylePr>
    <w:tblStylePr w:type="firstCol">
      <w:tcPr>
        <w:tcBorders>
          <w:top w:val="nil"/>
          <w:left w:val="double" w:color="auto" w:sz="4" w:space="0"/>
        </w:tcBorders>
      </w:tcPr>
    </w:tblStylePr>
    <w:tblStylePr w:type="lastCol">
      <w:tcPr>
        <w:tcBorders>
          <w:right w:val="double" w:color="auto" w:sz="4" w:space="0"/>
        </w:tcBorders>
        <w:shd w:val="clear" w:color="auto" w:fill="FFFFFF"/>
      </w:tcPr>
    </w:tblStylePr>
  </w:style>
  <w:style w:type="character" w:customStyle="1" w:styleId="41">
    <w:name w:val="本文正文 Char"/>
    <w:basedOn w:val="27"/>
    <w:link w:val="42"/>
    <w:autoRedefine/>
    <w:qFormat/>
    <w:uiPriority w:val="0"/>
    <w:rPr>
      <w:rFonts w:ascii="Calibri" w:hAnsi="Calibri" w:eastAsia="宋体" w:cs="Times New Roman"/>
      <w:sz w:val="28"/>
      <w:szCs w:val="28"/>
    </w:rPr>
  </w:style>
  <w:style w:type="paragraph" w:customStyle="1" w:styleId="42">
    <w:name w:val="本文正文"/>
    <w:basedOn w:val="1"/>
    <w:link w:val="41"/>
    <w:qFormat/>
    <w:uiPriority w:val="0"/>
    <w:pPr>
      <w:ind w:right="280" w:rightChars="100" w:firstLine="560"/>
    </w:pPr>
    <w:rPr>
      <w:rFonts w:ascii="Calibri" w:hAnsi="Calibri" w:eastAsia="宋体" w:cs="Times New Roman"/>
      <w:kern w:val="0"/>
      <w:sz w:val="28"/>
      <w:szCs w:val="28"/>
    </w:rPr>
  </w:style>
  <w:style w:type="table" w:customStyle="1" w:styleId="43">
    <w:name w:val="KYbg2020"/>
    <w:basedOn w:val="25"/>
    <w:autoRedefine/>
    <w:qFormat/>
    <w:uiPriority w:val="99"/>
    <w:pPr>
      <w:widowControl w:val="0"/>
      <w:snapToGrid w:val="0"/>
      <w:contextualSpacing/>
      <w:jc w:val="center"/>
    </w:pPr>
    <w:rPr>
      <w:color w:val="7030A0"/>
    </w:rPr>
    <w:tblPr>
      <w:jc w:val="center"/>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left w:w="0" w:type="dxa"/>
        <w:right w:w="0" w:type="dxa"/>
      </w:tblCellMar>
    </w:tblPr>
    <w:trPr>
      <w:jc w:val="center"/>
    </w:trPr>
    <w:tcPr>
      <w:vAlign w:val="center"/>
    </w:tcPr>
    <w:tblStylePr w:type="firstRow">
      <w:rPr>
        <w:rFonts w:eastAsia="宋体"/>
        <w:b/>
        <w:sz w:val="21"/>
      </w:rPr>
      <w:tblPr/>
      <w:trPr>
        <w:tblHeader/>
      </w:trPr>
      <w:tcPr>
        <w:tcBorders>
          <w:top w:val="double" w:color="auto" w:sz="4" w:space="0"/>
          <w:left w:val="double" w:color="auto" w:sz="4" w:space="0"/>
          <w:bottom w:val="single" w:color="auto" w:sz="4" w:space="0"/>
          <w:right w:val="double" w:color="auto" w:sz="4" w:space="0"/>
          <w:insideH w:val="nil"/>
          <w:insideV w:val="single" w:sz="4" w:space="0"/>
          <w:tl2br w:val="nil"/>
          <w:tr2bl w:val="nil"/>
        </w:tcBorders>
        <w:shd w:val="clear" w:color="auto" w:fill="BFBFBF"/>
      </w:tcPr>
    </w:tblStylePr>
  </w:style>
  <w:style w:type="paragraph" w:customStyle="1" w:styleId="44">
    <w:name w:val="HS正文"/>
    <w:basedOn w:val="1"/>
    <w:qFormat/>
    <w:uiPriority w:val="0"/>
    <w:pPr>
      <w:spacing w:before="120" w:after="120" w:line="360" w:lineRule="auto"/>
      <w:ind w:firstLine="200" w:firstLineChars="200"/>
      <w:contextualSpacing/>
    </w:pPr>
    <w:rPr>
      <w:rFonts w:ascii="宋体" w:hAnsi="宋体" w:eastAsia="宋体"/>
      <w:sz w:val="24"/>
      <w:szCs w:val="24"/>
    </w:rPr>
  </w:style>
  <w:style w:type="paragraph" w:customStyle="1" w:styleId="45">
    <w:name w:val="正文（SANGFOR）"/>
    <w:basedOn w:val="1"/>
    <w:qFormat/>
    <w:uiPriority w:val="0"/>
    <w:pPr>
      <w:tabs>
        <w:tab w:val="right" w:pos="9031"/>
      </w:tabs>
      <w:autoSpaceDE w:val="0"/>
      <w:autoSpaceDN w:val="0"/>
      <w:adjustRightInd w:val="0"/>
      <w:spacing w:before="80" w:after="80" w:line="300" w:lineRule="auto"/>
      <w:ind w:left="567"/>
    </w:pPr>
    <w:rPr>
      <w:rFonts w:ascii="Arial" w:hAnsi="Arial" w:eastAsia="宋体" w:cs="Times New Roman"/>
      <w:kern w:val="0"/>
      <w:sz w:val="20"/>
    </w:rPr>
  </w:style>
  <w:style w:type="table" w:customStyle="1" w:styleId="46">
    <w:name w:val="FC1"/>
    <w:basedOn w:val="25"/>
    <w:autoRedefine/>
    <w:qFormat/>
    <w:uiPriority w:val="99"/>
    <w:pPr>
      <w:jc w:val="both"/>
    </w:pPr>
    <w:rPr>
      <w:szCs w:val="21"/>
    </w:rPr>
    <w:tblPr>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Pr>
    <w:tcPr>
      <w:vAlign w:val="center"/>
    </w:tcPr>
    <w:tblStylePr w:type="firstRow">
      <w:rPr>
        <w:b/>
      </w:rPr>
      <w:tcPr>
        <w:tcBorders>
          <w:top w:val="double" w:color="auto" w:sz="4" w:space="0"/>
          <w:left w:val="double" w:color="auto" w:sz="4" w:space="0"/>
          <w:bottom w:val="single" w:color="auto" w:sz="4" w:space="0"/>
          <w:right w:val="double" w:color="auto" w:sz="4" w:space="0"/>
          <w:insideH w:val="nil"/>
          <w:insideV w:val="single" w:sz="4" w:space="0"/>
          <w:tl2br w:val="nil"/>
          <w:tr2bl w:val="nil"/>
        </w:tcBorders>
        <w:shd w:val="clear" w:color="auto" w:fill="BFBFBF"/>
      </w:tcPr>
    </w:tblStylePr>
  </w:style>
  <w:style w:type="paragraph" w:customStyle="1" w:styleId="47">
    <w:name w:val="KY5图片"/>
    <w:basedOn w:val="1"/>
    <w:next w:val="1"/>
    <w:link w:val="49"/>
    <w:qFormat/>
    <w:uiPriority w:val="0"/>
    <w:pPr>
      <w:keepNext/>
      <w:widowControl/>
      <w:adjustRightInd w:val="0"/>
      <w:snapToGrid w:val="0"/>
      <w:jc w:val="center"/>
    </w:pPr>
    <w:rPr>
      <w:rFonts w:ascii="Times New Roman" w:hAnsi="Times New Roman" w:eastAsia="黑体" w:cs="Times New Roman"/>
      <w:color w:val="00B050"/>
      <w:szCs w:val="24"/>
    </w:rPr>
  </w:style>
  <w:style w:type="paragraph" w:customStyle="1" w:styleId="48">
    <w:name w:val="KY4图注"/>
    <w:basedOn w:val="1"/>
    <w:next w:val="1"/>
    <w:qFormat/>
    <w:uiPriority w:val="0"/>
    <w:pPr>
      <w:widowControl/>
      <w:adjustRightInd w:val="0"/>
      <w:snapToGrid w:val="0"/>
      <w:spacing w:after="50" w:afterLines="50"/>
      <w:jc w:val="center"/>
    </w:pPr>
    <w:rPr>
      <w:rFonts w:ascii="Times New Roman" w:hAnsi="Times New Roman" w:eastAsia="黑体"/>
      <w:sz w:val="20"/>
      <w:szCs w:val="72"/>
    </w:rPr>
  </w:style>
  <w:style w:type="character" w:customStyle="1" w:styleId="49">
    <w:name w:val="KY5图片 Char"/>
    <w:link w:val="47"/>
    <w:qFormat/>
    <w:uiPriority w:val="0"/>
    <w:rPr>
      <w:rFonts w:ascii="Times New Roman" w:hAnsi="Times New Roman" w:eastAsia="黑体" w:cs="Times New Roman"/>
      <w:color w:val="00B050"/>
      <w:szCs w:val="24"/>
    </w:rPr>
  </w:style>
  <w:style w:type="paragraph" w:customStyle="1" w:styleId="50">
    <w:name w:val="正文内容"/>
    <w:qFormat/>
    <w:uiPriority w:val="0"/>
    <w:pPr>
      <w:spacing w:line="360" w:lineRule="auto"/>
      <w:ind w:firstLine="560" w:firstLineChars="200"/>
    </w:pPr>
    <w:rPr>
      <w:rFonts w:ascii="宋体" w:hAnsi="宋体" w:eastAsia="宋体" w:cs="Times New Roman"/>
      <w:sz w:val="28"/>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5" Type="http://schemas.openxmlformats.org/officeDocument/2006/relationships/fontTable" Target="fontTable.xml"/><Relationship Id="rId44" Type="http://schemas.openxmlformats.org/officeDocument/2006/relationships/numbering" Target="numbering.xml"/><Relationship Id="rId43" Type="http://schemas.openxmlformats.org/officeDocument/2006/relationships/image" Target="media/image40.png"/><Relationship Id="rId42" Type="http://schemas.openxmlformats.org/officeDocument/2006/relationships/image" Target="media/image39.png"/><Relationship Id="rId41" Type="http://schemas.openxmlformats.org/officeDocument/2006/relationships/image" Target="media/image38.png"/><Relationship Id="rId40" Type="http://schemas.openxmlformats.org/officeDocument/2006/relationships/image" Target="media/image37.png"/><Relationship Id="rId4" Type="http://schemas.openxmlformats.org/officeDocument/2006/relationships/image" Target="media/image1.png"/><Relationship Id="rId39" Type="http://schemas.openxmlformats.org/officeDocument/2006/relationships/image" Target="media/image36.png"/><Relationship Id="rId38" Type="http://schemas.openxmlformats.org/officeDocument/2006/relationships/image" Target="media/image35.png"/><Relationship Id="rId37" Type="http://schemas.openxmlformats.org/officeDocument/2006/relationships/image" Target="media/image34.png"/><Relationship Id="rId36" Type="http://schemas.openxmlformats.org/officeDocument/2006/relationships/image" Target="media/image33.emf"/><Relationship Id="rId35" Type="http://schemas.openxmlformats.org/officeDocument/2006/relationships/image" Target="media/image32.png"/><Relationship Id="rId34" Type="http://schemas.openxmlformats.org/officeDocument/2006/relationships/image" Target="media/image31.png"/><Relationship Id="rId33" Type="http://schemas.openxmlformats.org/officeDocument/2006/relationships/image" Target="media/image30.png"/><Relationship Id="rId32" Type="http://schemas.openxmlformats.org/officeDocument/2006/relationships/image" Target="media/image29.png"/><Relationship Id="rId31" Type="http://schemas.openxmlformats.org/officeDocument/2006/relationships/image" Target="media/image28.jpeg"/><Relationship Id="rId30" Type="http://schemas.openxmlformats.org/officeDocument/2006/relationships/image" Target="media/image27.emf"/><Relationship Id="rId3" Type="http://schemas.openxmlformats.org/officeDocument/2006/relationships/theme" Target="theme/theme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emf"/><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Company>HP</Company>
  <Pages>43</Pages>
  <Words>4722</Words>
  <Characters>4910</Characters>
  <Lines>1088</Lines>
  <Paragraphs>1133</Paragraphs>
  <TotalTime>6</TotalTime>
  <ScaleCrop>false</ScaleCrop>
  <LinksUpToDate>false</LinksUpToDate>
  <CharactersWithSpaces>4970</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2024-10-05T16:11:00Z</dcterms:created>
  <dc:creator> </dc:creator>
  <cp:lastModifiedBy>陈煜羲</cp:lastModifiedBy>
  <cp:lastPrinted>2025-02-21T04:07:00Z</cp:lastPrinted>
  <dcterms:modified xsi:type="dcterms:W3CDTF">2026-07-08T10:18:07Z</dcterms:modified>
  <cp:revision>20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E97ED7BA27A14C4C991926768F36EF57_13</vt:lpwstr>
  </property>
  <property fmtid="{D5CDD505-2E9C-101B-9397-08002B2CF9AE}" pid="4" name="KSOTemplateDocerSaveRecord">
    <vt:lpwstr>eyJoZGlkIjoiZGFhMzE5MWRlZGE4MGU0MTJkM2JhNzI2MjdmMjE2MTAiLCJ1c2VySWQiOiI0NzQyMjU0NzYifQ==</vt:lpwstr>
  </property>
</Properties>
</file>