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972351">
      <w:pPr>
        <w:pStyle w:val="2"/>
        <w:numPr>
          <w:ilvl w:val="0"/>
          <w:numId w:val="0"/>
        </w:numPr>
        <w:spacing w:before="156" w:after="156"/>
        <w:rPr>
          <w:rFonts w:hint="eastAsia"/>
        </w:rPr>
      </w:pPr>
      <w:r>
        <w:rPr>
          <w:rFonts w:hint="eastAsia" w:ascii="黑体" w:hAnsi="黑体"/>
          <w:sz w:val="36"/>
          <w:szCs w:val="36"/>
        </w:rPr>
        <w:t>应急预案与知识管理系统功能清单</w:t>
      </w:r>
    </w:p>
    <w:p w14:paraId="0E24E206">
      <w:pPr>
        <w:pStyle w:val="11"/>
      </w:pPr>
      <w:r>
        <w:rPr>
          <w:rFonts w:hint="eastAsia"/>
        </w:rPr>
        <w:t>建设应急预案与知识管理系统，构建应急知识库，提供紧急医学救援处置的专业知识管理。包括应急预案管理、应急知识管理、案例归档与分析、应急管理机制与预案编制服务。</w:t>
      </w:r>
      <w:bookmarkStart w:id="3" w:name="_GoBack"/>
      <w:bookmarkEnd w:id="3"/>
    </w:p>
    <w:p w14:paraId="0568C8E3">
      <w:pPr>
        <w:pStyle w:val="11"/>
      </w:pPr>
      <w:r>
        <w:rPr>
          <w:rFonts w:hint="eastAsia"/>
        </w:rPr>
        <w:t>具体建设内容如下：</w:t>
      </w:r>
    </w:p>
    <w:p w14:paraId="2656A2C6">
      <w:pPr>
        <w:pStyle w:val="3"/>
        <w:keepNext/>
        <w:keepLines/>
        <w:pageBreakBefore w:val="0"/>
        <w:widowControl w:val="0"/>
        <w:kinsoku/>
        <w:wordWrap/>
        <w:overflowPunct/>
        <w:topLinePunct w:val="0"/>
        <w:autoSpaceDE/>
        <w:autoSpaceDN/>
        <w:bidi w:val="0"/>
        <w:adjustRightInd/>
        <w:snapToGrid w:val="0"/>
        <w:spacing w:before="240" w:after="240"/>
        <w:textAlignment w:val="auto"/>
        <w:outlineLvl w:val="1"/>
      </w:pPr>
      <w:bookmarkStart w:id="0" w:name="_Hlk180056958"/>
      <w:bookmarkStart w:id="1" w:name="_Toc150521457"/>
      <w:bookmarkStart w:id="2" w:name="_Toc190852800"/>
      <w:r>
        <w:rPr>
          <w:rFonts w:hint="eastAsia"/>
        </w:rPr>
        <w:t>应急预案管理</w:t>
      </w:r>
    </w:p>
    <w:p w14:paraId="64AF4A1D">
      <w:pPr>
        <w:pStyle w:val="11"/>
      </w:pPr>
      <w:r>
        <w:rPr>
          <w:rFonts w:hint="eastAsia"/>
        </w:rPr>
        <w:t>满足对各类应急预案的分类存储、版本控制与快速检索。预案内容涵盖启动条件、响应流程、职责分工、资源需求等核心要素，当预案被触发时，系统自动推荐匹配的救援队伍与物资调拨方案。</w:t>
      </w:r>
    </w:p>
    <w:p w14:paraId="33BB1F9D">
      <w:pPr>
        <w:pStyle w:val="11"/>
      </w:pPr>
      <w:r>
        <w:rPr>
          <w:rFonts w:hint="eastAsia"/>
        </w:rPr>
        <w:t>应急预案主要为用户提供各类突发事故应急预案及其机制文件的智能化抽取与人工核验配置。满足应急预案的数字化应用需要，为后续根据突发事件发展态势推演结果生成应急辅助决策方案提供基础。</w:t>
      </w:r>
    </w:p>
    <w:p w14:paraId="2CB8A526">
      <w:pPr>
        <w:pStyle w:val="4"/>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预案文件管理</w:t>
      </w:r>
    </w:p>
    <w:p w14:paraId="42A477D9">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预案文件管理</w:t>
      </w:r>
    </w:p>
    <w:p w14:paraId="3A969FE4">
      <w:pPr>
        <w:pStyle w:val="11"/>
      </w:pPr>
      <w:r>
        <w:rPr>
          <w:rFonts w:hint="eastAsia"/>
        </w:rPr>
        <w:t>预案文件管理，提供文件上传下载、文件查询检索、文件预览、文件目录管理和文件标签、文件纳入知识库、标签管理等功能，为知识库构建提供基础支撑能力，提供文档的综合有效管理以及可视化展现。</w:t>
      </w:r>
    </w:p>
    <w:p w14:paraId="3F80C26C">
      <w:pPr>
        <w:pStyle w:val="11"/>
      </w:pPr>
      <w:r>
        <w:rPr>
          <w:rFonts w:hint="eastAsia"/>
        </w:rPr>
        <w:t>（1）文件上传下载：选定文件目录，用户可上传文件或者文件夹，上传的文件夹自动生成文件子目录。选定文件目录或者文件，可下载单个文件或者多个文件目录。</w:t>
      </w:r>
    </w:p>
    <w:p w14:paraId="49AF85D8">
      <w:pPr>
        <w:pStyle w:val="11"/>
      </w:pPr>
      <w:r>
        <w:rPr>
          <w:rFonts w:hint="eastAsia"/>
        </w:rPr>
        <w:t>（2）文件查询检索：用户可基于关键字进行全文检索，检索结果以列表平铺，不限文件目录。可根据文件标签、文件类型筛选文件。</w:t>
      </w:r>
    </w:p>
    <w:p w14:paraId="6DAE9CC9">
      <w:pPr>
        <w:pStyle w:val="11"/>
      </w:pPr>
      <w:r>
        <w:rPr>
          <w:rFonts w:hint="eastAsia"/>
        </w:rPr>
        <w:t>（3）文件预览：点击文件名，打开文件预览页面，可预览文件内容。预览页打开一个新页签，与上线效果一致，用户可自行关闭。</w:t>
      </w:r>
    </w:p>
    <w:p w14:paraId="5EC1CBBF">
      <w:pPr>
        <w:pStyle w:val="11"/>
      </w:pPr>
      <w:r>
        <w:rPr>
          <w:rFonts w:hint="eastAsia"/>
        </w:rPr>
        <w:t>（4）文件目录管理：提供文件目录的增删改查、移动等功能，文件列表同步更新。</w:t>
      </w:r>
    </w:p>
    <w:p w14:paraId="4BB23AA0">
      <w:pPr>
        <w:pStyle w:val="11"/>
      </w:pPr>
      <w:r>
        <w:rPr>
          <w:rFonts w:hint="eastAsia"/>
        </w:rPr>
        <w:t>（5）文件标签：提供单文件和多文件的标签设置，可选择已有标签，也可新增标签并设置。</w:t>
      </w:r>
    </w:p>
    <w:p w14:paraId="0F7FD69B">
      <w:pPr>
        <w:pStyle w:val="11"/>
      </w:pPr>
      <w:r>
        <w:rPr>
          <w:rFonts w:hint="eastAsia"/>
        </w:rPr>
        <w:t>（6）文件纳入预案库：应急预案文件可纳入知识库进行后续管理。</w:t>
      </w:r>
    </w:p>
    <w:p w14:paraId="3658C0EA">
      <w:pPr>
        <w:pStyle w:val="11"/>
      </w:pPr>
      <w:r>
        <w:rPr>
          <w:rFonts w:hint="eastAsia"/>
        </w:rPr>
        <w:t>（7）标签管理：标签管理提供标签的创建、编辑、删除等基本操作功能。用户可基于标签筛选查找对应的文件。</w:t>
      </w:r>
    </w:p>
    <w:p w14:paraId="05EDAB3A">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预案多维视图</w:t>
      </w:r>
    </w:p>
    <w:p w14:paraId="09CE77DC">
      <w:pPr>
        <w:pStyle w:val="11"/>
      </w:pPr>
      <w:r>
        <w:rPr>
          <w:rFonts w:hint="eastAsia"/>
        </w:rPr>
        <w:t>预案多维视图，针对不同行政区划、不同级别、不同适用灾害的应急预案进行体系化管理。预案多维视图，基于应急预案数字化属性自动生成。</w:t>
      </w:r>
    </w:p>
    <w:p w14:paraId="50D8F7B5">
      <w:pPr>
        <w:pStyle w:val="11"/>
      </w:pPr>
      <w:r>
        <w:rPr>
          <w:rFonts w:hint="eastAsia"/>
        </w:rPr>
        <w:t>（1）预案分级分类视图，按照国家级、省级、市级、区县级、乡镇级分层，总体、专项、部门分类展开。</w:t>
      </w:r>
    </w:p>
    <w:p w14:paraId="2EA3AADB">
      <w:pPr>
        <w:pStyle w:val="11"/>
      </w:pPr>
      <w:r>
        <w:rPr>
          <w:rFonts w:hint="eastAsia"/>
        </w:rPr>
        <w:t>（2）预案灾害类型视图，按照灾害类型等分类展开。</w:t>
      </w:r>
    </w:p>
    <w:p w14:paraId="57DE4DB4">
      <w:pPr>
        <w:pStyle w:val="11"/>
      </w:pPr>
      <w:r>
        <w:rPr>
          <w:rFonts w:hint="eastAsia"/>
        </w:rPr>
        <w:t>（3）预案行政区划视图，按照行政区划树展开。</w:t>
      </w:r>
    </w:p>
    <w:p w14:paraId="0657CA6F">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t>预案全文检索</w:t>
      </w:r>
    </w:p>
    <w:p w14:paraId="70FDC835">
      <w:pPr>
        <w:pStyle w:val="11"/>
      </w:pPr>
      <w:r>
        <w:rPr>
          <w:rFonts w:hint="eastAsia"/>
        </w:rPr>
        <w:t>主要为用户提供预案及操作手册全文检索能力，准确定位所需预案及其内容，查询结果会显示所有符合查询条件的应急预案，进行预案线上文档浏览。</w:t>
      </w:r>
    </w:p>
    <w:p w14:paraId="52F688D2">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t>预案链</w:t>
      </w:r>
    </w:p>
    <w:p w14:paraId="56EBCBF6">
      <w:pPr>
        <w:pStyle w:val="11"/>
      </w:pPr>
      <w:r>
        <w:rPr>
          <w:rFonts w:hint="eastAsia"/>
        </w:rPr>
        <w:t>根据公共卫生事件等类型的原生事件，提示并确定次生及衍生灾害，构建应急预案链进行浏览查询。形成清晰的事件及预案之间的链条关系，以事件链驱动预案链，便于提前启动相应的应急预案，实施断链措施。</w:t>
      </w:r>
    </w:p>
    <w:p w14:paraId="2EFC76E2">
      <w:pPr>
        <w:pStyle w:val="4"/>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预案编制</w:t>
      </w:r>
    </w:p>
    <w:p w14:paraId="26697FC4">
      <w:pPr>
        <w:pStyle w:val="11"/>
      </w:pPr>
      <w:r>
        <w:rPr>
          <w:rFonts w:hint="eastAsia"/>
        </w:rPr>
        <w:t>围绕紧急医学救援预案编制需求以及可持续动态完善的现实应用场景，系统提供文本预案编制功能，并支撑预案修订、备案申请、废止等一系列操作。</w:t>
      </w:r>
    </w:p>
    <w:p w14:paraId="38573681">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预案制定</w:t>
      </w:r>
    </w:p>
    <w:p w14:paraId="04D2C477">
      <w:pPr>
        <w:pStyle w:val="11"/>
      </w:pPr>
      <w:r>
        <w:rPr>
          <w:rFonts w:hint="eastAsia"/>
        </w:rPr>
        <w:t>支持紧急医学救援预案制定，按照流程指引，依次对基本信息如名称、文号、级别、适用范围、编制单位等进行添加、编辑、删除管理。</w:t>
      </w:r>
    </w:p>
    <w:p w14:paraId="24C7B54A">
      <w:pPr>
        <w:pStyle w:val="11"/>
      </w:pPr>
      <w:r>
        <w:rPr>
          <w:rFonts w:hint="eastAsia"/>
        </w:rPr>
        <w:t>预案制定过程中，可快速调取本机构维护或上级机构共享预案编制框架，按照框架章节要素进行预案内容维护，汇聚编制过程中可参考法律法规、案例知识、相关预案等材料，辅助编制工作；同时，支持从本地文件导入可编辑格式的预案文档以及预案配套的相关操作手册，在导入文档基础上实现对预案的快速制定。</w:t>
      </w:r>
    </w:p>
    <w:p w14:paraId="1C82AA3B">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预案修订</w:t>
      </w:r>
    </w:p>
    <w:p w14:paraId="5BC964CF">
      <w:pPr>
        <w:pStyle w:val="11"/>
      </w:pPr>
      <w:r>
        <w:rPr>
          <w:rFonts w:hint="eastAsia"/>
        </w:rPr>
        <w:t>支持各级用户对于系统管理的预案内容按照制定规定进行版本修订，在原有预案基础上进行更新操作，建立修订版本与上一版预案的关联。</w:t>
      </w:r>
    </w:p>
    <w:p w14:paraId="582D4F0F">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预案备案</w:t>
      </w:r>
    </w:p>
    <w:p w14:paraId="5D3EE7EF">
      <w:pPr>
        <w:pStyle w:val="11"/>
      </w:pPr>
      <w:r>
        <w:rPr>
          <w:rFonts w:hint="eastAsia"/>
        </w:rPr>
        <w:t>支持各级用户对已制定或经过修订的预案进行备案管理，根据预案的级别、类型不同，按照制度规定，分别向相关部门进行备案。</w:t>
      </w:r>
    </w:p>
    <w:p w14:paraId="5154B4D5">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预案废止</w:t>
      </w:r>
    </w:p>
    <w:p w14:paraId="39AA36A1">
      <w:pPr>
        <w:pStyle w:val="11"/>
      </w:pPr>
      <w:r>
        <w:rPr>
          <w:rFonts w:hint="eastAsia"/>
        </w:rPr>
        <w:t>支持各级用户对已制定/修订发布的预案，按照制定规定，在原有预案基础上进行废止操作。</w:t>
      </w:r>
    </w:p>
    <w:p w14:paraId="51FEA3DE">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预案查询</w:t>
      </w:r>
    </w:p>
    <w:p w14:paraId="30E14C46">
      <w:pPr>
        <w:pStyle w:val="11"/>
      </w:pPr>
      <w:r>
        <w:rPr>
          <w:rFonts w:hint="eastAsia"/>
        </w:rPr>
        <w:t>支持以文档目录形式查阅预案，可根据关键字快速定位查询。便捷查看当前预案的基本信息，展示预案创建、备案、审核等办理流程记录。</w:t>
      </w:r>
    </w:p>
    <w:p w14:paraId="4E37DDFD">
      <w:pPr>
        <w:pStyle w:val="5"/>
        <w:keepNext w:val="0"/>
        <w:keepLines w:val="0"/>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历史版本管理</w:t>
      </w:r>
    </w:p>
    <w:p w14:paraId="504C1477">
      <w:pPr>
        <w:pStyle w:val="11"/>
        <w:keepNext w:val="0"/>
        <w:keepLines w:val="0"/>
        <w:pageBreakBefore w:val="0"/>
        <w:widowControl w:val="0"/>
        <w:kinsoku/>
        <w:wordWrap/>
        <w:overflowPunct/>
        <w:topLinePunct w:val="0"/>
        <w:autoSpaceDE/>
        <w:autoSpaceDN/>
        <w:bidi w:val="0"/>
        <w:textAlignment w:val="auto"/>
      </w:pPr>
      <w:r>
        <w:rPr>
          <w:rFonts w:hint="eastAsia"/>
        </w:rPr>
        <w:t>根据实际业务需要梳理和存储各类预案版本，对于确认废弃的预案进行废止说明记录，完成版本管理及内容修订。在编制过程中可以查阅预案各时期的编制情况，有效利用历史版本基础信息及核心内容。</w:t>
      </w:r>
    </w:p>
    <w:p w14:paraId="11BA061B">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编制模板管理</w:t>
      </w:r>
    </w:p>
    <w:p w14:paraId="2888EA5D">
      <w:pPr>
        <w:pStyle w:val="11"/>
      </w:pPr>
      <w:r>
        <w:rPr>
          <w:rFonts w:hint="eastAsia"/>
        </w:rPr>
        <w:t>预案编制前，根据业务需要对各级别、各类型预案编制框架进行管理，本级及下级机构预案编制过程中，都可根据编制预案类型选择到对应模板。支持上级部门将编制框架共享给下属应急管理单位，支持模板导入快速获取模板框架形成文档目录。</w:t>
      </w:r>
    </w:p>
    <w:p w14:paraId="2793C03D">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参考材料管理</w:t>
      </w:r>
    </w:p>
    <w:p w14:paraId="6A429E74">
      <w:pPr>
        <w:pStyle w:val="11"/>
      </w:pPr>
      <w:r>
        <w:rPr>
          <w:rFonts w:hint="eastAsia"/>
        </w:rPr>
        <w:t>支持直接对预案编制过程中可参考各类标准规范、法律法规、案例知识等材料进行管理，可快速上传本地参考材料供各级使用，供预案编制人员进行参考学习。</w:t>
      </w:r>
    </w:p>
    <w:p w14:paraId="18C5AE1F">
      <w:pPr>
        <w:pStyle w:val="4"/>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备案审核</w:t>
      </w:r>
    </w:p>
    <w:p w14:paraId="72B596E7">
      <w:pPr>
        <w:pStyle w:val="11"/>
      </w:pPr>
      <w:r>
        <w:rPr>
          <w:rFonts w:hint="eastAsia"/>
        </w:rPr>
        <w:t>提供紧急医学救援预案逐级备案审核机制，由上级紧急医学救援基地进行指导，相关卫生行政部门进行备案审核。</w:t>
      </w:r>
    </w:p>
    <w:p w14:paraId="3B6B0C3C">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t>预案备案管理</w:t>
      </w:r>
    </w:p>
    <w:p w14:paraId="14C13E6E">
      <w:pPr>
        <w:pStyle w:val="11"/>
      </w:pPr>
      <w:r>
        <w:rPr>
          <w:rFonts w:hint="eastAsia"/>
        </w:rPr>
        <w:t>支持对预案进行备案提交，备案的形式是电子版，并附有若干个工作手册。同时可以对已提交备案的预案进行撤回操作。</w:t>
      </w:r>
    </w:p>
    <w:p w14:paraId="5484B343">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t>预案备案单位管理</w:t>
      </w:r>
    </w:p>
    <w:p w14:paraId="01DDFF1D">
      <w:pPr>
        <w:pStyle w:val="11"/>
      </w:pPr>
      <w:r>
        <w:rPr>
          <w:rFonts w:hint="eastAsia"/>
        </w:rPr>
        <w:t>支持对预案备案单位及其基本信息的添加、修改、删除、查询。基本信息包括提交备案的预案名称、预案备案单位名称、提交备案日期、提交人等。</w:t>
      </w:r>
    </w:p>
    <w:p w14:paraId="3C90B2FC">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t>预案备案进度跟踪</w:t>
      </w:r>
    </w:p>
    <w:p w14:paraId="162F30EA">
      <w:pPr>
        <w:pStyle w:val="11"/>
      </w:pPr>
      <w:r>
        <w:rPr>
          <w:rFonts w:hint="eastAsia"/>
        </w:rPr>
        <w:t>系统能够实现对预案备案的全流程进行跟踪，可以通过该功能对预案的备案进度、具体环节进行跟踪监控。</w:t>
      </w:r>
    </w:p>
    <w:p w14:paraId="2B743070">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t>预案修订周期管理</w:t>
      </w:r>
    </w:p>
    <w:p w14:paraId="237311B4">
      <w:pPr>
        <w:pStyle w:val="11"/>
      </w:pPr>
      <w:r>
        <w:rPr>
          <w:rFonts w:hint="eastAsia"/>
        </w:rPr>
        <w:t>实现对预案修订周期的添加、修改等基本管理，并可以按照修订周期对各类预案进行分类汇总统计和查询，支持预案备案的到期提醒功能。</w:t>
      </w:r>
    </w:p>
    <w:p w14:paraId="107AF824">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t>备案提醒</w:t>
      </w:r>
    </w:p>
    <w:p w14:paraId="588E3712">
      <w:pPr>
        <w:pStyle w:val="11"/>
      </w:pPr>
      <w:r>
        <w:rPr>
          <w:rFonts w:hint="eastAsia"/>
        </w:rPr>
        <w:t>预案备案过程中，系统提供智能化提醒功能，包括新预案备案提醒、预案备案状态提醒等。同时，当备案库中有即将到期的预案时，系统能够自动地向用户发布修订通知。备案审核未通过时，退回到备案主管单位，提醒重新进行报备。</w:t>
      </w:r>
    </w:p>
    <w:p w14:paraId="62E39E01">
      <w:pPr>
        <w:pStyle w:val="4"/>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预案数字化</w:t>
      </w:r>
    </w:p>
    <w:p w14:paraId="51317EDA">
      <w:pPr>
        <w:pStyle w:val="11"/>
      </w:pPr>
      <w:r>
        <w:rPr>
          <w:rFonts w:hint="eastAsia"/>
        </w:rPr>
        <w:t>预案数字化与核验。基于预案知识抽取模型，系统自动抽取预案知识要素，抽取结果需要用户进行核验，有错漏之处可以进行人工修订并确认。预案数字化信息自动同步到预案图谱，用户可通过图谱查询直接查看当前预案对应的预案图谱，提供可视化图谱与实体属性查看等交互。</w:t>
      </w:r>
    </w:p>
    <w:p w14:paraId="72DC6003">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预案属性数字化</w:t>
      </w:r>
    </w:p>
    <w:p w14:paraId="0B5C45BC">
      <w:pPr>
        <w:pStyle w:val="11"/>
      </w:pPr>
      <w:r>
        <w:rPr>
          <w:rFonts w:hint="eastAsia"/>
        </w:rPr>
        <w:t>结合预案知识抽取模型，系统提供预案属性信息的自动化提取功能，包括预案级别、预案类型、适用范围等。对于自动提取的预案属性信息，系统提供人工核验操作界面，用户可根据预案文本内容核对并编辑预案属性信息。预案属性数字化信息，用于支撑预案的多维视图的自动化生成与更新以及预案相关的智能搜索。</w:t>
      </w:r>
    </w:p>
    <w:p w14:paraId="6DEBED79">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预警响应数字化</w:t>
      </w:r>
    </w:p>
    <w:p w14:paraId="0F02334C">
      <w:pPr>
        <w:pStyle w:val="11"/>
      </w:pPr>
      <w:r>
        <w:rPr>
          <w:rFonts w:hint="eastAsia"/>
        </w:rPr>
        <w:t>结合预案知识抽取模型，系统提供对预警响应级别和响应措施的自动化提取功能。对于自动提取的预警响应数字化信息，系统提供人工核验操作界面。针对突发事件分级预警响应的具体启动条件、预警行动内容，实现分级数字化管理。预警响应等级启动条件的数字化，用于支撑预警响应指挥过程中的预案智能定位、响应级别推荐。预警响应行动的数字化，用于支撑预警响应过程中获取具体响应行动措施，进而向各责任单位发送其职责信息等任务部署的工作。</w:t>
      </w:r>
    </w:p>
    <w:p w14:paraId="6276934B">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应急响应数字化</w:t>
      </w:r>
    </w:p>
    <w:p w14:paraId="79FD9649">
      <w:pPr>
        <w:pStyle w:val="11"/>
      </w:pPr>
      <w:r>
        <w:rPr>
          <w:rFonts w:hint="eastAsia"/>
        </w:rPr>
        <w:t>结合预案知识抽取模型，系统提供对应急响应级别和响应措施的自动化提取功能。对于自动提取的应急响应数字化信息，系统提供人工核验操作界面。针对突发事件一至四级应急响应的具体启动条件、行动措施内容，实现分级数字化管理。应急响应启动条件的数字化，用于支撑突发事件应急响应指挥过程中的预案智能定位、应急响应级别推荐。应急响应措施的数字化，用于支撑应急指挥调度过程中获取具体响应行动措施，进而向各责任单位发送其职责信息等任务部署的工作。</w:t>
      </w:r>
    </w:p>
    <w:p w14:paraId="107B59E5">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指挥体系数字化</w:t>
      </w:r>
    </w:p>
    <w:p w14:paraId="673464E8">
      <w:pPr>
        <w:pStyle w:val="11"/>
      </w:pPr>
      <w:r>
        <w:rPr>
          <w:rFonts w:hint="eastAsia"/>
        </w:rPr>
        <w:t>结合预案知识抽取模型，系统提供对组织指挥体系的自动化提取功能。对于自动提取的组织指挥体系信息，系统提供人工核验操作界面。针对应急预案的组织指挥体系及职责的内容，实现分级数字化管理与可视化展现，包括组织指挥体系信息提取、组织指挥体系编制管理、组织指挥体系预览等功能。系统提供对应急预案组织指挥体系架构展示与编辑功能，对编制完成的指挥体系及相关机构提供组织架构式可视化预览功能，同时提供工作组信息、人员信息等快捷编辑功能，实现组织体系架构的直观查看。</w:t>
      </w:r>
    </w:p>
    <w:p w14:paraId="600FF364">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部门职责数字化</w:t>
      </w:r>
    </w:p>
    <w:p w14:paraId="1AE8925C">
      <w:pPr>
        <w:pStyle w:val="11"/>
      </w:pPr>
      <w:r>
        <w:rPr>
          <w:rFonts w:hint="eastAsia"/>
        </w:rPr>
        <w:t>结合预案知识抽取模型，针对应急预案中组织指挥体系的职责要求进行数字化管理，针对指挥部各成员单位对应的工作职责内容，进行自动化提取、人工检查编辑，实现指挥体系涉及的各成员单位职责的管理，为后续指挥调度过程中职责落实提供依据和数据支撑。</w:t>
      </w:r>
    </w:p>
    <w:p w14:paraId="674381A7">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预案工作手册</w:t>
      </w:r>
    </w:p>
    <w:p w14:paraId="23D1C048">
      <w:pPr>
        <w:pStyle w:val="11"/>
      </w:pPr>
      <w:r>
        <w:rPr>
          <w:rFonts w:hint="eastAsia"/>
        </w:rPr>
        <w:t>支持关联预案工作手册，对预案工作手册进行维护，作为应急预案的细化和补充。</w:t>
      </w:r>
    </w:p>
    <w:p w14:paraId="40CA511D">
      <w:pPr>
        <w:pStyle w:val="4"/>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预案决策图谱</w:t>
      </w:r>
    </w:p>
    <w:p w14:paraId="2C969FE6">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预案知识图谱生成</w:t>
      </w:r>
    </w:p>
    <w:p w14:paraId="298116A5">
      <w:pPr>
        <w:pStyle w:val="11"/>
      </w:pPr>
      <w:r>
        <w:rPr>
          <w:rFonts w:hint="eastAsia"/>
        </w:rPr>
        <w:t>基于数字化预案库和预案知识图谱模型生成预案知识图谱，针对每个具体的应急预案，通过应急预案知识图谱，整合成完整的预案知识关系网络。预案图谱模型主要包括预案文件、响应级别、响应条件、响应措施、单位职责、监测指标、研判规则等实体和关系。预案知识图谱应用于预警响应与应急响应的智能响应研判，为应急指挥辅助决策提供支撑。</w:t>
      </w:r>
    </w:p>
    <w:p w14:paraId="584E747B">
      <w:pPr>
        <w:pStyle w:val="11"/>
      </w:pPr>
      <w:r>
        <w:rPr>
          <w:rFonts w:hint="eastAsia"/>
        </w:rPr>
        <w:t>预案类型主要聚焦医疗卫生救援，具体包括：</w:t>
      </w:r>
    </w:p>
    <w:p w14:paraId="54D789E5">
      <w:pPr>
        <w:pStyle w:val="11"/>
      </w:pPr>
      <w:r>
        <w:rPr>
          <w:rFonts w:hint="eastAsia"/>
        </w:rPr>
        <w:t>（1）国家级预案：</w:t>
      </w:r>
    </w:p>
    <w:p w14:paraId="6BD1EFA7">
      <w:pPr>
        <w:pStyle w:val="11"/>
      </w:pPr>
      <w:r>
        <w:rPr>
          <w:rFonts w:hint="eastAsia"/>
        </w:rPr>
        <w:t xml:space="preserve">《中华人民共和国突发公共卫生事件应对法》 </w:t>
      </w:r>
    </w:p>
    <w:p w14:paraId="6FE3D539">
      <w:pPr>
        <w:pStyle w:val="11"/>
      </w:pPr>
      <w:r>
        <w:rPr>
          <w:rFonts w:hint="eastAsia"/>
        </w:rPr>
        <w:t>《国家突发公共事件医疗卫生救援应急预案》</w:t>
      </w:r>
    </w:p>
    <w:p w14:paraId="1277D9C8">
      <w:pPr>
        <w:pStyle w:val="11"/>
      </w:pPr>
      <w:r>
        <w:rPr>
          <w:rFonts w:hint="eastAsia"/>
        </w:rPr>
        <w:t>《国家自然灾害救助应急预案》（医疗卫生救援部分）</w:t>
      </w:r>
    </w:p>
    <w:p w14:paraId="1AEA7AB1">
      <w:pPr>
        <w:pStyle w:val="11"/>
      </w:pPr>
      <w:r>
        <w:rPr>
          <w:rFonts w:hint="eastAsia"/>
        </w:rPr>
        <w:t>《国家突发公共卫生事件应急预案》</w:t>
      </w:r>
    </w:p>
    <w:p w14:paraId="30719226">
      <w:pPr>
        <w:pStyle w:val="11"/>
      </w:pPr>
      <w:r>
        <w:rPr>
          <w:rFonts w:hint="eastAsia"/>
        </w:rPr>
        <w:t>（2）省级及地方级预案（重点范围）：</w:t>
      </w:r>
    </w:p>
    <w:p w14:paraId="100077FA">
      <w:pPr>
        <w:pStyle w:val="11"/>
      </w:pPr>
      <w:r>
        <w:rPr>
          <w:rFonts w:hint="eastAsia"/>
        </w:rPr>
        <w:t>《福建省突发公共事件总体应急预案》（作为总纲）</w:t>
      </w:r>
    </w:p>
    <w:p w14:paraId="7D075FD3">
      <w:pPr>
        <w:pStyle w:val="11"/>
      </w:pPr>
      <w:r>
        <w:rPr>
          <w:rFonts w:hint="eastAsia"/>
        </w:rPr>
        <w:t>《福建省突发公共事件医疗卫生救援应急预案》（核心依据）</w:t>
      </w:r>
    </w:p>
    <w:p w14:paraId="1EF40FB9">
      <w:pPr>
        <w:pStyle w:val="11"/>
      </w:pPr>
      <w:r>
        <w:rPr>
          <w:rFonts w:hint="eastAsia"/>
        </w:rPr>
        <w:t>《福建省突发公共卫生事件应急预案》</w:t>
      </w:r>
    </w:p>
    <w:p w14:paraId="140BFF9B">
      <w:pPr>
        <w:pStyle w:val="11"/>
      </w:pPr>
      <w:r>
        <w:rPr>
          <w:rFonts w:hint="eastAsia"/>
        </w:rPr>
        <w:t>福建省内相关地方市、县的医疗卫生救援专项预案。</w:t>
      </w:r>
    </w:p>
    <w:p w14:paraId="2B599728">
      <w:pPr>
        <w:pStyle w:val="11"/>
      </w:pPr>
      <w:r>
        <w:rPr>
          <w:rFonts w:hint="eastAsia"/>
        </w:rPr>
        <w:t>（3）专项及部门预案（直接相关）：</w:t>
      </w:r>
    </w:p>
    <w:p w14:paraId="270895B3">
      <w:pPr>
        <w:pStyle w:val="11"/>
      </w:pPr>
      <w:r>
        <w:rPr>
          <w:rFonts w:hint="eastAsia"/>
        </w:rPr>
        <w:t>《福建省地震灾害医疗卫生救援应急预案》</w:t>
      </w:r>
    </w:p>
    <w:p w14:paraId="0F63C866">
      <w:pPr>
        <w:pStyle w:val="11"/>
      </w:pPr>
      <w:r>
        <w:rPr>
          <w:rFonts w:hint="eastAsia"/>
        </w:rPr>
        <w:t>《福建省洪涝灾害医疗卫生救援应急预案》</w:t>
      </w:r>
    </w:p>
    <w:p w14:paraId="020BB8C4">
      <w:pPr>
        <w:pStyle w:val="11"/>
      </w:pPr>
      <w:r>
        <w:rPr>
          <w:rFonts w:hint="eastAsia"/>
        </w:rPr>
        <w:t>《福建省危险化学品事故医疗卫生救援应急预案》</w:t>
      </w:r>
    </w:p>
    <w:p w14:paraId="16BBE42A">
      <w:pPr>
        <w:pStyle w:val="11"/>
      </w:pPr>
      <w:r>
        <w:rPr>
          <w:rFonts w:hint="eastAsia"/>
        </w:rPr>
        <w:t>《福建省核与辐射事故医疗卫生救援应急预案》</w:t>
      </w:r>
    </w:p>
    <w:p w14:paraId="412CD223">
      <w:pPr>
        <w:pStyle w:val="11"/>
      </w:pPr>
      <w:r>
        <w:rPr>
          <w:rFonts w:hint="eastAsia"/>
        </w:rPr>
        <w:t>《福建省重大交通事故医疗卫生救援应急预案》</w:t>
      </w:r>
    </w:p>
    <w:p w14:paraId="6F866001">
      <w:pPr>
        <w:pStyle w:val="11"/>
      </w:pPr>
      <w:r>
        <w:rPr>
          <w:rFonts w:hint="eastAsia"/>
        </w:rPr>
        <w:t>福建省卫健委及相关厅局发布的各类卫生应急工作方案、指南中具备预案性质的文件。</w:t>
      </w:r>
    </w:p>
    <w:p w14:paraId="111DF7A8">
      <w:pPr>
        <w:pStyle w:val="11"/>
      </w:pPr>
      <w:r>
        <w:rPr>
          <w:rFonts w:hint="eastAsia"/>
        </w:rPr>
        <w:t>图谱的范围主要</w:t>
      </w:r>
      <w:r>
        <w:t>聚焦于</w:t>
      </w:r>
      <w:r>
        <w:rPr>
          <w:rFonts w:hint="eastAsia"/>
        </w:rPr>
        <w:t>“</w:t>
      </w:r>
      <w:r>
        <w:t>人员、物资、机构、规则</w:t>
      </w:r>
      <w:r>
        <w:rPr>
          <w:rFonts w:hint="eastAsia"/>
        </w:rPr>
        <w:t>”</w:t>
      </w:r>
      <w:r>
        <w:t>四大实体的专业化、可计算的关系网络</w:t>
      </w:r>
      <w:r>
        <w:rPr>
          <w:rFonts w:hint="eastAsia"/>
        </w:rPr>
        <w:t>，其预案知识图谱范围如下:</w:t>
      </w:r>
    </w:p>
    <w:tbl>
      <w:tblPr>
        <w:tblStyle w:val="24"/>
        <w:tblW w:w="5000"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828"/>
        <w:gridCol w:w="2912"/>
        <w:gridCol w:w="5585"/>
      </w:tblGrid>
      <w:tr w14:paraId="3A1497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blHeader/>
        </w:trPr>
        <w:tc>
          <w:tcPr>
            <w:tcW w:w="444" w:type="pct"/>
            <w:tcBorders>
              <w:tl2br w:val="nil"/>
              <w:tr2bl w:val="nil"/>
            </w:tcBorders>
            <w:shd w:val="clear" w:color="auto" w:fill="BFBFBF"/>
            <w:tcMar>
              <w:top w:w="150" w:type="dxa"/>
              <w:left w:w="0" w:type="dxa"/>
              <w:bottom w:w="150" w:type="dxa"/>
              <w:right w:w="240" w:type="dxa"/>
            </w:tcMar>
            <w:vAlign w:val="center"/>
          </w:tcPr>
          <w:p w14:paraId="45B2B415">
            <w:pPr>
              <w:pStyle w:val="43"/>
              <w:jc w:val="center"/>
              <w:rPr>
                <w:rFonts w:hint="eastAsia"/>
                <w:b/>
                <w:bCs/>
                <w:color w:val="auto"/>
                <w:szCs w:val="21"/>
              </w:rPr>
            </w:pPr>
            <w:r>
              <w:rPr>
                <w:rFonts w:hint="eastAsia"/>
                <w:b/>
                <w:bCs/>
                <w:color w:val="auto"/>
                <w:szCs w:val="21"/>
              </w:rPr>
              <w:t>维度</w:t>
            </w:r>
          </w:p>
        </w:tc>
        <w:tc>
          <w:tcPr>
            <w:tcW w:w="1561" w:type="pct"/>
            <w:tcBorders>
              <w:tl2br w:val="nil"/>
              <w:tr2bl w:val="nil"/>
            </w:tcBorders>
            <w:shd w:val="clear" w:color="auto" w:fill="BFBFBF"/>
            <w:tcMar>
              <w:top w:w="150" w:type="dxa"/>
              <w:left w:w="240" w:type="dxa"/>
              <w:bottom w:w="150" w:type="dxa"/>
              <w:right w:w="240" w:type="dxa"/>
            </w:tcMar>
            <w:vAlign w:val="center"/>
          </w:tcPr>
          <w:p w14:paraId="73B3717A">
            <w:pPr>
              <w:pStyle w:val="43"/>
              <w:jc w:val="center"/>
              <w:rPr>
                <w:rFonts w:hint="eastAsia"/>
                <w:b/>
                <w:bCs/>
                <w:color w:val="auto"/>
                <w:szCs w:val="21"/>
              </w:rPr>
            </w:pPr>
            <w:r>
              <w:rPr>
                <w:rFonts w:hint="eastAsia"/>
                <w:b/>
                <w:bCs/>
                <w:color w:val="auto"/>
                <w:szCs w:val="21"/>
              </w:rPr>
              <w:t>范围界定</w:t>
            </w:r>
          </w:p>
        </w:tc>
        <w:tc>
          <w:tcPr>
            <w:tcW w:w="2994" w:type="pct"/>
            <w:tcBorders>
              <w:tl2br w:val="nil"/>
              <w:tr2bl w:val="nil"/>
            </w:tcBorders>
            <w:shd w:val="clear" w:color="auto" w:fill="BFBFBF"/>
            <w:tcMar>
              <w:top w:w="150" w:type="dxa"/>
              <w:left w:w="240" w:type="dxa"/>
              <w:bottom w:w="150" w:type="dxa"/>
              <w:right w:w="240" w:type="dxa"/>
            </w:tcMar>
            <w:vAlign w:val="center"/>
          </w:tcPr>
          <w:p w14:paraId="46154C15">
            <w:pPr>
              <w:pStyle w:val="43"/>
              <w:jc w:val="center"/>
              <w:rPr>
                <w:rFonts w:hint="eastAsia"/>
                <w:b/>
                <w:bCs/>
                <w:color w:val="auto"/>
                <w:szCs w:val="21"/>
              </w:rPr>
            </w:pPr>
            <w:r>
              <w:rPr>
                <w:rFonts w:hint="eastAsia"/>
                <w:b/>
                <w:bCs/>
                <w:color w:val="auto"/>
                <w:szCs w:val="21"/>
              </w:rPr>
              <w:t>包含示例</w:t>
            </w:r>
          </w:p>
        </w:tc>
      </w:tr>
      <w:tr w14:paraId="4438B1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444" w:type="pct"/>
            <w:tcBorders>
              <w:tl2br w:val="nil"/>
              <w:tr2bl w:val="nil"/>
            </w:tcBorders>
            <w:shd w:val="clear" w:color="auto" w:fill="FFFFFF"/>
            <w:tcMar>
              <w:top w:w="150" w:type="dxa"/>
              <w:left w:w="0" w:type="dxa"/>
              <w:bottom w:w="150" w:type="dxa"/>
              <w:right w:w="240" w:type="dxa"/>
            </w:tcMar>
            <w:vAlign w:val="center"/>
          </w:tcPr>
          <w:p w14:paraId="430D62BB">
            <w:pPr>
              <w:pStyle w:val="43"/>
              <w:jc w:val="center"/>
              <w:rPr>
                <w:rFonts w:hint="eastAsia"/>
                <w:color w:val="auto"/>
                <w:szCs w:val="21"/>
              </w:rPr>
            </w:pPr>
            <w:r>
              <w:rPr>
                <w:rFonts w:hint="eastAsia"/>
                <w:bCs/>
                <w:color w:val="auto"/>
                <w:szCs w:val="21"/>
              </w:rPr>
              <w:t>核心预案</w:t>
            </w:r>
          </w:p>
        </w:tc>
        <w:tc>
          <w:tcPr>
            <w:tcW w:w="1561" w:type="pct"/>
            <w:tcBorders>
              <w:tl2br w:val="nil"/>
              <w:tr2bl w:val="nil"/>
            </w:tcBorders>
            <w:shd w:val="clear" w:color="auto" w:fill="FFFFFF"/>
            <w:tcMar>
              <w:top w:w="150" w:type="dxa"/>
              <w:left w:w="240" w:type="dxa"/>
              <w:bottom w:w="150" w:type="dxa"/>
              <w:right w:w="240" w:type="dxa"/>
            </w:tcMar>
            <w:vAlign w:val="center"/>
          </w:tcPr>
          <w:p w14:paraId="7391878E">
            <w:pPr>
              <w:pStyle w:val="43"/>
              <w:rPr>
                <w:rFonts w:hint="eastAsia"/>
                <w:color w:val="auto"/>
                <w:szCs w:val="21"/>
              </w:rPr>
            </w:pPr>
            <w:r>
              <w:rPr>
                <w:rFonts w:hint="eastAsia"/>
                <w:bCs/>
                <w:color w:val="auto"/>
                <w:szCs w:val="21"/>
              </w:rPr>
              <w:t>国家级与省级医疗卫生救援专项预案、总体预案中的医疗部分、及相关厅局方案。</w:t>
            </w:r>
          </w:p>
        </w:tc>
        <w:tc>
          <w:tcPr>
            <w:tcW w:w="2994" w:type="pct"/>
            <w:tcBorders>
              <w:tl2br w:val="nil"/>
              <w:tr2bl w:val="nil"/>
            </w:tcBorders>
            <w:shd w:val="clear" w:color="auto" w:fill="FFFFFF"/>
            <w:tcMar>
              <w:top w:w="150" w:type="dxa"/>
              <w:left w:w="240" w:type="dxa"/>
              <w:bottom w:w="150" w:type="dxa"/>
              <w:right w:w="240" w:type="dxa"/>
            </w:tcMar>
            <w:vAlign w:val="center"/>
          </w:tcPr>
          <w:p w14:paraId="310A5ACF">
            <w:pPr>
              <w:pStyle w:val="43"/>
              <w:rPr>
                <w:rFonts w:hint="eastAsia"/>
                <w:color w:val="auto"/>
                <w:szCs w:val="21"/>
              </w:rPr>
            </w:pPr>
            <w:r>
              <w:rPr>
                <w:rFonts w:hint="eastAsia"/>
                <w:color w:val="auto"/>
                <w:szCs w:val="21"/>
              </w:rPr>
              <w:t>《中华人民共和国突发公共卫生事件应对法》</w:t>
            </w:r>
          </w:p>
          <w:p w14:paraId="754A735D">
            <w:pPr>
              <w:pStyle w:val="43"/>
              <w:rPr>
                <w:rFonts w:hint="eastAsia"/>
                <w:color w:val="auto"/>
                <w:szCs w:val="21"/>
              </w:rPr>
            </w:pPr>
            <w:r>
              <w:rPr>
                <w:rFonts w:hint="eastAsia"/>
                <w:color w:val="auto"/>
                <w:szCs w:val="21"/>
              </w:rPr>
              <w:t>《国家突发公共事件医疗卫生救援应急预案》、《福建省突发公共事件医疗卫生救援应急预案》、《福建省突发公共卫生事件应急预案》、《福建省地震应急预案》（医疗部分）等</w:t>
            </w:r>
          </w:p>
        </w:tc>
      </w:tr>
      <w:tr w14:paraId="314DC3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444" w:type="pct"/>
            <w:tcBorders>
              <w:tl2br w:val="nil"/>
              <w:tr2bl w:val="nil"/>
            </w:tcBorders>
            <w:shd w:val="clear" w:color="auto" w:fill="FFFFFF"/>
            <w:tcMar>
              <w:top w:w="150" w:type="dxa"/>
              <w:left w:w="0" w:type="dxa"/>
              <w:bottom w:w="150" w:type="dxa"/>
              <w:right w:w="240" w:type="dxa"/>
            </w:tcMar>
            <w:vAlign w:val="center"/>
          </w:tcPr>
          <w:p w14:paraId="4DFF032C">
            <w:pPr>
              <w:pStyle w:val="43"/>
              <w:jc w:val="center"/>
              <w:rPr>
                <w:rFonts w:hint="eastAsia"/>
                <w:color w:val="auto"/>
                <w:szCs w:val="21"/>
              </w:rPr>
            </w:pPr>
            <w:r>
              <w:rPr>
                <w:rFonts w:hint="eastAsia"/>
                <w:bCs/>
                <w:color w:val="auto"/>
                <w:szCs w:val="21"/>
              </w:rPr>
              <w:t>事件类型</w:t>
            </w:r>
          </w:p>
        </w:tc>
        <w:tc>
          <w:tcPr>
            <w:tcW w:w="1561" w:type="pct"/>
            <w:tcBorders>
              <w:tl2br w:val="nil"/>
              <w:tr2bl w:val="nil"/>
            </w:tcBorders>
            <w:shd w:val="clear" w:color="auto" w:fill="FFFFFF"/>
            <w:tcMar>
              <w:top w:w="150" w:type="dxa"/>
              <w:left w:w="240" w:type="dxa"/>
              <w:bottom w:w="150" w:type="dxa"/>
              <w:right w:w="240" w:type="dxa"/>
            </w:tcMar>
            <w:vAlign w:val="center"/>
          </w:tcPr>
          <w:p w14:paraId="4B29903E">
            <w:pPr>
              <w:pStyle w:val="43"/>
              <w:rPr>
                <w:rFonts w:hint="eastAsia"/>
                <w:color w:val="auto"/>
                <w:szCs w:val="21"/>
              </w:rPr>
            </w:pPr>
            <w:r>
              <w:rPr>
                <w:rFonts w:hint="eastAsia"/>
                <w:bCs/>
                <w:color w:val="auto"/>
                <w:szCs w:val="21"/>
              </w:rPr>
              <w:t>需要启动紧急医学救援响应的四类突发公共事件。</w:t>
            </w:r>
          </w:p>
        </w:tc>
        <w:tc>
          <w:tcPr>
            <w:tcW w:w="2994" w:type="pct"/>
            <w:tcBorders>
              <w:tl2br w:val="nil"/>
              <w:tr2bl w:val="nil"/>
            </w:tcBorders>
            <w:shd w:val="clear" w:color="auto" w:fill="FFFFFF"/>
            <w:tcMar>
              <w:top w:w="150" w:type="dxa"/>
              <w:left w:w="240" w:type="dxa"/>
              <w:bottom w:w="150" w:type="dxa"/>
              <w:right w:w="240" w:type="dxa"/>
            </w:tcMar>
            <w:vAlign w:val="center"/>
          </w:tcPr>
          <w:p w14:paraId="148F6B86">
            <w:pPr>
              <w:pStyle w:val="43"/>
              <w:rPr>
                <w:rFonts w:hint="eastAsia"/>
                <w:color w:val="auto"/>
                <w:szCs w:val="21"/>
              </w:rPr>
            </w:pPr>
            <w:r>
              <w:rPr>
                <w:rFonts w:hint="eastAsia"/>
                <w:bCs/>
                <w:color w:val="auto"/>
                <w:szCs w:val="21"/>
              </w:rPr>
              <w:t>自然灾害：</w:t>
            </w:r>
            <w:r>
              <w:rPr>
                <w:rFonts w:hint="eastAsia"/>
                <w:color w:val="auto"/>
                <w:szCs w:val="21"/>
              </w:rPr>
              <w:t>地震、洪涝、台风</w:t>
            </w:r>
            <w:r>
              <w:rPr>
                <w:rFonts w:hint="eastAsia"/>
                <w:color w:val="auto"/>
                <w:szCs w:val="21"/>
              </w:rPr>
              <w:br w:type="textWrapping"/>
            </w:r>
            <w:r>
              <w:rPr>
                <w:rFonts w:hint="eastAsia"/>
                <w:bCs/>
                <w:color w:val="auto"/>
                <w:szCs w:val="21"/>
              </w:rPr>
              <w:t>事故灾难：</w:t>
            </w:r>
            <w:r>
              <w:rPr>
                <w:rFonts w:hint="eastAsia"/>
                <w:color w:val="auto"/>
                <w:szCs w:val="21"/>
              </w:rPr>
              <w:t>重大交通事故、危险化学品事故、火灾、核辐射事故</w:t>
            </w:r>
            <w:r>
              <w:rPr>
                <w:rFonts w:hint="eastAsia"/>
                <w:color w:val="auto"/>
                <w:szCs w:val="21"/>
              </w:rPr>
              <w:br w:type="textWrapping"/>
            </w:r>
            <w:r>
              <w:rPr>
                <w:rFonts w:hint="eastAsia"/>
                <w:bCs/>
                <w:color w:val="auto"/>
                <w:szCs w:val="21"/>
              </w:rPr>
              <w:t>公共卫生事件：</w:t>
            </w:r>
            <w:r>
              <w:rPr>
                <w:rFonts w:hint="eastAsia"/>
                <w:color w:val="auto"/>
                <w:szCs w:val="21"/>
              </w:rPr>
              <w:t>传染病疫情、群体性中毒</w:t>
            </w:r>
          </w:p>
          <w:p w14:paraId="5D1CB4B7">
            <w:pPr>
              <w:pStyle w:val="43"/>
              <w:rPr>
                <w:rFonts w:hint="eastAsia"/>
                <w:color w:val="auto"/>
                <w:szCs w:val="21"/>
              </w:rPr>
            </w:pPr>
            <w:r>
              <w:rPr>
                <w:rFonts w:hint="eastAsia"/>
                <w:bCs/>
                <w:color w:val="auto"/>
                <w:szCs w:val="21"/>
              </w:rPr>
              <w:t>社会安全事件：</w:t>
            </w:r>
            <w:r>
              <w:rPr>
                <w:rFonts w:hint="eastAsia"/>
                <w:color w:val="auto"/>
                <w:szCs w:val="21"/>
              </w:rPr>
              <w:t>恐怖袭击、大规模暴力事件</w:t>
            </w:r>
          </w:p>
        </w:tc>
      </w:tr>
      <w:tr w14:paraId="112163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15" w:type="dxa"/>
            <w:left w:w="15" w:type="dxa"/>
            <w:bottom w:w="15" w:type="dxa"/>
            <w:right w:w="15" w:type="dxa"/>
          </w:tblCellMar>
        </w:tblPrEx>
        <w:tc>
          <w:tcPr>
            <w:tcW w:w="444" w:type="pct"/>
            <w:tcBorders>
              <w:tl2br w:val="nil"/>
              <w:tr2bl w:val="nil"/>
            </w:tcBorders>
            <w:shd w:val="clear" w:color="auto" w:fill="FFFFFF"/>
            <w:tcMar>
              <w:top w:w="150" w:type="dxa"/>
              <w:left w:w="0" w:type="dxa"/>
              <w:bottom w:w="150" w:type="dxa"/>
              <w:right w:w="240" w:type="dxa"/>
            </w:tcMar>
            <w:vAlign w:val="center"/>
          </w:tcPr>
          <w:p w14:paraId="0F5D317E">
            <w:pPr>
              <w:pStyle w:val="43"/>
              <w:jc w:val="center"/>
              <w:rPr>
                <w:rFonts w:hint="eastAsia"/>
                <w:color w:val="auto"/>
                <w:szCs w:val="21"/>
              </w:rPr>
            </w:pPr>
            <w:r>
              <w:rPr>
                <w:rFonts w:hint="eastAsia"/>
                <w:bCs/>
                <w:color w:val="auto"/>
                <w:szCs w:val="21"/>
              </w:rPr>
              <w:t>空间范围</w:t>
            </w:r>
          </w:p>
        </w:tc>
        <w:tc>
          <w:tcPr>
            <w:tcW w:w="1561" w:type="pct"/>
            <w:tcBorders>
              <w:tl2br w:val="nil"/>
              <w:tr2bl w:val="nil"/>
            </w:tcBorders>
            <w:shd w:val="clear" w:color="auto" w:fill="FFFFFF"/>
            <w:tcMar>
              <w:top w:w="150" w:type="dxa"/>
              <w:left w:w="240" w:type="dxa"/>
              <w:bottom w:w="150" w:type="dxa"/>
              <w:right w:w="240" w:type="dxa"/>
            </w:tcMar>
            <w:vAlign w:val="center"/>
          </w:tcPr>
          <w:p w14:paraId="05407416">
            <w:pPr>
              <w:pStyle w:val="43"/>
              <w:rPr>
                <w:rFonts w:hint="eastAsia"/>
                <w:color w:val="auto"/>
                <w:szCs w:val="21"/>
              </w:rPr>
            </w:pPr>
            <w:r>
              <w:rPr>
                <w:rFonts w:hint="eastAsia"/>
                <w:bCs/>
                <w:color w:val="auto"/>
                <w:szCs w:val="21"/>
              </w:rPr>
              <w:t>以福建省行政区域为核心，并涵盖基地可能参与跨区域救援的联动范围。</w:t>
            </w:r>
          </w:p>
        </w:tc>
        <w:tc>
          <w:tcPr>
            <w:tcW w:w="2994" w:type="pct"/>
            <w:tcBorders>
              <w:tl2br w:val="nil"/>
              <w:tr2bl w:val="nil"/>
            </w:tcBorders>
            <w:shd w:val="clear" w:color="auto" w:fill="FFFFFF"/>
            <w:tcMar>
              <w:top w:w="150" w:type="dxa"/>
              <w:left w:w="240" w:type="dxa"/>
              <w:bottom w:w="150" w:type="dxa"/>
              <w:right w:w="240" w:type="dxa"/>
            </w:tcMar>
            <w:vAlign w:val="center"/>
          </w:tcPr>
          <w:p w14:paraId="14B22425">
            <w:pPr>
              <w:pStyle w:val="43"/>
              <w:rPr>
                <w:rFonts w:hint="eastAsia"/>
                <w:color w:val="auto"/>
                <w:szCs w:val="21"/>
              </w:rPr>
            </w:pPr>
            <w:r>
              <w:rPr>
                <w:rFonts w:hint="eastAsia"/>
                <w:color w:val="auto"/>
                <w:szCs w:val="21"/>
              </w:rPr>
              <w:t>福建省内事发地、救援基地、支援机构；周边省份（浙、赣、粤）的区域协作协议中与医疗救援相关的条款</w:t>
            </w:r>
          </w:p>
        </w:tc>
      </w:tr>
      <w:tr w14:paraId="777B45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15" w:type="dxa"/>
            <w:left w:w="15" w:type="dxa"/>
            <w:bottom w:w="15" w:type="dxa"/>
            <w:right w:w="15" w:type="dxa"/>
          </w:tblCellMar>
        </w:tblPrEx>
        <w:tc>
          <w:tcPr>
            <w:tcW w:w="444" w:type="pct"/>
            <w:tcBorders>
              <w:tl2br w:val="nil"/>
              <w:tr2bl w:val="nil"/>
            </w:tcBorders>
            <w:shd w:val="clear" w:color="auto" w:fill="FFFFFF"/>
            <w:tcMar>
              <w:top w:w="150" w:type="dxa"/>
              <w:left w:w="0" w:type="dxa"/>
              <w:bottom w:w="150" w:type="dxa"/>
              <w:right w:w="240" w:type="dxa"/>
            </w:tcMar>
            <w:vAlign w:val="center"/>
          </w:tcPr>
          <w:p w14:paraId="48E3B71C">
            <w:pPr>
              <w:pStyle w:val="43"/>
              <w:jc w:val="center"/>
              <w:rPr>
                <w:rFonts w:hint="eastAsia"/>
                <w:color w:val="auto"/>
                <w:szCs w:val="21"/>
              </w:rPr>
            </w:pPr>
            <w:r>
              <w:rPr>
                <w:rFonts w:hint="eastAsia"/>
                <w:bCs/>
                <w:color w:val="auto"/>
                <w:szCs w:val="21"/>
              </w:rPr>
              <w:t>责任主体</w:t>
            </w:r>
          </w:p>
        </w:tc>
        <w:tc>
          <w:tcPr>
            <w:tcW w:w="1561" w:type="pct"/>
            <w:tcBorders>
              <w:tl2br w:val="nil"/>
              <w:tr2bl w:val="nil"/>
            </w:tcBorders>
            <w:shd w:val="clear" w:color="auto" w:fill="FFFFFF"/>
            <w:tcMar>
              <w:top w:w="150" w:type="dxa"/>
              <w:left w:w="240" w:type="dxa"/>
              <w:bottom w:w="150" w:type="dxa"/>
              <w:right w:w="240" w:type="dxa"/>
            </w:tcMar>
            <w:vAlign w:val="center"/>
          </w:tcPr>
          <w:p w14:paraId="62F47EC4">
            <w:pPr>
              <w:pStyle w:val="43"/>
              <w:rPr>
                <w:rFonts w:hint="eastAsia"/>
                <w:color w:val="auto"/>
                <w:szCs w:val="21"/>
              </w:rPr>
            </w:pPr>
            <w:r>
              <w:rPr>
                <w:rFonts w:hint="eastAsia"/>
                <w:bCs/>
                <w:color w:val="auto"/>
                <w:szCs w:val="21"/>
              </w:rPr>
              <w:t>与医学救援行动直接相关的指挥、执行、保障单位及关键角色。</w:t>
            </w:r>
          </w:p>
        </w:tc>
        <w:tc>
          <w:tcPr>
            <w:tcW w:w="2994" w:type="pct"/>
            <w:tcBorders>
              <w:tl2br w:val="nil"/>
              <w:tr2bl w:val="nil"/>
            </w:tcBorders>
            <w:shd w:val="clear" w:color="auto" w:fill="FFFFFF"/>
            <w:tcMar>
              <w:top w:w="150" w:type="dxa"/>
              <w:left w:w="240" w:type="dxa"/>
              <w:bottom w:w="150" w:type="dxa"/>
              <w:right w:w="240" w:type="dxa"/>
            </w:tcMar>
            <w:vAlign w:val="center"/>
          </w:tcPr>
          <w:p w14:paraId="58B01DFD">
            <w:pPr>
              <w:pStyle w:val="43"/>
              <w:rPr>
                <w:rFonts w:hint="eastAsia"/>
                <w:color w:val="auto"/>
                <w:szCs w:val="21"/>
              </w:rPr>
            </w:pPr>
            <w:r>
              <w:rPr>
                <w:rFonts w:hint="eastAsia"/>
                <w:bCs/>
                <w:color w:val="auto"/>
                <w:szCs w:val="21"/>
              </w:rPr>
              <w:t>指挥机构：</w:t>
            </w:r>
            <w:r>
              <w:rPr>
                <w:rFonts w:hint="eastAsia"/>
                <w:color w:val="auto"/>
                <w:szCs w:val="21"/>
              </w:rPr>
              <w:t>省卫健委应急办、现场指挥部</w:t>
            </w:r>
            <w:r>
              <w:rPr>
                <w:rFonts w:hint="eastAsia"/>
                <w:color w:val="auto"/>
                <w:szCs w:val="21"/>
              </w:rPr>
              <w:br w:type="textWrapping"/>
            </w:r>
            <w:r>
              <w:rPr>
                <w:rFonts w:hint="eastAsia"/>
                <w:bCs/>
                <w:color w:val="auto"/>
                <w:szCs w:val="21"/>
              </w:rPr>
              <w:t>执行单位：福建紧急医学救援基地</w:t>
            </w:r>
            <w:r>
              <w:rPr>
                <w:rFonts w:hint="eastAsia"/>
                <w:color w:val="auto"/>
                <w:szCs w:val="21"/>
              </w:rPr>
              <w:t>、120急救中心、定点医院、疾控中心</w:t>
            </w:r>
            <w:r>
              <w:rPr>
                <w:rFonts w:hint="eastAsia"/>
                <w:color w:val="auto"/>
                <w:szCs w:val="21"/>
              </w:rPr>
              <w:br w:type="textWrapping"/>
            </w:r>
            <w:r>
              <w:rPr>
                <w:rFonts w:hint="eastAsia"/>
                <w:bCs/>
                <w:color w:val="auto"/>
                <w:szCs w:val="21"/>
              </w:rPr>
              <w:t>保障单位：</w:t>
            </w:r>
            <w:r>
              <w:rPr>
                <w:rFonts w:hint="eastAsia"/>
                <w:color w:val="auto"/>
                <w:szCs w:val="21"/>
              </w:rPr>
              <w:t>血液中心、药品器械储备库、交通部门、公安部门</w:t>
            </w:r>
            <w:r>
              <w:rPr>
                <w:rFonts w:hint="eastAsia"/>
                <w:color w:val="auto"/>
                <w:szCs w:val="21"/>
              </w:rPr>
              <w:br w:type="textWrapping"/>
            </w:r>
            <w:r>
              <w:rPr>
                <w:rFonts w:hint="eastAsia"/>
                <w:bCs/>
                <w:color w:val="auto"/>
                <w:szCs w:val="21"/>
              </w:rPr>
              <w:t>关键人员：</w:t>
            </w:r>
            <w:r>
              <w:rPr>
                <w:rFonts w:hint="eastAsia"/>
                <w:color w:val="auto"/>
                <w:szCs w:val="21"/>
              </w:rPr>
              <w:t>应急专家组成员、医疗队队长</w:t>
            </w:r>
          </w:p>
        </w:tc>
      </w:tr>
      <w:tr w14:paraId="3005809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444" w:type="pct"/>
            <w:tcBorders>
              <w:tl2br w:val="nil"/>
              <w:tr2bl w:val="nil"/>
            </w:tcBorders>
            <w:shd w:val="clear" w:color="auto" w:fill="FFFFFF"/>
            <w:tcMar>
              <w:top w:w="150" w:type="dxa"/>
              <w:left w:w="0" w:type="dxa"/>
              <w:bottom w:w="150" w:type="dxa"/>
              <w:right w:w="240" w:type="dxa"/>
            </w:tcMar>
            <w:vAlign w:val="center"/>
          </w:tcPr>
          <w:p w14:paraId="4F1CC05B">
            <w:pPr>
              <w:pStyle w:val="43"/>
              <w:jc w:val="center"/>
              <w:rPr>
                <w:rFonts w:hint="eastAsia"/>
                <w:color w:val="auto"/>
                <w:szCs w:val="21"/>
              </w:rPr>
            </w:pPr>
            <w:r>
              <w:rPr>
                <w:rFonts w:hint="eastAsia"/>
                <w:bCs/>
                <w:color w:val="auto"/>
                <w:szCs w:val="21"/>
              </w:rPr>
              <w:t>核心实体与关系</w:t>
            </w:r>
          </w:p>
        </w:tc>
        <w:tc>
          <w:tcPr>
            <w:tcW w:w="1561" w:type="pct"/>
            <w:tcBorders>
              <w:tl2br w:val="nil"/>
              <w:tr2bl w:val="nil"/>
            </w:tcBorders>
            <w:shd w:val="clear" w:color="auto" w:fill="FFFFFF"/>
            <w:tcMar>
              <w:top w:w="150" w:type="dxa"/>
              <w:left w:w="240" w:type="dxa"/>
              <w:bottom w:w="150" w:type="dxa"/>
              <w:right w:w="240" w:type="dxa"/>
            </w:tcMar>
            <w:vAlign w:val="center"/>
          </w:tcPr>
          <w:p w14:paraId="1D0C32B6">
            <w:pPr>
              <w:pStyle w:val="43"/>
              <w:rPr>
                <w:rFonts w:hint="eastAsia"/>
                <w:color w:val="auto"/>
                <w:szCs w:val="21"/>
              </w:rPr>
            </w:pPr>
            <w:r>
              <w:rPr>
                <w:rFonts w:hint="eastAsia"/>
                <w:bCs/>
                <w:color w:val="auto"/>
                <w:szCs w:val="21"/>
              </w:rPr>
              <w:t>构成图谱节点的实体和描述其之间联系的关系。</w:t>
            </w:r>
          </w:p>
        </w:tc>
        <w:tc>
          <w:tcPr>
            <w:tcW w:w="2994" w:type="pct"/>
            <w:tcBorders>
              <w:tl2br w:val="nil"/>
              <w:tr2bl w:val="nil"/>
            </w:tcBorders>
            <w:shd w:val="clear" w:color="auto" w:fill="FFFFFF"/>
            <w:tcMar>
              <w:top w:w="150" w:type="dxa"/>
              <w:left w:w="240" w:type="dxa"/>
              <w:bottom w:w="150" w:type="dxa"/>
              <w:right w:w="240" w:type="dxa"/>
            </w:tcMar>
            <w:vAlign w:val="center"/>
          </w:tcPr>
          <w:p w14:paraId="780226D0">
            <w:pPr>
              <w:pStyle w:val="43"/>
              <w:rPr>
                <w:rFonts w:hint="eastAsia"/>
                <w:color w:val="auto"/>
                <w:szCs w:val="21"/>
              </w:rPr>
            </w:pPr>
            <w:r>
              <w:rPr>
                <w:rFonts w:hint="eastAsia"/>
                <w:bCs/>
                <w:color w:val="auto"/>
                <w:szCs w:val="21"/>
              </w:rPr>
              <w:t>实体：</w:t>
            </w:r>
            <w:r>
              <w:rPr>
                <w:rFonts w:hint="eastAsia"/>
                <w:color w:val="auto"/>
                <w:szCs w:val="21"/>
              </w:rPr>
              <w:t>预案、事件、响应级别、措施、机构、人员、物资、装备、地点、规则</w:t>
            </w:r>
          </w:p>
          <w:p w14:paraId="0597EA55">
            <w:pPr>
              <w:pStyle w:val="43"/>
              <w:rPr>
                <w:rFonts w:hint="eastAsia"/>
                <w:color w:val="auto"/>
                <w:szCs w:val="21"/>
              </w:rPr>
            </w:pPr>
            <w:r>
              <w:rPr>
                <w:rFonts w:hint="eastAsia"/>
                <w:bCs/>
                <w:color w:val="auto"/>
                <w:szCs w:val="21"/>
              </w:rPr>
              <w:t>关系：属于...级别、触发...措施、规定...职责、需要...资源、位于...地点、遵循...规则</w:t>
            </w:r>
          </w:p>
        </w:tc>
      </w:tr>
      <w:tr w14:paraId="0304FE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444" w:type="pct"/>
            <w:tcBorders>
              <w:tl2br w:val="nil"/>
              <w:tr2bl w:val="nil"/>
            </w:tcBorders>
            <w:shd w:val="clear" w:color="auto" w:fill="FFFFFF"/>
            <w:tcMar>
              <w:top w:w="150" w:type="dxa"/>
              <w:left w:w="0" w:type="dxa"/>
              <w:bottom w:w="150" w:type="dxa"/>
              <w:right w:w="240" w:type="dxa"/>
            </w:tcMar>
            <w:vAlign w:val="center"/>
          </w:tcPr>
          <w:p w14:paraId="5E230628">
            <w:pPr>
              <w:pStyle w:val="43"/>
              <w:jc w:val="center"/>
              <w:rPr>
                <w:rFonts w:hint="eastAsia"/>
                <w:color w:val="auto"/>
                <w:szCs w:val="21"/>
              </w:rPr>
            </w:pPr>
            <w:r>
              <w:rPr>
                <w:rFonts w:hint="eastAsia"/>
                <w:bCs/>
                <w:color w:val="auto"/>
                <w:szCs w:val="21"/>
              </w:rPr>
              <w:t>应用阶段</w:t>
            </w:r>
          </w:p>
        </w:tc>
        <w:tc>
          <w:tcPr>
            <w:tcW w:w="1561" w:type="pct"/>
            <w:tcBorders>
              <w:tl2br w:val="nil"/>
              <w:tr2bl w:val="nil"/>
            </w:tcBorders>
            <w:shd w:val="clear" w:color="auto" w:fill="FFFFFF"/>
            <w:tcMar>
              <w:top w:w="150" w:type="dxa"/>
              <w:left w:w="240" w:type="dxa"/>
              <w:bottom w:w="150" w:type="dxa"/>
              <w:right w:w="240" w:type="dxa"/>
            </w:tcMar>
            <w:vAlign w:val="center"/>
          </w:tcPr>
          <w:p w14:paraId="00B01C8E">
            <w:pPr>
              <w:pStyle w:val="43"/>
              <w:rPr>
                <w:rFonts w:hint="eastAsia"/>
                <w:color w:val="auto"/>
                <w:szCs w:val="21"/>
              </w:rPr>
            </w:pPr>
            <w:r>
              <w:rPr>
                <w:rFonts w:hint="eastAsia"/>
                <w:bCs/>
                <w:color w:val="auto"/>
                <w:szCs w:val="21"/>
              </w:rPr>
              <w:t>围绕应急响应全流程的关键环节。</w:t>
            </w:r>
          </w:p>
        </w:tc>
        <w:tc>
          <w:tcPr>
            <w:tcW w:w="2994" w:type="pct"/>
            <w:tcBorders>
              <w:tl2br w:val="nil"/>
              <w:tr2bl w:val="nil"/>
            </w:tcBorders>
            <w:shd w:val="clear" w:color="auto" w:fill="FFFFFF"/>
            <w:tcMar>
              <w:top w:w="150" w:type="dxa"/>
              <w:left w:w="240" w:type="dxa"/>
              <w:bottom w:w="150" w:type="dxa"/>
              <w:right w:w="240" w:type="dxa"/>
            </w:tcMar>
            <w:vAlign w:val="center"/>
          </w:tcPr>
          <w:p w14:paraId="7F4415E6">
            <w:pPr>
              <w:pStyle w:val="43"/>
              <w:rPr>
                <w:rFonts w:hint="eastAsia"/>
                <w:color w:val="auto"/>
                <w:szCs w:val="21"/>
              </w:rPr>
            </w:pPr>
            <w:r>
              <w:rPr>
                <w:rFonts w:hint="eastAsia"/>
                <w:bCs/>
                <w:color w:val="auto"/>
                <w:szCs w:val="21"/>
              </w:rPr>
              <w:t>预警研判：</w:t>
            </w:r>
            <w:r>
              <w:rPr>
                <w:rFonts w:hint="eastAsia"/>
                <w:color w:val="auto"/>
                <w:szCs w:val="21"/>
              </w:rPr>
              <w:t>监测指标与规则</w:t>
            </w:r>
          </w:p>
          <w:p w14:paraId="72092019">
            <w:pPr>
              <w:pStyle w:val="43"/>
              <w:rPr>
                <w:rFonts w:hint="eastAsia"/>
                <w:color w:val="auto"/>
                <w:szCs w:val="21"/>
              </w:rPr>
            </w:pPr>
            <w:r>
              <w:rPr>
                <w:rFonts w:hint="eastAsia"/>
                <w:bCs/>
                <w:color w:val="auto"/>
                <w:szCs w:val="21"/>
              </w:rPr>
              <w:t>响应启动：</w:t>
            </w:r>
            <w:r>
              <w:rPr>
                <w:rFonts w:hint="eastAsia"/>
                <w:color w:val="auto"/>
                <w:szCs w:val="21"/>
              </w:rPr>
              <w:t>启动条件与级别</w:t>
            </w:r>
          </w:p>
          <w:p w14:paraId="63215B16">
            <w:pPr>
              <w:pStyle w:val="43"/>
              <w:rPr>
                <w:rFonts w:hint="eastAsia"/>
                <w:color w:val="auto"/>
                <w:szCs w:val="21"/>
              </w:rPr>
            </w:pPr>
            <w:r>
              <w:rPr>
                <w:rFonts w:hint="eastAsia"/>
                <w:bCs/>
                <w:color w:val="auto"/>
                <w:szCs w:val="21"/>
              </w:rPr>
              <w:t>救援执行：</w:t>
            </w:r>
            <w:r>
              <w:rPr>
                <w:rFonts w:hint="eastAsia"/>
                <w:color w:val="auto"/>
                <w:szCs w:val="21"/>
              </w:rPr>
              <w:t>措施、任务、流程</w:t>
            </w:r>
          </w:p>
          <w:p w14:paraId="11B04C83">
            <w:pPr>
              <w:pStyle w:val="43"/>
              <w:rPr>
                <w:rFonts w:hint="eastAsia"/>
                <w:color w:val="auto"/>
                <w:szCs w:val="21"/>
              </w:rPr>
            </w:pPr>
            <w:r>
              <w:rPr>
                <w:rFonts w:hint="eastAsia"/>
                <w:bCs/>
                <w:color w:val="auto"/>
                <w:szCs w:val="21"/>
              </w:rPr>
              <w:t>资源调度：</w:t>
            </w:r>
            <w:r>
              <w:rPr>
                <w:rFonts w:hint="eastAsia"/>
                <w:color w:val="auto"/>
                <w:szCs w:val="21"/>
              </w:rPr>
              <w:t>物资、人员、装备的调配与需求关系</w:t>
            </w:r>
          </w:p>
          <w:p w14:paraId="3373F82F">
            <w:pPr>
              <w:pStyle w:val="43"/>
              <w:rPr>
                <w:rFonts w:hint="eastAsia"/>
                <w:color w:val="auto"/>
                <w:szCs w:val="21"/>
              </w:rPr>
            </w:pPr>
            <w:r>
              <w:rPr>
                <w:rFonts w:hint="eastAsia"/>
                <w:bCs/>
                <w:color w:val="auto"/>
                <w:szCs w:val="21"/>
              </w:rPr>
              <w:t>总结评估：</w:t>
            </w:r>
            <w:r>
              <w:rPr>
                <w:rFonts w:hint="eastAsia"/>
                <w:color w:val="auto"/>
                <w:szCs w:val="21"/>
              </w:rPr>
              <w:t>事后评估报告与预案改进点</w:t>
            </w:r>
          </w:p>
        </w:tc>
      </w:tr>
    </w:tbl>
    <w:p w14:paraId="71A6ABD5">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决策图谱可视化编排</w:t>
      </w:r>
    </w:p>
    <w:p w14:paraId="221AFC33">
      <w:pPr>
        <w:pStyle w:val="11"/>
      </w:pPr>
      <w:r>
        <w:rPr>
          <w:rFonts w:hint="eastAsia"/>
        </w:rPr>
        <w:t>系统具备预案图谱的自动生成与可视化查看功能，能够根据输入数据快速构建结构化的预案知识图谱，并以直观的可视化形式呈现预案的逻辑结构与关联关系。同时，系统支持预案决策知识图谱的在线可视化编辑配置，用户可通过界面操作灵活调整节点属性、关系类型、布局样式等，实现对图谱的动态优化与个性化定制，以满足不同场景下的应急需求和展示要求。</w:t>
      </w:r>
    </w:p>
    <w:p w14:paraId="0049F7A3">
      <w:pPr>
        <w:pStyle w:val="3"/>
        <w:keepNext/>
        <w:keepLines/>
        <w:pageBreakBefore w:val="0"/>
        <w:widowControl w:val="0"/>
        <w:kinsoku/>
        <w:wordWrap/>
        <w:overflowPunct/>
        <w:topLinePunct w:val="0"/>
        <w:autoSpaceDE/>
        <w:autoSpaceDN/>
        <w:bidi w:val="0"/>
        <w:adjustRightInd/>
        <w:snapToGrid w:val="0"/>
        <w:spacing w:before="240" w:after="240"/>
        <w:textAlignment w:val="auto"/>
        <w:outlineLvl w:val="1"/>
      </w:pPr>
      <w:r>
        <w:rPr>
          <w:rFonts w:hint="eastAsia"/>
        </w:rPr>
        <w:t>应急知识管理</w:t>
      </w:r>
    </w:p>
    <w:p w14:paraId="30ADEA27">
      <w:pPr>
        <w:pStyle w:val="11"/>
      </w:pPr>
      <w:r>
        <w:rPr>
          <w:rFonts w:hint="eastAsia"/>
        </w:rPr>
        <w:t>建设应急知识库，包括事件案例、法律法规、标准规划等类容，同时支持紧急医学救援专题知识构建和管理，提供紧急医学救援处置的专业知识管理。</w:t>
      </w:r>
    </w:p>
    <w:p w14:paraId="1AFCAE04">
      <w:pPr>
        <w:pStyle w:val="4"/>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应急知识图谱</w:t>
      </w:r>
    </w:p>
    <w:p w14:paraId="6AAC9B21">
      <w:pPr>
        <w:pStyle w:val="11"/>
      </w:pPr>
      <w:r>
        <w:rPr>
          <w:rFonts w:hint="eastAsia"/>
        </w:rPr>
        <w:t>应急知识图谱，赋能应急管理领域，发挥数据价值，提高应用的智能支撑能力。以业务为驱动，将数据、知识、专家经验汇集到一起，挖掘核心业务要点，实现数据间复杂关系网络的构建，为应急管理业务提供融合的关系网络。基于关系网络进行综合的计算、研判和预测，给予安全评估与预警、处置措施建议和救援专家遴选参考等。</w:t>
      </w:r>
    </w:p>
    <w:p w14:paraId="7AC82C5B">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灾害事件图谱</w:t>
      </w:r>
    </w:p>
    <w:p w14:paraId="6C5AAA6C">
      <w:pPr>
        <w:pStyle w:val="11"/>
      </w:pPr>
      <w:r>
        <w:rPr>
          <w:rFonts w:hint="eastAsia"/>
        </w:rPr>
        <w:t>灾害事件图谱主要包括突发事件基本信息、事件类型、事件影响、关联承灾体、涉事组织、参与物质、关联预案、关联法律法规、事发原因以及各类型突发事件特有信息，通过连接实体构建事件关系网络，全面掌握事件相关信息。</w:t>
      </w:r>
    </w:p>
    <w:p w14:paraId="6D48EBBD">
      <w:pPr>
        <w:pStyle w:val="11"/>
      </w:pPr>
      <w:r>
        <w:rPr>
          <w:rFonts w:hint="eastAsia"/>
        </w:rPr>
        <w:t>灾害事件图谱是基于《突发事件应对法》、《突发事件分类与编码》、《突发公共卫生事件应对法》等法律法规与国家标准结合应急管理设计与构建的灾害事件图谱。图谱主要针对造成人、物或社会系统灾害性破坏的事件及其处置与调查建立的，主要包括突发事件基本信息、事件影响、事发原因以及各类型突发事件特有信息。事件类型主要包含自然灾害类和安全生产类两大类突发事件，包括地震灾害、森林火灾、草原火灾、水旱灾害、火灾事故、非煤矿山事故、危化品事故、工商贸事故、烟花爆竹事故、煤矿事故等灾害类型。事件影响主要包括环境影响、人员影响、交通影响、通讯影响等影响。事件原因主要包括人、机、环、管四类原因。</w:t>
      </w:r>
    </w:p>
    <w:p w14:paraId="2188B144">
      <w:pPr>
        <w:pStyle w:val="11"/>
      </w:pPr>
      <w:r>
        <w:rPr>
          <w:rFonts w:hint="eastAsia"/>
        </w:rPr>
        <w:t>基本信息主要包括事件名称、事件类型、事发时间、事发地点、事故等级、轻伤人数、重伤人数、死亡人数、失踪人数、受灾人数、安置人数、直接经济损失等。</w:t>
      </w:r>
    </w:p>
    <w:p w14:paraId="14053E12">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灾害事件链图谱</w:t>
      </w:r>
    </w:p>
    <w:p w14:paraId="282AED24">
      <w:pPr>
        <w:pStyle w:val="11"/>
      </w:pPr>
      <w:r>
        <w:rPr>
          <w:rFonts w:hint="eastAsia"/>
        </w:rPr>
        <w:t>灾害案例事件的事件链关系网络展示，用来描述突发事件发展的不同阶段、不同过程、可能造成的次生、衍生事件的一种突发事件的链式关系图，基于事件链关系网络预测事件链/灾害链的发生，并给予重点隐患、次生灾害等方面的预警及处置措施建议，辅助灾害事故精准处置。</w:t>
      </w:r>
    </w:p>
    <w:p w14:paraId="11D84530">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人员单位责任图谱</w:t>
      </w:r>
    </w:p>
    <w:p w14:paraId="30E30460">
      <w:pPr>
        <w:pStyle w:val="11"/>
      </w:pPr>
      <w:r>
        <w:rPr>
          <w:rFonts w:hint="eastAsia"/>
        </w:rPr>
        <w:t>人员单位责任图谱主要基于《应急管理部职能配置、内设机构和人员编制规定》结合应急管理业务进行设计与构建。主要是针对应急管理行政体系内的各类人员与其职能所属机构构建的图谱。主要包括部门体系、职务体系、管理事项、人员、职务级别等。各部门拥有各类职务，人员通过承担各类职务从而管理行政系统内各类事项，并通过了解人员毕业院校，过往任职机构与职务，从而方便平时人事行政管理以及灾害发生后的人员调配。</w:t>
      </w:r>
    </w:p>
    <w:p w14:paraId="102BAAB9">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应急专家图谱</w:t>
      </w:r>
    </w:p>
    <w:p w14:paraId="7641387F">
      <w:pPr>
        <w:pStyle w:val="11"/>
      </w:pPr>
      <w:r>
        <w:rPr>
          <w:rFonts w:hint="eastAsia"/>
        </w:rPr>
        <w:t>应急专家知识图谱依照四大类突发事件等突发事件标准及业内专家业务类型分类，并结合应急管理相关业务进行构建。应急专家图谱包括专家基本信息、供职机构、所在地址、专业、擅长行业领域、事故处置经历、主要成果等，在发生突发事件时通过对专家信息的筛选，快速匹配出最适合参与事故救援的专家，对相关突发事件进行处置，降低突发事件产生的影响及造成的损失。</w:t>
      </w:r>
    </w:p>
    <w:p w14:paraId="3F21504E">
      <w:pPr>
        <w:pStyle w:val="11"/>
      </w:pPr>
      <w:r>
        <w:rPr>
          <w:rFonts w:hint="eastAsia"/>
        </w:rPr>
        <w:t>应急专家知识图谱依照四大类突发事件等突发事件标准及业内专家业务类型分类，并结合应急管理相关业务进行构建。</w:t>
      </w:r>
    </w:p>
    <w:p w14:paraId="7C129706">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应急医疗救援队伍图谱</w:t>
      </w:r>
    </w:p>
    <w:p w14:paraId="7038C773">
      <w:pPr>
        <w:pStyle w:val="11"/>
      </w:pPr>
      <w:r>
        <w:rPr>
          <w:rFonts w:hint="eastAsia"/>
        </w:rPr>
        <w:t>应急医疗救援队伍图谱包括位置、人数、联系人等队伍基本信息、主管单位、队伍救援经历、拥有的装备、队伍类别，装备又包括规格型号、计量单位、数量、联系人、装备类别等，主管单位负责主管各个队伍，各个队伍也有相关联系人信息，相关负责人负责队伍以及应急救援装备。在发生突发事件时，根据现场人员反馈的情况，通过设置位置、队伍类别、拥有的装备、救援经历等过滤条件，调度条件最优的救援队伍参与事故救援，降低突发事件产生的影响。</w:t>
      </w:r>
    </w:p>
    <w:p w14:paraId="4D4873CC">
      <w:pPr>
        <w:pStyle w:val="4"/>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知识抽取管理</w:t>
      </w:r>
    </w:p>
    <w:p w14:paraId="6F8F3E09">
      <w:pPr>
        <w:pStyle w:val="11"/>
      </w:pPr>
      <w:r>
        <w:rPr>
          <w:rFonts w:hint="eastAsia"/>
        </w:rPr>
        <w:t>面向自然灾害知识各要素单元的不同描述特点，研究规则模型、机器学习与深度学习相结合的快速高效模式识别与语义理解方法，构建基于文本的知识自动提取模型，准确提取知识体系中的概念、概念特征属性及其语义关系。</w:t>
      </w:r>
    </w:p>
    <w:p w14:paraId="654BD2CF">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数据标注</w:t>
      </w:r>
    </w:p>
    <w:p w14:paraId="28E32CA3">
      <w:pPr>
        <w:pStyle w:val="11"/>
      </w:pPr>
      <w:r>
        <w:rPr>
          <w:rFonts w:hint="eastAsia"/>
        </w:rPr>
        <w:t>自然灾害领域知识中具有特定意义或者指代性强的实体，包括灾害类型、地点、时间、专有名词等预先定义。面向知识工程师，提供样本数据集管理、实体标注、关系标注、标注数据集导出等能力。通过数据标注，将样本数据集整理成包含实体和关系信息的标注数据集，作为后续模型训练的样本。</w:t>
      </w:r>
    </w:p>
    <w:p w14:paraId="2E343019">
      <w:pPr>
        <w:pStyle w:val="11"/>
      </w:pPr>
      <w:r>
        <w:rPr>
          <w:rFonts w:hint="eastAsia"/>
        </w:rPr>
        <w:t>（1）标注项目管理</w:t>
      </w:r>
    </w:p>
    <w:p w14:paraId="2326027B">
      <w:pPr>
        <w:pStyle w:val="11"/>
      </w:pPr>
      <w:r>
        <w:rPr>
          <w:rFonts w:hint="eastAsia"/>
        </w:rPr>
        <w:t>知识工程师，首先要创建一个标注项目，对样本数据集和标注任务进行统一管理。平台提供标注项目的创建、编辑、删除等维护操作。项目信息包括名称、描述信息等。</w:t>
      </w:r>
    </w:p>
    <w:p w14:paraId="0439E288">
      <w:pPr>
        <w:pStyle w:val="11"/>
      </w:pPr>
      <w:r>
        <w:rPr>
          <w:rFonts w:hint="eastAsia"/>
        </w:rPr>
        <w:t>（2）样本数据集管理</w:t>
      </w:r>
    </w:p>
    <w:p w14:paraId="3BB43793">
      <w:pPr>
        <w:pStyle w:val="11"/>
      </w:pPr>
      <w:r>
        <w:rPr>
          <w:rFonts w:hint="eastAsia"/>
        </w:rPr>
        <w:t>进行一个标注项目，首先要建立样本数据集，基于数据集进行实体和关系的标注。平台提供数据集的导入、导出功能。导入的样本数据集支持多种格式。</w:t>
      </w:r>
    </w:p>
    <w:p w14:paraId="0BC4D6C6">
      <w:pPr>
        <w:pStyle w:val="11"/>
      </w:pPr>
      <w:r>
        <w:rPr>
          <w:rFonts w:hint="eastAsia"/>
        </w:rPr>
        <w:t>标注完成后，知识工程师导出结果数据集，支持以JSONL格式导出。导出的数据集包含文本内容、标签名称、标签开始位置、标签终止位置、关系的开始标签、关系结束标签、关系类型等信息。结果数据集将作为模型训练的样本。</w:t>
      </w:r>
    </w:p>
    <w:p w14:paraId="197031A4">
      <w:pPr>
        <w:pStyle w:val="11"/>
      </w:pPr>
      <w:r>
        <w:rPr>
          <w:rFonts w:hint="eastAsia"/>
        </w:rPr>
        <w:t>（3）标注标签管理</w:t>
      </w:r>
    </w:p>
    <w:p w14:paraId="002D0D8A">
      <w:pPr>
        <w:pStyle w:val="11"/>
      </w:pPr>
      <w:r>
        <w:rPr>
          <w:rFonts w:hint="eastAsia"/>
        </w:rPr>
        <w:t>标注标签包括实体标签和关系标签。平台提供标签的创建、编辑、删除、导入、导出等操作。新建标签时，知识工程师输入标签名称、颜色等属性。</w:t>
      </w:r>
    </w:p>
    <w:p w14:paraId="5B6D1A02">
      <w:pPr>
        <w:pStyle w:val="11"/>
      </w:pPr>
      <w:r>
        <w:rPr>
          <w:rFonts w:hint="eastAsia"/>
        </w:rPr>
        <w:t>（4）任务标注</w:t>
      </w:r>
    </w:p>
    <w:p w14:paraId="038BA562">
      <w:pPr>
        <w:pStyle w:val="11"/>
      </w:pPr>
      <w:r>
        <w:rPr>
          <w:rFonts w:hint="eastAsia"/>
        </w:rPr>
        <w:t>基于已建标注项目、样本数据集、标注标签，可开展标注任务。标注任务包括实体标注、关系标注。</w:t>
      </w:r>
    </w:p>
    <w:p w14:paraId="1F545C9F">
      <w:pPr>
        <w:pStyle w:val="11"/>
      </w:pPr>
      <w:r>
        <w:rPr>
          <w:rFonts w:hint="eastAsia"/>
        </w:rPr>
        <w:t>实体标注，知识工程师通过选择文本，将文本内容与标签关联，完成实体标注。关系标注需要基于已标注的实体，知识工程师按照关系起始标签和结束标签的顺序点击实体，标注关系。</w:t>
      </w:r>
    </w:p>
    <w:p w14:paraId="02720633">
      <w:pPr>
        <w:pStyle w:val="11"/>
      </w:pPr>
      <w:r>
        <w:rPr>
          <w:rFonts w:hint="eastAsia"/>
        </w:rPr>
        <w:t>（5）标注状态</w:t>
      </w:r>
    </w:p>
    <w:p w14:paraId="6B647C1C">
      <w:pPr>
        <w:pStyle w:val="11"/>
      </w:pPr>
      <w:r>
        <w:rPr>
          <w:rFonts w:hint="eastAsia"/>
        </w:rPr>
        <w:t>标注状态，分为已完成和标注中。样本标注好后，知识工程师点击完成结束标注任务，可在页面中查看标注的情况，已完成和标注中的会有不同的颜色区分。</w:t>
      </w:r>
    </w:p>
    <w:p w14:paraId="08FA371D">
      <w:pPr>
        <w:pStyle w:val="11"/>
      </w:pPr>
      <w:r>
        <w:rPr>
          <w:rFonts w:hint="eastAsia"/>
        </w:rPr>
        <w:t>（6）标注统计，可统计样本总数，已标注或未标注样本的个数。</w:t>
      </w:r>
    </w:p>
    <w:p w14:paraId="0220FE2C">
      <w:pPr>
        <w:pStyle w:val="11"/>
      </w:pPr>
      <w:r>
        <w:rPr>
          <w:rFonts w:hint="eastAsia"/>
        </w:rPr>
        <w:t>部分实体数据清单如下：</w:t>
      </w:r>
    </w:p>
    <w:tbl>
      <w:tblPr>
        <w:tblStyle w:val="24"/>
        <w:tblW w:w="4998"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5"/>
        <w:gridCol w:w="1493"/>
        <w:gridCol w:w="7074"/>
      </w:tblGrid>
      <w:tr w14:paraId="464C6F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trPr>
        <w:tc>
          <w:tcPr>
            <w:tcW w:w="385" w:type="pct"/>
            <w:tcBorders>
              <w:tl2br w:val="nil"/>
              <w:tr2bl w:val="nil"/>
            </w:tcBorders>
            <w:shd w:val="clear" w:color="auto" w:fill="BFBFBF"/>
            <w:noWrap/>
            <w:vAlign w:val="center"/>
          </w:tcPr>
          <w:p w14:paraId="46C39F06">
            <w:pPr>
              <w:pStyle w:val="43"/>
              <w:jc w:val="center"/>
              <w:rPr>
                <w:rFonts w:hint="eastAsia"/>
                <w:b/>
                <w:bCs/>
                <w:color w:val="auto"/>
                <w:szCs w:val="21"/>
              </w:rPr>
            </w:pPr>
            <w:r>
              <w:rPr>
                <w:rFonts w:hint="eastAsia"/>
                <w:b/>
                <w:bCs/>
                <w:color w:val="auto"/>
                <w:szCs w:val="21"/>
              </w:rPr>
              <w:t>序号</w:t>
            </w:r>
          </w:p>
        </w:tc>
        <w:tc>
          <w:tcPr>
            <w:tcW w:w="804" w:type="pct"/>
            <w:tcBorders>
              <w:tl2br w:val="nil"/>
              <w:tr2bl w:val="nil"/>
            </w:tcBorders>
            <w:shd w:val="clear" w:color="auto" w:fill="BFBFBF"/>
            <w:vAlign w:val="center"/>
          </w:tcPr>
          <w:p w14:paraId="59B87622">
            <w:pPr>
              <w:pStyle w:val="43"/>
              <w:jc w:val="center"/>
              <w:rPr>
                <w:rFonts w:hint="eastAsia"/>
                <w:b/>
                <w:bCs/>
                <w:color w:val="auto"/>
                <w:szCs w:val="21"/>
              </w:rPr>
            </w:pPr>
            <w:r>
              <w:rPr>
                <w:rFonts w:hint="eastAsia"/>
                <w:b/>
                <w:bCs/>
                <w:color w:val="auto"/>
                <w:szCs w:val="21"/>
              </w:rPr>
              <w:t>实体类型</w:t>
            </w:r>
          </w:p>
        </w:tc>
        <w:tc>
          <w:tcPr>
            <w:tcW w:w="3810" w:type="pct"/>
            <w:tcBorders>
              <w:tl2br w:val="nil"/>
              <w:tr2bl w:val="nil"/>
            </w:tcBorders>
            <w:shd w:val="clear" w:color="auto" w:fill="BFBFBF"/>
            <w:vAlign w:val="center"/>
          </w:tcPr>
          <w:p w14:paraId="1498D5BD">
            <w:pPr>
              <w:pStyle w:val="43"/>
              <w:jc w:val="center"/>
              <w:rPr>
                <w:rFonts w:hint="eastAsia"/>
                <w:b/>
                <w:bCs/>
                <w:color w:val="auto"/>
                <w:szCs w:val="21"/>
              </w:rPr>
            </w:pPr>
            <w:r>
              <w:rPr>
                <w:rFonts w:hint="eastAsia"/>
                <w:b/>
                <w:bCs/>
                <w:color w:val="auto"/>
                <w:szCs w:val="21"/>
              </w:rPr>
              <w:t>具体实体数据</w:t>
            </w:r>
          </w:p>
        </w:tc>
      </w:tr>
      <w:tr w14:paraId="079BC5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385" w:type="pct"/>
            <w:tcBorders>
              <w:tl2br w:val="nil"/>
              <w:tr2bl w:val="nil"/>
            </w:tcBorders>
            <w:noWrap/>
            <w:vAlign w:val="center"/>
          </w:tcPr>
          <w:p w14:paraId="7D6DCC41">
            <w:pPr>
              <w:pStyle w:val="43"/>
              <w:jc w:val="center"/>
              <w:rPr>
                <w:rFonts w:hint="eastAsia"/>
                <w:color w:val="auto"/>
                <w:szCs w:val="21"/>
              </w:rPr>
            </w:pPr>
            <w:r>
              <w:rPr>
                <w:rFonts w:hint="eastAsia"/>
                <w:color w:val="auto"/>
                <w:szCs w:val="21"/>
              </w:rPr>
              <w:t>1</w:t>
            </w:r>
          </w:p>
        </w:tc>
        <w:tc>
          <w:tcPr>
            <w:tcW w:w="804" w:type="pct"/>
            <w:tcBorders>
              <w:tl2br w:val="nil"/>
              <w:tr2bl w:val="nil"/>
            </w:tcBorders>
            <w:noWrap/>
            <w:vAlign w:val="center"/>
          </w:tcPr>
          <w:p w14:paraId="7841C38F">
            <w:pPr>
              <w:pStyle w:val="43"/>
              <w:jc w:val="center"/>
              <w:rPr>
                <w:rFonts w:hint="eastAsia"/>
                <w:color w:val="auto"/>
                <w:szCs w:val="21"/>
              </w:rPr>
            </w:pPr>
            <w:r>
              <w:rPr>
                <w:rFonts w:hint="eastAsia"/>
                <w:color w:val="auto"/>
                <w:szCs w:val="21"/>
              </w:rPr>
              <w:t>灾害事件</w:t>
            </w:r>
          </w:p>
        </w:tc>
        <w:tc>
          <w:tcPr>
            <w:tcW w:w="3810" w:type="pct"/>
            <w:tcBorders>
              <w:tl2br w:val="nil"/>
              <w:tr2bl w:val="nil"/>
            </w:tcBorders>
            <w:vAlign w:val="center"/>
          </w:tcPr>
          <w:p w14:paraId="0DF83F29">
            <w:pPr>
              <w:pStyle w:val="43"/>
              <w:rPr>
                <w:rFonts w:hint="eastAsia"/>
                <w:color w:val="auto"/>
                <w:szCs w:val="21"/>
              </w:rPr>
            </w:pPr>
            <w:r>
              <w:rPr>
                <w:rFonts w:hint="eastAsia"/>
                <w:color w:val="auto"/>
                <w:szCs w:val="21"/>
              </w:rPr>
              <w:t>台风、暴雨、洪涝、地震、山体滑坡、道路交通事故、建筑坍塌、火灾、爆炸、危险化学品泄漏、核与辐射事故、大规模食物中毒、职业中毒、传染病疫情（如登革热、流感）、群体性不明原因疾病、踩踏事件</w:t>
            </w:r>
          </w:p>
        </w:tc>
      </w:tr>
      <w:tr w14:paraId="6D2D6C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385" w:type="pct"/>
            <w:tcBorders>
              <w:tl2br w:val="nil"/>
              <w:tr2bl w:val="nil"/>
            </w:tcBorders>
            <w:noWrap/>
            <w:vAlign w:val="center"/>
          </w:tcPr>
          <w:p w14:paraId="7DEB6C1C">
            <w:pPr>
              <w:pStyle w:val="43"/>
              <w:jc w:val="center"/>
              <w:rPr>
                <w:rFonts w:hint="eastAsia"/>
                <w:color w:val="auto"/>
                <w:szCs w:val="21"/>
              </w:rPr>
            </w:pPr>
            <w:r>
              <w:rPr>
                <w:rFonts w:hint="eastAsia"/>
                <w:color w:val="auto"/>
                <w:szCs w:val="21"/>
              </w:rPr>
              <w:t>2</w:t>
            </w:r>
          </w:p>
        </w:tc>
        <w:tc>
          <w:tcPr>
            <w:tcW w:w="804" w:type="pct"/>
            <w:vMerge w:val="restart"/>
            <w:tcBorders>
              <w:tl2br w:val="nil"/>
              <w:tr2bl w:val="nil"/>
            </w:tcBorders>
            <w:noWrap/>
            <w:vAlign w:val="center"/>
          </w:tcPr>
          <w:p w14:paraId="4B9F6708">
            <w:pPr>
              <w:pStyle w:val="43"/>
              <w:jc w:val="center"/>
              <w:rPr>
                <w:rFonts w:hint="eastAsia"/>
                <w:color w:val="auto"/>
                <w:szCs w:val="21"/>
              </w:rPr>
            </w:pPr>
            <w:r>
              <w:rPr>
                <w:rFonts w:hint="eastAsia"/>
                <w:color w:val="auto"/>
                <w:szCs w:val="21"/>
              </w:rPr>
              <w:t>应急机构</w:t>
            </w:r>
          </w:p>
        </w:tc>
        <w:tc>
          <w:tcPr>
            <w:tcW w:w="3810" w:type="pct"/>
            <w:tcBorders>
              <w:tl2br w:val="nil"/>
              <w:tr2bl w:val="nil"/>
            </w:tcBorders>
            <w:vAlign w:val="center"/>
          </w:tcPr>
          <w:p w14:paraId="3D40774C">
            <w:pPr>
              <w:pStyle w:val="43"/>
              <w:rPr>
                <w:rFonts w:hint="eastAsia"/>
                <w:color w:val="auto"/>
                <w:szCs w:val="21"/>
              </w:rPr>
            </w:pPr>
            <w:r>
              <w:rPr>
                <w:rFonts w:hint="eastAsia"/>
                <w:color w:val="auto"/>
                <w:szCs w:val="21"/>
              </w:rPr>
              <w:t>指挥协调机构：卫生行政部门、政府应急部门等</w:t>
            </w:r>
          </w:p>
        </w:tc>
      </w:tr>
      <w:tr w14:paraId="08AE04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385" w:type="pct"/>
            <w:tcBorders>
              <w:tl2br w:val="nil"/>
              <w:tr2bl w:val="nil"/>
            </w:tcBorders>
            <w:noWrap/>
            <w:vAlign w:val="center"/>
          </w:tcPr>
          <w:p w14:paraId="02B51980">
            <w:pPr>
              <w:pStyle w:val="43"/>
              <w:jc w:val="center"/>
              <w:rPr>
                <w:rFonts w:hint="eastAsia"/>
                <w:color w:val="auto"/>
                <w:szCs w:val="21"/>
              </w:rPr>
            </w:pPr>
            <w:r>
              <w:rPr>
                <w:rFonts w:hint="eastAsia"/>
                <w:color w:val="auto"/>
                <w:szCs w:val="21"/>
              </w:rPr>
              <w:t>3</w:t>
            </w:r>
          </w:p>
        </w:tc>
        <w:tc>
          <w:tcPr>
            <w:tcW w:w="804" w:type="pct"/>
            <w:vMerge w:val="continue"/>
            <w:tcBorders>
              <w:tl2br w:val="nil"/>
              <w:tr2bl w:val="nil"/>
            </w:tcBorders>
            <w:vAlign w:val="center"/>
          </w:tcPr>
          <w:p w14:paraId="789FE930">
            <w:pPr>
              <w:pStyle w:val="43"/>
              <w:jc w:val="center"/>
              <w:rPr>
                <w:rFonts w:hint="eastAsia"/>
                <w:color w:val="auto"/>
                <w:szCs w:val="21"/>
              </w:rPr>
            </w:pPr>
          </w:p>
        </w:tc>
        <w:tc>
          <w:tcPr>
            <w:tcW w:w="3810" w:type="pct"/>
            <w:tcBorders>
              <w:tl2br w:val="nil"/>
              <w:tr2bl w:val="nil"/>
            </w:tcBorders>
            <w:vAlign w:val="center"/>
          </w:tcPr>
          <w:p w14:paraId="29C1BE4B">
            <w:pPr>
              <w:pStyle w:val="43"/>
              <w:rPr>
                <w:rFonts w:hint="eastAsia"/>
                <w:color w:val="auto"/>
                <w:szCs w:val="21"/>
              </w:rPr>
            </w:pPr>
            <w:r>
              <w:rPr>
                <w:rFonts w:hint="eastAsia"/>
                <w:color w:val="auto"/>
                <w:szCs w:val="21"/>
              </w:rPr>
              <w:t>核心执行机构: 紧急医学救援基地</w:t>
            </w:r>
          </w:p>
        </w:tc>
      </w:tr>
      <w:tr w14:paraId="4B0ACB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385" w:type="pct"/>
            <w:tcBorders>
              <w:tl2br w:val="nil"/>
              <w:tr2bl w:val="nil"/>
            </w:tcBorders>
            <w:noWrap/>
            <w:vAlign w:val="center"/>
          </w:tcPr>
          <w:p w14:paraId="16EA1158">
            <w:pPr>
              <w:pStyle w:val="43"/>
              <w:jc w:val="center"/>
              <w:rPr>
                <w:rFonts w:hint="eastAsia"/>
                <w:color w:val="auto"/>
                <w:szCs w:val="21"/>
              </w:rPr>
            </w:pPr>
            <w:r>
              <w:rPr>
                <w:rFonts w:hint="eastAsia"/>
                <w:color w:val="auto"/>
                <w:szCs w:val="21"/>
              </w:rPr>
              <w:t>4</w:t>
            </w:r>
          </w:p>
        </w:tc>
        <w:tc>
          <w:tcPr>
            <w:tcW w:w="804" w:type="pct"/>
            <w:vMerge w:val="continue"/>
            <w:tcBorders>
              <w:tl2br w:val="nil"/>
              <w:tr2bl w:val="nil"/>
            </w:tcBorders>
            <w:vAlign w:val="center"/>
          </w:tcPr>
          <w:p w14:paraId="2CA8213B">
            <w:pPr>
              <w:pStyle w:val="43"/>
              <w:jc w:val="center"/>
              <w:rPr>
                <w:rFonts w:hint="eastAsia"/>
                <w:color w:val="auto"/>
                <w:szCs w:val="21"/>
              </w:rPr>
            </w:pPr>
          </w:p>
        </w:tc>
        <w:tc>
          <w:tcPr>
            <w:tcW w:w="3810" w:type="pct"/>
            <w:tcBorders>
              <w:tl2br w:val="nil"/>
              <w:tr2bl w:val="nil"/>
            </w:tcBorders>
            <w:vAlign w:val="center"/>
          </w:tcPr>
          <w:p w14:paraId="490F9A1E">
            <w:pPr>
              <w:pStyle w:val="43"/>
              <w:rPr>
                <w:rFonts w:hint="eastAsia"/>
                <w:color w:val="auto"/>
                <w:szCs w:val="21"/>
              </w:rPr>
            </w:pPr>
            <w:r>
              <w:rPr>
                <w:rFonts w:hint="eastAsia"/>
                <w:color w:val="auto"/>
                <w:szCs w:val="21"/>
              </w:rPr>
              <w:t>医疗救援机构:</w:t>
            </w:r>
          </w:p>
          <w:p w14:paraId="769847E3">
            <w:pPr>
              <w:pStyle w:val="43"/>
              <w:rPr>
                <w:rFonts w:hint="eastAsia"/>
                <w:color w:val="auto"/>
                <w:szCs w:val="21"/>
              </w:rPr>
            </w:pPr>
            <w:r>
              <w:rPr>
                <w:rFonts w:hint="eastAsia"/>
                <w:color w:val="auto"/>
                <w:szCs w:val="21"/>
              </w:rPr>
              <w:t>省急救中心</w:t>
            </w:r>
            <w:r>
              <w:rPr>
                <w:rFonts w:hint="eastAsia"/>
                <w:color w:val="auto"/>
                <w:szCs w:val="21"/>
              </w:rPr>
              <w:br w:type="textWrapping"/>
            </w:r>
            <w:r>
              <w:rPr>
                <w:rFonts w:hint="eastAsia"/>
                <w:color w:val="auto"/>
                <w:szCs w:val="21"/>
              </w:rPr>
              <w:t>9地市急救中心 (如福州市急救中心、厦门市急救中心...)</w:t>
            </w:r>
            <w:r>
              <w:rPr>
                <w:rFonts w:hint="eastAsia"/>
                <w:color w:val="auto"/>
                <w:szCs w:val="21"/>
              </w:rPr>
              <w:br w:type="textWrapping"/>
            </w:r>
            <w:r>
              <w:rPr>
                <w:rFonts w:hint="eastAsia"/>
                <w:color w:val="auto"/>
                <w:szCs w:val="21"/>
              </w:rPr>
              <w:t>21支省级紧急医学救援队承建单位</w:t>
            </w:r>
          </w:p>
        </w:tc>
      </w:tr>
      <w:tr w14:paraId="051532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385" w:type="pct"/>
            <w:tcBorders>
              <w:tl2br w:val="nil"/>
              <w:tr2bl w:val="nil"/>
            </w:tcBorders>
            <w:noWrap/>
            <w:vAlign w:val="center"/>
          </w:tcPr>
          <w:p w14:paraId="78240C6C">
            <w:pPr>
              <w:pStyle w:val="43"/>
              <w:jc w:val="center"/>
              <w:rPr>
                <w:rFonts w:hint="eastAsia"/>
                <w:color w:val="auto"/>
                <w:szCs w:val="21"/>
              </w:rPr>
            </w:pPr>
            <w:r>
              <w:rPr>
                <w:rFonts w:hint="eastAsia"/>
                <w:color w:val="auto"/>
                <w:szCs w:val="21"/>
              </w:rPr>
              <w:t>5</w:t>
            </w:r>
          </w:p>
        </w:tc>
        <w:tc>
          <w:tcPr>
            <w:tcW w:w="804" w:type="pct"/>
            <w:vMerge w:val="continue"/>
            <w:tcBorders>
              <w:tl2br w:val="nil"/>
              <w:tr2bl w:val="nil"/>
            </w:tcBorders>
            <w:vAlign w:val="center"/>
          </w:tcPr>
          <w:p w14:paraId="19FD7197">
            <w:pPr>
              <w:pStyle w:val="43"/>
              <w:jc w:val="center"/>
              <w:rPr>
                <w:rFonts w:hint="eastAsia"/>
                <w:color w:val="auto"/>
                <w:szCs w:val="21"/>
              </w:rPr>
            </w:pPr>
          </w:p>
        </w:tc>
        <w:tc>
          <w:tcPr>
            <w:tcW w:w="3810" w:type="pct"/>
            <w:tcBorders>
              <w:tl2br w:val="nil"/>
              <w:tr2bl w:val="nil"/>
            </w:tcBorders>
            <w:vAlign w:val="center"/>
          </w:tcPr>
          <w:p w14:paraId="2AFB6621">
            <w:pPr>
              <w:pStyle w:val="43"/>
              <w:rPr>
                <w:rFonts w:hint="eastAsia"/>
                <w:color w:val="auto"/>
                <w:szCs w:val="21"/>
              </w:rPr>
            </w:pPr>
            <w:r>
              <w:rPr>
                <w:rFonts w:hint="eastAsia"/>
                <w:color w:val="auto"/>
                <w:szCs w:val="21"/>
              </w:rPr>
              <w:t>支持机构:</w:t>
            </w:r>
          </w:p>
          <w:p w14:paraId="0989C347">
            <w:pPr>
              <w:pStyle w:val="43"/>
              <w:rPr>
                <w:rFonts w:hint="eastAsia"/>
                <w:color w:val="auto"/>
                <w:szCs w:val="21"/>
              </w:rPr>
            </w:pPr>
            <w:r>
              <w:rPr>
                <w:rFonts w:hint="eastAsia"/>
                <w:color w:val="auto"/>
                <w:szCs w:val="21"/>
              </w:rPr>
              <w:t>福建省疾病预防控制中心 (省疾控中心)</w:t>
            </w:r>
            <w:r>
              <w:rPr>
                <w:rFonts w:hint="eastAsia"/>
                <w:color w:val="auto"/>
                <w:szCs w:val="21"/>
              </w:rPr>
              <w:br w:type="textWrapping"/>
            </w:r>
            <w:r>
              <w:rPr>
                <w:rFonts w:hint="eastAsia"/>
                <w:color w:val="auto"/>
                <w:szCs w:val="21"/>
              </w:rPr>
              <w:t>福建省职业病防治院 (省职防院)</w:t>
            </w:r>
            <w:r>
              <w:rPr>
                <w:rFonts w:hint="eastAsia"/>
                <w:color w:val="auto"/>
                <w:szCs w:val="21"/>
              </w:rPr>
              <w:br w:type="textWrapping"/>
            </w:r>
            <w:r>
              <w:rPr>
                <w:rFonts w:hint="eastAsia"/>
                <w:color w:val="auto"/>
                <w:szCs w:val="21"/>
              </w:rPr>
              <w:t>福建省血液中心</w:t>
            </w:r>
          </w:p>
        </w:tc>
      </w:tr>
      <w:tr w14:paraId="58B8A1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385" w:type="pct"/>
            <w:tcBorders>
              <w:tl2br w:val="nil"/>
              <w:tr2bl w:val="nil"/>
            </w:tcBorders>
            <w:noWrap/>
            <w:vAlign w:val="center"/>
          </w:tcPr>
          <w:p w14:paraId="1943973D">
            <w:pPr>
              <w:pStyle w:val="43"/>
              <w:jc w:val="center"/>
              <w:rPr>
                <w:rFonts w:hint="eastAsia"/>
                <w:color w:val="auto"/>
                <w:szCs w:val="21"/>
              </w:rPr>
            </w:pPr>
            <w:r>
              <w:rPr>
                <w:rFonts w:hint="eastAsia"/>
                <w:color w:val="auto"/>
                <w:szCs w:val="21"/>
              </w:rPr>
              <w:t>6</w:t>
            </w:r>
          </w:p>
        </w:tc>
        <w:tc>
          <w:tcPr>
            <w:tcW w:w="804" w:type="pct"/>
            <w:vMerge w:val="continue"/>
            <w:tcBorders>
              <w:tl2br w:val="nil"/>
              <w:tr2bl w:val="nil"/>
            </w:tcBorders>
            <w:vAlign w:val="center"/>
          </w:tcPr>
          <w:p w14:paraId="510DCFB5">
            <w:pPr>
              <w:pStyle w:val="43"/>
              <w:jc w:val="center"/>
              <w:rPr>
                <w:rFonts w:hint="eastAsia"/>
                <w:color w:val="auto"/>
                <w:szCs w:val="21"/>
              </w:rPr>
            </w:pPr>
          </w:p>
        </w:tc>
        <w:tc>
          <w:tcPr>
            <w:tcW w:w="3810" w:type="pct"/>
            <w:tcBorders>
              <w:tl2br w:val="nil"/>
              <w:tr2bl w:val="nil"/>
            </w:tcBorders>
            <w:vAlign w:val="center"/>
          </w:tcPr>
          <w:p w14:paraId="19E636B6">
            <w:pPr>
              <w:pStyle w:val="43"/>
              <w:rPr>
                <w:rFonts w:hint="eastAsia"/>
                <w:color w:val="auto"/>
                <w:szCs w:val="21"/>
              </w:rPr>
            </w:pPr>
            <w:r>
              <w:rPr>
                <w:rFonts w:hint="eastAsia"/>
                <w:color w:val="auto"/>
                <w:szCs w:val="21"/>
              </w:rPr>
              <w:t>联动协作机构:</w:t>
            </w:r>
          </w:p>
          <w:p w14:paraId="2FCDA36F">
            <w:pPr>
              <w:pStyle w:val="43"/>
              <w:rPr>
                <w:rFonts w:hint="eastAsia"/>
                <w:color w:val="auto"/>
                <w:szCs w:val="21"/>
              </w:rPr>
            </w:pPr>
            <w:r>
              <w:rPr>
                <w:rFonts w:hint="eastAsia"/>
                <w:color w:val="auto"/>
                <w:szCs w:val="21"/>
              </w:rPr>
              <w:t>福建省应急厅</w:t>
            </w:r>
          </w:p>
          <w:p w14:paraId="7F039F74">
            <w:pPr>
              <w:pStyle w:val="43"/>
              <w:rPr>
                <w:rFonts w:hint="eastAsia"/>
                <w:color w:val="auto"/>
                <w:szCs w:val="21"/>
              </w:rPr>
            </w:pPr>
            <w:r>
              <w:rPr>
                <w:rFonts w:hint="eastAsia"/>
                <w:color w:val="auto"/>
                <w:szCs w:val="21"/>
              </w:rPr>
              <w:t>福建省公安厅 (省公安)</w:t>
            </w:r>
          </w:p>
          <w:p w14:paraId="490925F1">
            <w:pPr>
              <w:pStyle w:val="43"/>
              <w:rPr>
                <w:rFonts w:hint="eastAsia"/>
                <w:color w:val="auto"/>
                <w:szCs w:val="21"/>
              </w:rPr>
            </w:pPr>
            <w:r>
              <w:rPr>
                <w:rFonts w:hint="eastAsia"/>
                <w:color w:val="auto"/>
                <w:szCs w:val="21"/>
              </w:rPr>
              <w:t>福建省交通运输厅 (省交通)</w:t>
            </w:r>
          </w:p>
          <w:p w14:paraId="7F0171AD">
            <w:pPr>
              <w:pStyle w:val="43"/>
              <w:rPr>
                <w:rFonts w:hint="eastAsia"/>
                <w:color w:val="auto"/>
                <w:szCs w:val="21"/>
              </w:rPr>
            </w:pPr>
            <w:r>
              <w:rPr>
                <w:rFonts w:hint="eastAsia"/>
                <w:color w:val="auto"/>
                <w:szCs w:val="21"/>
              </w:rPr>
              <w:t>通信管理局、气象局</w:t>
            </w:r>
          </w:p>
          <w:p w14:paraId="757305F6">
            <w:pPr>
              <w:pStyle w:val="43"/>
              <w:rPr>
                <w:rFonts w:hint="eastAsia"/>
                <w:color w:val="auto"/>
                <w:szCs w:val="21"/>
              </w:rPr>
            </w:pPr>
            <w:r>
              <w:rPr>
                <w:rFonts w:hint="eastAsia"/>
                <w:color w:val="auto"/>
                <w:szCs w:val="21"/>
              </w:rPr>
              <w:t>中国民用航空福建空中交通管理分局（民航福建空管分局）、交通运输部东海第二救助飞行队（东二飞）</w:t>
            </w:r>
          </w:p>
        </w:tc>
      </w:tr>
      <w:tr w14:paraId="52568C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385" w:type="pct"/>
            <w:tcBorders>
              <w:tl2br w:val="nil"/>
              <w:tr2bl w:val="nil"/>
            </w:tcBorders>
            <w:noWrap/>
            <w:vAlign w:val="center"/>
          </w:tcPr>
          <w:p w14:paraId="3E2AFE83">
            <w:pPr>
              <w:pStyle w:val="43"/>
              <w:jc w:val="center"/>
              <w:rPr>
                <w:rFonts w:hint="eastAsia"/>
                <w:color w:val="auto"/>
                <w:szCs w:val="21"/>
              </w:rPr>
            </w:pPr>
            <w:r>
              <w:rPr>
                <w:rFonts w:hint="eastAsia"/>
                <w:color w:val="auto"/>
                <w:szCs w:val="21"/>
              </w:rPr>
              <w:t>7</w:t>
            </w:r>
          </w:p>
        </w:tc>
        <w:tc>
          <w:tcPr>
            <w:tcW w:w="804" w:type="pct"/>
            <w:vMerge w:val="restart"/>
            <w:tcBorders>
              <w:tl2br w:val="nil"/>
              <w:tr2bl w:val="nil"/>
            </w:tcBorders>
            <w:noWrap/>
            <w:vAlign w:val="center"/>
          </w:tcPr>
          <w:p w14:paraId="1272C9C0">
            <w:pPr>
              <w:pStyle w:val="43"/>
              <w:jc w:val="center"/>
              <w:rPr>
                <w:rFonts w:hint="eastAsia"/>
                <w:color w:val="auto"/>
                <w:szCs w:val="21"/>
              </w:rPr>
            </w:pPr>
            <w:r>
              <w:rPr>
                <w:rFonts w:hint="eastAsia"/>
                <w:color w:val="auto"/>
                <w:szCs w:val="21"/>
              </w:rPr>
              <w:t>救援队伍</w:t>
            </w:r>
          </w:p>
        </w:tc>
        <w:tc>
          <w:tcPr>
            <w:tcW w:w="3810" w:type="pct"/>
            <w:tcBorders>
              <w:tl2br w:val="nil"/>
              <w:tr2bl w:val="nil"/>
            </w:tcBorders>
            <w:vAlign w:val="center"/>
          </w:tcPr>
          <w:p w14:paraId="58B27C47">
            <w:pPr>
              <w:pStyle w:val="43"/>
              <w:rPr>
                <w:rFonts w:hint="eastAsia"/>
                <w:color w:val="auto"/>
                <w:szCs w:val="21"/>
              </w:rPr>
            </w:pPr>
            <w:r>
              <w:rPr>
                <w:rFonts w:hint="eastAsia"/>
                <w:color w:val="auto"/>
                <w:szCs w:val="21"/>
              </w:rPr>
              <w:t>国家紧急医学救援（福建）队</w:t>
            </w:r>
          </w:p>
        </w:tc>
      </w:tr>
      <w:tr w14:paraId="3A569D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385" w:type="pct"/>
            <w:tcBorders>
              <w:tl2br w:val="nil"/>
              <w:tr2bl w:val="nil"/>
            </w:tcBorders>
            <w:noWrap/>
            <w:vAlign w:val="center"/>
          </w:tcPr>
          <w:p w14:paraId="5D49B941">
            <w:pPr>
              <w:pStyle w:val="43"/>
              <w:jc w:val="center"/>
              <w:rPr>
                <w:rFonts w:hint="eastAsia"/>
                <w:color w:val="auto"/>
                <w:szCs w:val="21"/>
              </w:rPr>
            </w:pPr>
            <w:r>
              <w:rPr>
                <w:rFonts w:hint="eastAsia"/>
                <w:color w:val="auto"/>
                <w:szCs w:val="21"/>
              </w:rPr>
              <w:t>8</w:t>
            </w:r>
          </w:p>
        </w:tc>
        <w:tc>
          <w:tcPr>
            <w:tcW w:w="804" w:type="pct"/>
            <w:vMerge w:val="continue"/>
            <w:tcBorders>
              <w:tl2br w:val="nil"/>
              <w:tr2bl w:val="nil"/>
            </w:tcBorders>
            <w:vAlign w:val="center"/>
          </w:tcPr>
          <w:p w14:paraId="7054DD75">
            <w:pPr>
              <w:pStyle w:val="43"/>
              <w:jc w:val="center"/>
              <w:rPr>
                <w:rFonts w:hint="eastAsia"/>
                <w:color w:val="auto"/>
                <w:szCs w:val="21"/>
              </w:rPr>
            </w:pPr>
          </w:p>
        </w:tc>
        <w:tc>
          <w:tcPr>
            <w:tcW w:w="3810" w:type="pct"/>
            <w:tcBorders>
              <w:tl2br w:val="nil"/>
              <w:tr2bl w:val="nil"/>
            </w:tcBorders>
            <w:vAlign w:val="center"/>
          </w:tcPr>
          <w:p w14:paraId="02C0D276">
            <w:pPr>
              <w:pStyle w:val="43"/>
              <w:rPr>
                <w:rFonts w:hint="eastAsia"/>
                <w:color w:val="auto"/>
                <w:szCs w:val="21"/>
              </w:rPr>
            </w:pPr>
            <w:r>
              <w:rPr>
                <w:rFonts w:hint="eastAsia"/>
                <w:color w:val="auto"/>
                <w:szCs w:val="21"/>
              </w:rPr>
              <w:t>21支省级紧急医学救援队</w:t>
            </w:r>
          </w:p>
        </w:tc>
      </w:tr>
      <w:tr w14:paraId="1AF576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85" w:type="pct"/>
            <w:tcBorders>
              <w:tl2br w:val="nil"/>
              <w:tr2bl w:val="nil"/>
            </w:tcBorders>
            <w:noWrap/>
            <w:vAlign w:val="center"/>
          </w:tcPr>
          <w:p w14:paraId="27D9D7C5">
            <w:pPr>
              <w:pStyle w:val="43"/>
              <w:jc w:val="center"/>
              <w:rPr>
                <w:rFonts w:hint="eastAsia"/>
                <w:color w:val="auto"/>
                <w:szCs w:val="21"/>
              </w:rPr>
            </w:pPr>
            <w:r>
              <w:rPr>
                <w:rFonts w:hint="eastAsia"/>
                <w:color w:val="auto"/>
                <w:szCs w:val="21"/>
              </w:rPr>
              <w:t>9</w:t>
            </w:r>
          </w:p>
        </w:tc>
        <w:tc>
          <w:tcPr>
            <w:tcW w:w="804" w:type="pct"/>
            <w:tcBorders>
              <w:tl2br w:val="nil"/>
              <w:tr2bl w:val="nil"/>
            </w:tcBorders>
            <w:shd w:val="clear" w:color="000000" w:fill="FFFFFF"/>
            <w:vAlign w:val="center"/>
          </w:tcPr>
          <w:p w14:paraId="6B375F0E">
            <w:pPr>
              <w:pStyle w:val="43"/>
              <w:jc w:val="center"/>
              <w:rPr>
                <w:rFonts w:hint="eastAsia"/>
                <w:color w:val="auto"/>
                <w:szCs w:val="21"/>
              </w:rPr>
            </w:pPr>
            <w:r>
              <w:rPr>
                <w:rFonts w:hint="eastAsia"/>
                <w:color w:val="auto"/>
                <w:szCs w:val="21"/>
              </w:rPr>
              <w:t>应急人员</w:t>
            </w:r>
          </w:p>
        </w:tc>
        <w:tc>
          <w:tcPr>
            <w:tcW w:w="3810" w:type="pct"/>
            <w:tcBorders>
              <w:tl2br w:val="nil"/>
              <w:tr2bl w:val="nil"/>
            </w:tcBorders>
            <w:shd w:val="clear" w:color="000000" w:fill="FFFFFF"/>
            <w:vAlign w:val="center"/>
          </w:tcPr>
          <w:p w14:paraId="464688A8">
            <w:pPr>
              <w:pStyle w:val="43"/>
              <w:rPr>
                <w:rFonts w:hint="eastAsia"/>
                <w:color w:val="auto"/>
                <w:szCs w:val="21"/>
              </w:rPr>
            </w:pPr>
            <w:r>
              <w:rPr>
                <w:rFonts w:hint="eastAsia"/>
                <w:color w:val="auto"/>
                <w:szCs w:val="21"/>
              </w:rPr>
              <w:t>指挥长、专家组成员、队长、医生、护士、消杀员、检验员、驾驶员、后勤保障人员、信息员</w:t>
            </w:r>
          </w:p>
        </w:tc>
      </w:tr>
      <w:tr w14:paraId="39C55B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85" w:type="pct"/>
            <w:tcBorders>
              <w:tl2br w:val="nil"/>
              <w:tr2bl w:val="nil"/>
            </w:tcBorders>
            <w:noWrap/>
            <w:vAlign w:val="center"/>
          </w:tcPr>
          <w:p w14:paraId="55D0657E">
            <w:pPr>
              <w:pStyle w:val="43"/>
              <w:jc w:val="center"/>
              <w:rPr>
                <w:rFonts w:hint="eastAsia"/>
                <w:color w:val="auto"/>
                <w:szCs w:val="21"/>
              </w:rPr>
            </w:pPr>
            <w:r>
              <w:rPr>
                <w:rFonts w:hint="eastAsia"/>
                <w:color w:val="auto"/>
                <w:szCs w:val="21"/>
              </w:rPr>
              <w:t>10</w:t>
            </w:r>
          </w:p>
        </w:tc>
        <w:tc>
          <w:tcPr>
            <w:tcW w:w="804" w:type="pct"/>
            <w:tcBorders>
              <w:tl2br w:val="nil"/>
              <w:tr2bl w:val="nil"/>
            </w:tcBorders>
            <w:shd w:val="clear" w:color="000000" w:fill="FFFFFF"/>
            <w:vAlign w:val="center"/>
          </w:tcPr>
          <w:p w14:paraId="36D26DD0">
            <w:pPr>
              <w:pStyle w:val="43"/>
              <w:jc w:val="center"/>
              <w:rPr>
                <w:rFonts w:hint="eastAsia"/>
                <w:color w:val="auto"/>
                <w:szCs w:val="21"/>
              </w:rPr>
            </w:pPr>
            <w:r>
              <w:rPr>
                <w:rFonts w:hint="eastAsia"/>
                <w:color w:val="auto"/>
                <w:szCs w:val="21"/>
              </w:rPr>
              <w:t>应急指令</w:t>
            </w:r>
          </w:p>
        </w:tc>
        <w:tc>
          <w:tcPr>
            <w:tcW w:w="3810" w:type="pct"/>
            <w:tcBorders>
              <w:tl2br w:val="nil"/>
              <w:tr2bl w:val="nil"/>
            </w:tcBorders>
            <w:shd w:val="clear" w:color="000000" w:fill="FFFFFF"/>
            <w:vAlign w:val="center"/>
          </w:tcPr>
          <w:p w14:paraId="41CB92A3">
            <w:pPr>
              <w:pStyle w:val="43"/>
              <w:rPr>
                <w:rFonts w:hint="eastAsia"/>
                <w:color w:val="auto"/>
                <w:szCs w:val="21"/>
              </w:rPr>
            </w:pPr>
            <w:r>
              <w:rPr>
                <w:rFonts w:hint="eastAsia"/>
                <w:color w:val="auto"/>
                <w:szCs w:val="21"/>
              </w:rPr>
              <w:t>启动Ⅰ级响应、成立指挥部、开通绿色通道、请求专家支援、调派救援队、执行分流方案、请求血液保障、协调交通管制</w:t>
            </w:r>
          </w:p>
        </w:tc>
      </w:tr>
      <w:tr w14:paraId="397C36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85" w:type="pct"/>
            <w:tcBorders>
              <w:tl2br w:val="nil"/>
              <w:tr2bl w:val="nil"/>
            </w:tcBorders>
            <w:noWrap/>
            <w:vAlign w:val="center"/>
          </w:tcPr>
          <w:p w14:paraId="635005E9">
            <w:pPr>
              <w:pStyle w:val="43"/>
              <w:jc w:val="center"/>
              <w:rPr>
                <w:rFonts w:hint="eastAsia"/>
                <w:color w:val="auto"/>
                <w:szCs w:val="21"/>
              </w:rPr>
            </w:pPr>
            <w:r>
              <w:rPr>
                <w:rFonts w:hint="eastAsia"/>
                <w:color w:val="auto"/>
                <w:szCs w:val="21"/>
              </w:rPr>
              <w:t>11</w:t>
            </w:r>
          </w:p>
        </w:tc>
        <w:tc>
          <w:tcPr>
            <w:tcW w:w="804" w:type="pct"/>
            <w:tcBorders>
              <w:tl2br w:val="nil"/>
              <w:tr2bl w:val="nil"/>
            </w:tcBorders>
            <w:shd w:val="clear" w:color="000000" w:fill="FFFFFF"/>
            <w:vAlign w:val="center"/>
          </w:tcPr>
          <w:p w14:paraId="0FFF9BC8">
            <w:pPr>
              <w:pStyle w:val="43"/>
              <w:jc w:val="center"/>
              <w:rPr>
                <w:rFonts w:hint="eastAsia"/>
                <w:color w:val="auto"/>
                <w:szCs w:val="21"/>
              </w:rPr>
            </w:pPr>
            <w:r>
              <w:rPr>
                <w:rFonts w:hint="eastAsia"/>
                <w:color w:val="auto"/>
                <w:szCs w:val="21"/>
              </w:rPr>
              <w:t>响应措施</w:t>
            </w:r>
          </w:p>
        </w:tc>
        <w:tc>
          <w:tcPr>
            <w:tcW w:w="3810" w:type="pct"/>
            <w:tcBorders>
              <w:tl2br w:val="nil"/>
              <w:tr2bl w:val="nil"/>
            </w:tcBorders>
            <w:shd w:val="clear" w:color="000000" w:fill="FFFFFF"/>
            <w:vAlign w:val="center"/>
          </w:tcPr>
          <w:p w14:paraId="5C07FCDB">
            <w:pPr>
              <w:pStyle w:val="43"/>
              <w:rPr>
                <w:rFonts w:hint="eastAsia"/>
                <w:color w:val="auto"/>
                <w:szCs w:val="21"/>
              </w:rPr>
            </w:pPr>
            <w:r>
              <w:rPr>
                <w:rFonts w:hint="eastAsia"/>
                <w:color w:val="auto"/>
                <w:szCs w:val="21"/>
              </w:rPr>
              <w:t>检伤分类、现场急救、伤员转运、院内救治、远程会诊、毒物检测、流行病学调查、洗消、血液调配、交通疏导</w:t>
            </w:r>
          </w:p>
        </w:tc>
      </w:tr>
      <w:tr w14:paraId="417B4E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85" w:type="pct"/>
            <w:tcBorders>
              <w:tl2br w:val="nil"/>
              <w:tr2bl w:val="nil"/>
            </w:tcBorders>
            <w:noWrap/>
            <w:vAlign w:val="center"/>
          </w:tcPr>
          <w:p w14:paraId="6D32580D">
            <w:pPr>
              <w:pStyle w:val="43"/>
              <w:jc w:val="center"/>
              <w:rPr>
                <w:rFonts w:hint="eastAsia"/>
                <w:color w:val="auto"/>
                <w:szCs w:val="21"/>
              </w:rPr>
            </w:pPr>
            <w:r>
              <w:rPr>
                <w:rFonts w:hint="eastAsia"/>
                <w:color w:val="auto"/>
                <w:szCs w:val="21"/>
              </w:rPr>
              <w:t>12</w:t>
            </w:r>
          </w:p>
        </w:tc>
        <w:tc>
          <w:tcPr>
            <w:tcW w:w="804" w:type="pct"/>
            <w:tcBorders>
              <w:tl2br w:val="nil"/>
              <w:tr2bl w:val="nil"/>
            </w:tcBorders>
            <w:shd w:val="clear" w:color="000000" w:fill="FFFFFF"/>
            <w:vAlign w:val="center"/>
          </w:tcPr>
          <w:p w14:paraId="3F68E7EE">
            <w:pPr>
              <w:pStyle w:val="43"/>
              <w:jc w:val="center"/>
              <w:rPr>
                <w:rFonts w:hint="eastAsia"/>
                <w:color w:val="auto"/>
                <w:szCs w:val="21"/>
              </w:rPr>
            </w:pPr>
            <w:r>
              <w:rPr>
                <w:rFonts w:hint="eastAsia"/>
                <w:color w:val="auto"/>
                <w:szCs w:val="21"/>
              </w:rPr>
              <w:t>应急资源</w:t>
            </w:r>
          </w:p>
        </w:tc>
        <w:tc>
          <w:tcPr>
            <w:tcW w:w="3810" w:type="pct"/>
            <w:tcBorders>
              <w:tl2br w:val="nil"/>
              <w:tr2bl w:val="nil"/>
            </w:tcBorders>
            <w:shd w:val="clear" w:color="000000" w:fill="FFFFFF"/>
            <w:vAlign w:val="center"/>
          </w:tcPr>
          <w:p w14:paraId="36965D05">
            <w:pPr>
              <w:pStyle w:val="43"/>
              <w:rPr>
                <w:rFonts w:hint="eastAsia"/>
                <w:color w:val="auto"/>
                <w:szCs w:val="21"/>
              </w:rPr>
            </w:pPr>
            <w:r>
              <w:rPr>
                <w:rFonts w:hint="eastAsia"/>
                <w:color w:val="auto"/>
                <w:szCs w:val="21"/>
              </w:rPr>
              <w:t>救护车(负压救护车)、指挥车、物资车、移动医院装备、便携式呼吸机、监护仪、防护服、疫苗、药品、血液制品</w:t>
            </w:r>
          </w:p>
        </w:tc>
      </w:tr>
      <w:tr w14:paraId="123BC6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85" w:type="pct"/>
            <w:tcBorders>
              <w:tl2br w:val="nil"/>
              <w:tr2bl w:val="nil"/>
            </w:tcBorders>
            <w:noWrap/>
            <w:vAlign w:val="center"/>
          </w:tcPr>
          <w:p w14:paraId="3273DC03">
            <w:pPr>
              <w:pStyle w:val="43"/>
              <w:jc w:val="center"/>
              <w:rPr>
                <w:rFonts w:hint="eastAsia"/>
                <w:color w:val="auto"/>
                <w:szCs w:val="21"/>
              </w:rPr>
            </w:pPr>
            <w:r>
              <w:rPr>
                <w:rFonts w:hint="eastAsia"/>
                <w:color w:val="auto"/>
                <w:szCs w:val="21"/>
              </w:rPr>
              <w:t>13</w:t>
            </w:r>
          </w:p>
        </w:tc>
        <w:tc>
          <w:tcPr>
            <w:tcW w:w="804" w:type="pct"/>
            <w:tcBorders>
              <w:tl2br w:val="nil"/>
              <w:tr2bl w:val="nil"/>
            </w:tcBorders>
            <w:shd w:val="clear" w:color="000000" w:fill="FFFFFF"/>
            <w:vAlign w:val="center"/>
          </w:tcPr>
          <w:p w14:paraId="21CC1EA2">
            <w:pPr>
              <w:pStyle w:val="43"/>
              <w:jc w:val="center"/>
              <w:rPr>
                <w:rFonts w:hint="eastAsia"/>
                <w:color w:val="auto"/>
                <w:szCs w:val="21"/>
              </w:rPr>
            </w:pPr>
            <w:r>
              <w:rPr>
                <w:rFonts w:hint="eastAsia"/>
                <w:color w:val="auto"/>
                <w:szCs w:val="21"/>
              </w:rPr>
              <w:t>地点</w:t>
            </w:r>
          </w:p>
        </w:tc>
        <w:tc>
          <w:tcPr>
            <w:tcW w:w="3810" w:type="pct"/>
            <w:tcBorders>
              <w:tl2br w:val="nil"/>
              <w:tr2bl w:val="nil"/>
            </w:tcBorders>
            <w:shd w:val="clear" w:color="000000" w:fill="FFFFFF"/>
            <w:vAlign w:val="center"/>
          </w:tcPr>
          <w:p w14:paraId="2EBFE187">
            <w:pPr>
              <w:pStyle w:val="43"/>
              <w:rPr>
                <w:rFonts w:hint="eastAsia"/>
                <w:color w:val="auto"/>
                <w:szCs w:val="21"/>
              </w:rPr>
            </w:pPr>
            <w:r>
              <w:rPr>
                <w:rFonts w:hint="eastAsia"/>
                <w:color w:val="auto"/>
                <w:szCs w:val="21"/>
              </w:rPr>
              <w:t>行政区划、事发地、集结点、救治点、转运路线、医院</w:t>
            </w:r>
          </w:p>
        </w:tc>
      </w:tr>
      <w:tr w14:paraId="613881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385" w:type="pct"/>
            <w:tcBorders>
              <w:tl2br w:val="nil"/>
              <w:tr2bl w:val="nil"/>
            </w:tcBorders>
            <w:noWrap/>
            <w:vAlign w:val="center"/>
          </w:tcPr>
          <w:p w14:paraId="1A2C5115">
            <w:pPr>
              <w:pStyle w:val="43"/>
              <w:jc w:val="center"/>
              <w:rPr>
                <w:rFonts w:hint="eastAsia"/>
                <w:color w:val="auto"/>
                <w:szCs w:val="21"/>
              </w:rPr>
            </w:pPr>
            <w:r>
              <w:rPr>
                <w:rFonts w:hint="eastAsia"/>
                <w:color w:val="auto"/>
                <w:szCs w:val="21"/>
              </w:rPr>
              <w:t>14</w:t>
            </w:r>
          </w:p>
        </w:tc>
        <w:tc>
          <w:tcPr>
            <w:tcW w:w="804" w:type="pct"/>
            <w:tcBorders>
              <w:tl2br w:val="nil"/>
              <w:tr2bl w:val="nil"/>
            </w:tcBorders>
            <w:shd w:val="clear" w:color="000000" w:fill="FFFFFF"/>
            <w:vAlign w:val="center"/>
          </w:tcPr>
          <w:p w14:paraId="312F407C">
            <w:pPr>
              <w:pStyle w:val="43"/>
              <w:jc w:val="center"/>
              <w:rPr>
                <w:rFonts w:hint="eastAsia"/>
                <w:color w:val="auto"/>
                <w:szCs w:val="21"/>
              </w:rPr>
            </w:pPr>
            <w:r>
              <w:rPr>
                <w:rFonts w:hint="eastAsia"/>
                <w:color w:val="auto"/>
                <w:szCs w:val="21"/>
              </w:rPr>
              <w:t>时间</w:t>
            </w:r>
          </w:p>
        </w:tc>
        <w:tc>
          <w:tcPr>
            <w:tcW w:w="3810" w:type="pct"/>
            <w:tcBorders>
              <w:tl2br w:val="nil"/>
              <w:tr2bl w:val="nil"/>
            </w:tcBorders>
            <w:shd w:val="clear" w:color="000000" w:fill="FFFFFF"/>
            <w:vAlign w:val="center"/>
          </w:tcPr>
          <w:p w14:paraId="7CC9B52D">
            <w:pPr>
              <w:pStyle w:val="43"/>
              <w:rPr>
                <w:rFonts w:hint="eastAsia"/>
                <w:color w:val="auto"/>
                <w:szCs w:val="21"/>
              </w:rPr>
            </w:pPr>
            <w:r>
              <w:rPr>
                <w:rFonts w:hint="eastAsia"/>
                <w:color w:val="auto"/>
                <w:szCs w:val="21"/>
              </w:rPr>
              <w:t>接报后、黄金1小时、响应期内、每日8时</w:t>
            </w:r>
          </w:p>
        </w:tc>
      </w:tr>
      <w:tr w14:paraId="49F225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385" w:type="pct"/>
            <w:tcBorders>
              <w:tl2br w:val="nil"/>
              <w:tr2bl w:val="nil"/>
            </w:tcBorders>
            <w:noWrap/>
            <w:vAlign w:val="center"/>
          </w:tcPr>
          <w:p w14:paraId="4FC43312">
            <w:pPr>
              <w:pStyle w:val="43"/>
              <w:jc w:val="center"/>
              <w:rPr>
                <w:rFonts w:hint="eastAsia"/>
                <w:color w:val="auto"/>
                <w:szCs w:val="21"/>
              </w:rPr>
            </w:pPr>
            <w:r>
              <w:rPr>
                <w:rFonts w:hint="eastAsia"/>
                <w:color w:val="auto"/>
                <w:szCs w:val="21"/>
              </w:rPr>
              <w:t>15</w:t>
            </w:r>
          </w:p>
        </w:tc>
        <w:tc>
          <w:tcPr>
            <w:tcW w:w="804" w:type="pct"/>
            <w:tcBorders>
              <w:tl2br w:val="nil"/>
              <w:tr2bl w:val="nil"/>
            </w:tcBorders>
            <w:shd w:val="clear" w:color="000000" w:fill="FFFFFF"/>
            <w:vAlign w:val="center"/>
          </w:tcPr>
          <w:p w14:paraId="34E80ECF">
            <w:pPr>
              <w:pStyle w:val="43"/>
              <w:jc w:val="center"/>
              <w:rPr>
                <w:rFonts w:hint="eastAsia"/>
                <w:color w:val="auto"/>
                <w:szCs w:val="21"/>
              </w:rPr>
            </w:pPr>
            <w:r>
              <w:rPr>
                <w:rFonts w:hint="eastAsia"/>
                <w:color w:val="auto"/>
                <w:szCs w:val="21"/>
              </w:rPr>
              <w:t>指标与规则</w:t>
            </w:r>
          </w:p>
        </w:tc>
        <w:tc>
          <w:tcPr>
            <w:tcW w:w="3810" w:type="pct"/>
            <w:tcBorders>
              <w:tl2br w:val="nil"/>
              <w:tr2bl w:val="nil"/>
            </w:tcBorders>
            <w:shd w:val="clear" w:color="000000" w:fill="FFFFFF"/>
            <w:vAlign w:val="center"/>
          </w:tcPr>
          <w:p w14:paraId="458CE9CD">
            <w:pPr>
              <w:pStyle w:val="43"/>
              <w:rPr>
                <w:rFonts w:hint="eastAsia"/>
                <w:color w:val="auto"/>
                <w:szCs w:val="21"/>
              </w:rPr>
            </w:pPr>
            <w:r>
              <w:rPr>
                <w:rFonts w:hint="eastAsia"/>
                <w:color w:val="auto"/>
                <w:szCs w:val="21"/>
              </w:rPr>
              <w:t>伤亡人数超50人、台风红色预警、震级≥6.0、病例数超100例、毒物泄漏范围1公里</w:t>
            </w:r>
          </w:p>
        </w:tc>
      </w:tr>
      <w:tr w14:paraId="6FAEF3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385" w:type="pct"/>
            <w:tcBorders>
              <w:tl2br w:val="nil"/>
              <w:tr2bl w:val="nil"/>
            </w:tcBorders>
            <w:noWrap/>
            <w:vAlign w:val="center"/>
          </w:tcPr>
          <w:p w14:paraId="699D4820">
            <w:pPr>
              <w:pStyle w:val="43"/>
              <w:jc w:val="center"/>
              <w:rPr>
                <w:rFonts w:hint="eastAsia"/>
                <w:color w:val="auto"/>
                <w:szCs w:val="21"/>
              </w:rPr>
            </w:pPr>
            <w:r>
              <w:rPr>
                <w:rFonts w:hint="eastAsia"/>
                <w:color w:val="auto"/>
                <w:szCs w:val="21"/>
              </w:rPr>
              <w:t>16</w:t>
            </w:r>
          </w:p>
        </w:tc>
        <w:tc>
          <w:tcPr>
            <w:tcW w:w="804" w:type="pct"/>
            <w:tcBorders>
              <w:tl2br w:val="nil"/>
              <w:tr2bl w:val="nil"/>
            </w:tcBorders>
            <w:shd w:val="clear" w:color="000000" w:fill="FFFFFF"/>
            <w:vAlign w:val="center"/>
          </w:tcPr>
          <w:p w14:paraId="51E4D661">
            <w:pPr>
              <w:pStyle w:val="43"/>
              <w:jc w:val="center"/>
              <w:rPr>
                <w:rFonts w:hint="eastAsia"/>
                <w:color w:val="auto"/>
                <w:szCs w:val="21"/>
              </w:rPr>
            </w:pPr>
            <w:r>
              <w:rPr>
                <w:rFonts w:hint="eastAsia"/>
                <w:color w:val="auto"/>
                <w:szCs w:val="21"/>
              </w:rPr>
              <w:t>伤情病种</w:t>
            </w:r>
          </w:p>
        </w:tc>
        <w:tc>
          <w:tcPr>
            <w:tcW w:w="3810" w:type="pct"/>
            <w:tcBorders>
              <w:tl2br w:val="nil"/>
              <w:tr2bl w:val="nil"/>
            </w:tcBorders>
            <w:shd w:val="clear" w:color="000000" w:fill="FFFFFF"/>
            <w:vAlign w:val="center"/>
          </w:tcPr>
          <w:p w14:paraId="53013083">
            <w:pPr>
              <w:pStyle w:val="43"/>
              <w:rPr>
                <w:rFonts w:hint="eastAsia"/>
                <w:color w:val="auto"/>
                <w:szCs w:val="21"/>
              </w:rPr>
            </w:pPr>
            <w:r>
              <w:rPr>
                <w:rFonts w:hint="eastAsia"/>
                <w:color w:val="auto"/>
                <w:szCs w:val="21"/>
              </w:rPr>
              <w:t>颅脑损伤、多发伤、烧伤、中毒、挤压综合征、传染病等</w:t>
            </w:r>
          </w:p>
        </w:tc>
      </w:tr>
      <w:tr w14:paraId="49DA85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385" w:type="pct"/>
            <w:tcBorders>
              <w:tl2br w:val="nil"/>
              <w:tr2bl w:val="nil"/>
            </w:tcBorders>
            <w:noWrap/>
            <w:vAlign w:val="center"/>
          </w:tcPr>
          <w:p w14:paraId="25B87F0E">
            <w:pPr>
              <w:pStyle w:val="43"/>
              <w:jc w:val="center"/>
              <w:rPr>
                <w:rFonts w:hint="eastAsia"/>
                <w:color w:val="auto"/>
                <w:szCs w:val="21"/>
              </w:rPr>
            </w:pPr>
            <w:r>
              <w:rPr>
                <w:rFonts w:hint="eastAsia"/>
                <w:color w:val="auto"/>
                <w:szCs w:val="21"/>
              </w:rPr>
              <w:t>17</w:t>
            </w:r>
          </w:p>
        </w:tc>
        <w:tc>
          <w:tcPr>
            <w:tcW w:w="804" w:type="pct"/>
            <w:tcBorders>
              <w:tl2br w:val="nil"/>
              <w:tr2bl w:val="nil"/>
            </w:tcBorders>
            <w:shd w:val="clear" w:color="000000" w:fill="FFFFFF"/>
            <w:vAlign w:val="center"/>
          </w:tcPr>
          <w:p w14:paraId="31EF0AD6">
            <w:pPr>
              <w:pStyle w:val="43"/>
              <w:jc w:val="center"/>
              <w:rPr>
                <w:rFonts w:hint="eastAsia"/>
                <w:color w:val="auto"/>
                <w:szCs w:val="21"/>
              </w:rPr>
            </w:pPr>
            <w:r>
              <w:rPr>
                <w:rFonts w:hint="eastAsia"/>
                <w:color w:val="auto"/>
                <w:szCs w:val="21"/>
              </w:rPr>
              <w:t>急救手术知识</w:t>
            </w:r>
          </w:p>
        </w:tc>
        <w:tc>
          <w:tcPr>
            <w:tcW w:w="3810" w:type="pct"/>
            <w:tcBorders>
              <w:tl2br w:val="nil"/>
              <w:tr2bl w:val="nil"/>
            </w:tcBorders>
            <w:shd w:val="clear" w:color="000000" w:fill="FFFFFF"/>
            <w:vAlign w:val="center"/>
          </w:tcPr>
          <w:p w14:paraId="3A7F89E9">
            <w:pPr>
              <w:pStyle w:val="43"/>
              <w:rPr>
                <w:rFonts w:hint="eastAsia"/>
                <w:color w:val="auto"/>
                <w:szCs w:val="21"/>
              </w:rPr>
            </w:pPr>
            <w:r>
              <w:rPr>
                <w:rFonts w:hint="eastAsia"/>
                <w:color w:val="auto"/>
                <w:szCs w:val="21"/>
              </w:rPr>
              <w:t>30种现场抢救手术名称、手术流程、药品耗材等信息</w:t>
            </w:r>
          </w:p>
        </w:tc>
      </w:tr>
      <w:tr w14:paraId="661EA5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385" w:type="pct"/>
            <w:tcBorders>
              <w:tl2br w:val="nil"/>
              <w:tr2bl w:val="nil"/>
            </w:tcBorders>
            <w:noWrap/>
            <w:vAlign w:val="center"/>
          </w:tcPr>
          <w:p w14:paraId="5F327338">
            <w:pPr>
              <w:pStyle w:val="43"/>
              <w:jc w:val="center"/>
              <w:rPr>
                <w:rFonts w:hint="eastAsia"/>
                <w:color w:val="auto"/>
                <w:szCs w:val="21"/>
              </w:rPr>
            </w:pPr>
            <w:r>
              <w:rPr>
                <w:rFonts w:hint="eastAsia"/>
                <w:color w:val="auto"/>
                <w:szCs w:val="21"/>
              </w:rPr>
              <w:t>18</w:t>
            </w:r>
          </w:p>
        </w:tc>
        <w:tc>
          <w:tcPr>
            <w:tcW w:w="804" w:type="pct"/>
            <w:tcBorders>
              <w:tl2br w:val="nil"/>
              <w:tr2bl w:val="nil"/>
            </w:tcBorders>
            <w:shd w:val="clear" w:color="000000" w:fill="FFFFFF"/>
            <w:vAlign w:val="center"/>
          </w:tcPr>
          <w:p w14:paraId="2D7B0D94">
            <w:pPr>
              <w:pStyle w:val="43"/>
              <w:jc w:val="center"/>
              <w:rPr>
                <w:rFonts w:hint="eastAsia"/>
                <w:color w:val="auto"/>
                <w:szCs w:val="21"/>
              </w:rPr>
            </w:pPr>
            <w:r>
              <w:rPr>
                <w:rFonts w:hint="eastAsia"/>
                <w:color w:val="auto"/>
                <w:szCs w:val="21"/>
              </w:rPr>
              <w:t>检伤分类知识</w:t>
            </w:r>
          </w:p>
        </w:tc>
        <w:tc>
          <w:tcPr>
            <w:tcW w:w="3810" w:type="pct"/>
            <w:tcBorders>
              <w:tl2br w:val="nil"/>
              <w:tr2bl w:val="nil"/>
            </w:tcBorders>
            <w:shd w:val="clear" w:color="000000" w:fill="FFFFFF"/>
            <w:vAlign w:val="center"/>
          </w:tcPr>
          <w:p w14:paraId="64C49F42">
            <w:pPr>
              <w:pStyle w:val="43"/>
              <w:rPr>
                <w:rFonts w:hint="eastAsia"/>
                <w:color w:val="auto"/>
                <w:szCs w:val="21"/>
              </w:rPr>
            </w:pPr>
            <w:r>
              <w:rPr>
                <w:rFonts w:hint="eastAsia"/>
                <w:color w:val="auto"/>
                <w:szCs w:val="21"/>
              </w:rPr>
              <w:t>检伤分类算法和流程知识</w:t>
            </w:r>
          </w:p>
        </w:tc>
      </w:tr>
      <w:tr w14:paraId="0F8BC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385" w:type="pct"/>
            <w:tcBorders>
              <w:tl2br w:val="nil"/>
              <w:tr2bl w:val="nil"/>
            </w:tcBorders>
            <w:noWrap/>
            <w:vAlign w:val="center"/>
          </w:tcPr>
          <w:p w14:paraId="40C1243A">
            <w:pPr>
              <w:pStyle w:val="43"/>
              <w:jc w:val="center"/>
              <w:rPr>
                <w:rFonts w:hint="eastAsia"/>
                <w:color w:val="auto"/>
                <w:szCs w:val="21"/>
              </w:rPr>
            </w:pPr>
            <w:r>
              <w:rPr>
                <w:rFonts w:hint="eastAsia"/>
                <w:color w:val="auto"/>
                <w:szCs w:val="21"/>
              </w:rPr>
              <w:t>19</w:t>
            </w:r>
          </w:p>
        </w:tc>
        <w:tc>
          <w:tcPr>
            <w:tcW w:w="804" w:type="pct"/>
            <w:tcBorders>
              <w:tl2br w:val="nil"/>
              <w:tr2bl w:val="nil"/>
            </w:tcBorders>
            <w:shd w:val="clear" w:color="000000" w:fill="FFFFFF"/>
            <w:vAlign w:val="center"/>
          </w:tcPr>
          <w:p w14:paraId="4C97AC65">
            <w:pPr>
              <w:pStyle w:val="43"/>
              <w:jc w:val="center"/>
              <w:rPr>
                <w:rFonts w:hint="eastAsia"/>
                <w:color w:val="auto"/>
                <w:szCs w:val="21"/>
              </w:rPr>
            </w:pPr>
            <w:r>
              <w:rPr>
                <w:rFonts w:hint="eastAsia"/>
                <w:color w:val="auto"/>
                <w:szCs w:val="21"/>
              </w:rPr>
              <w:t>救援知识</w:t>
            </w:r>
          </w:p>
        </w:tc>
        <w:tc>
          <w:tcPr>
            <w:tcW w:w="3810" w:type="pct"/>
            <w:tcBorders>
              <w:tl2br w:val="nil"/>
              <w:tr2bl w:val="nil"/>
            </w:tcBorders>
            <w:shd w:val="clear" w:color="000000" w:fill="FFFFFF"/>
            <w:vAlign w:val="center"/>
          </w:tcPr>
          <w:p w14:paraId="71BD8B09">
            <w:pPr>
              <w:pStyle w:val="43"/>
              <w:rPr>
                <w:rFonts w:hint="eastAsia"/>
                <w:color w:val="auto"/>
                <w:szCs w:val="21"/>
              </w:rPr>
            </w:pPr>
            <w:r>
              <w:rPr>
                <w:rFonts w:hint="eastAsia"/>
                <w:color w:val="auto"/>
                <w:szCs w:val="21"/>
              </w:rPr>
              <w:t>狭小空间救援、高原救援、水域/海上救援知识技能等</w:t>
            </w:r>
          </w:p>
        </w:tc>
      </w:tr>
      <w:tr w14:paraId="20AF54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385" w:type="pct"/>
            <w:tcBorders>
              <w:tl2br w:val="nil"/>
              <w:tr2bl w:val="nil"/>
            </w:tcBorders>
            <w:noWrap/>
            <w:vAlign w:val="center"/>
          </w:tcPr>
          <w:p w14:paraId="00FCC2BA">
            <w:pPr>
              <w:pStyle w:val="43"/>
              <w:jc w:val="center"/>
              <w:rPr>
                <w:rFonts w:hint="eastAsia"/>
                <w:color w:val="auto"/>
                <w:szCs w:val="21"/>
              </w:rPr>
            </w:pPr>
            <w:r>
              <w:rPr>
                <w:rFonts w:hint="eastAsia"/>
                <w:color w:val="auto"/>
                <w:szCs w:val="21"/>
              </w:rPr>
              <w:t>18</w:t>
            </w:r>
          </w:p>
        </w:tc>
        <w:tc>
          <w:tcPr>
            <w:tcW w:w="804" w:type="pct"/>
            <w:tcBorders>
              <w:tl2br w:val="nil"/>
              <w:tr2bl w:val="nil"/>
            </w:tcBorders>
            <w:shd w:val="clear" w:color="000000" w:fill="FFFFFF"/>
            <w:vAlign w:val="center"/>
          </w:tcPr>
          <w:p w14:paraId="7BC71835">
            <w:pPr>
              <w:pStyle w:val="43"/>
              <w:jc w:val="center"/>
              <w:rPr>
                <w:rFonts w:hint="eastAsia"/>
                <w:color w:val="auto"/>
                <w:szCs w:val="21"/>
              </w:rPr>
            </w:pPr>
            <w:r>
              <w:rPr>
                <w:rFonts w:hint="eastAsia"/>
                <w:color w:val="auto"/>
                <w:szCs w:val="21"/>
              </w:rPr>
              <w:t>毒物知识</w:t>
            </w:r>
          </w:p>
        </w:tc>
        <w:tc>
          <w:tcPr>
            <w:tcW w:w="3810" w:type="pct"/>
            <w:tcBorders>
              <w:tl2br w:val="nil"/>
              <w:tr2bl w:val="nil"/>
            </w:tcBorders>
            <w:shd w:val="clear" w:color="000000" w:fill="FFFFFF"/>
            <w:vAlign w:val="center"/>
          </w:tcPr>
          <w:p w14:paraId="1FF8A3C4">
            <w:pPr>
              <w:pStyle w:val="43"/>
              <w:rPr>
                <w:rFonts w:hint="eastAsia"/>
                <w:color w:val="auto"/>
                <w:szCs w:val="21"/>
              </w:rPr>
            </w:pPr>
            <w:r>
              <w:rPr>
                <w:rFonts w:hint="eastAsia"/>
                <w:color w:val="auto"/>
                <w:szCs w:val="21"/>
              </w:rPr>
              <w:t>食物中毒类毒物、化学/气体中毒类毒物等</w:t>
            </w:r>
          </w:p>
        </w:tc>
      </w:tr>
      <w:tr w14:paraId="7A8F57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385" w:type="pct"/>
            <w:tcBorders>
              <w:tl2br w:val="nil"/>
              <w:tr2bl w:val="nil"/>
            </w:tcBorders>
            <w:noWrap/>
            <w:vAlign w:val="center"/>
          </w:tcPr>
          <w:p w14:paraId="014E1701">
            <w:pPr>
              <w:pStyle w:val="43"/>
              <w:jc w:val="center"/>
              <w:rPr>
                <w:rFonts w:hint="eastAsia"/>
                <w:color w:val="auto"/>
                <w:szCs w:val="21"/>
              </w:rPr>
            </w:pPr>
            <w:r>
              <w:rPr>
                <w:rFonts w:hint="eastAsia"/>
                <w:color w:val="auto"/>
                <w:szCs w:val="21"/>
              </w:rPr>
              <w:t>19</w:t>
            </w:r>
          </w:p>
        </w:tc>
        <w:tc>
          <w:tcPr>
            <w:tcW w:w="804" w:type="pct"/>
            <w:tcBorders>
              <w:tl2br w:val="nil"/>
              <w:tr2bl w:val="nil"/>
            </w:tcBorders>
            <w:shd w:val="clear" w:color="000000" w:fill="FFFFFF"/>
            <w:vAlign w:val="center"/>
          </w:tcPr>
          <w:p w14:paraId="2BD54088">
            <w:pPr>
              <w:pStyle w:val="43"/>
              <w:jc w:val="center"/>
              <w:rPr>
                <w:rFonts w:hint="eastAsia"/>
                <w:color w:val="auto"/>
                <w:szCs w:val="21"/>
              </w:rPr>
            </w:pPr>
            <w:r>
              <w:rPr>
                <w:rFonts w:hint="eastAsia"/>
                <w:color w:val="auto"/>
                <w:szCs w:val="21"/>
              </w:rPr>
              <w:t>其他</w:t>
            </w:r>
          </w:p>
        </w:tc>
        <w:tc>
          <w:tcPr>
            <w:tcW w:w="3810" w:type="pct"/>
            <w:tcBorders>
              <w:tl2br w:val="nil"/>
              <w:tr2bl w:val="nil"/>
            </w:tcBorders>
            <w:shd w:val="clear" w:color="000000" w:fill="FFFFFF"/>
            <w:vAlign w:val="center"/>
          </w:tcPr>
          <w:p w14:paraId="2F19599B">
            <w:pPr>
              <w:pStyle w:val="43"/>
              <w:rPr>
                <w:rFonts w:hint="eastAsia"/>
                <w:color w:val="auto"/>
                <w:szCs w:val="21"/>
              </w:rPr>
            </w:pPr>
            <w:r>
              <w:rPr>
                <w:rFonts w:hint="eastAsia"/>
                <w:color w:val="auto"/>
                <w:szCs w:val="21"/>
              </w:rPr>
              <w:t>…</w:t>
            </w:r>
          </w:p>
        </w:tc>
      </w:tr>
    </w:tbl>
    <w:p w14:paraId="680E5794">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规则管理</w:t>
      </w:r>
    </w:p>
    <w:p w14:paraId="0942AF0C">
      <w:pPr>
        <w:pStyle w:val="11"/>
      </w:pPr>
      <w:r>
        <w:rPr>
          <w:rFonts w:hint="eastAsia"/>
        </w:rPr>
        <w:t>规则抽取适用于提取非结构数据中比较有规律的信息，如正则表达式提取可用于提取要提取的要素前后的字符比较固定的情况。</w:t>
      </w:r>
    </w:p>
    <w:p w14:paraId="5E421083">
      <w:pPr>
        <w:pStyle w:val="11"/>
      </w:pPr>
      <w:r>
        <w:rPr>
          <w:rFonts w:hint="eastAsia"/>
        </w:rPr>
        <w:t>（1）规则管理</w:t>
      </w:r>
    </w:p>
    <w:p w14:paraId="2780516D">
      <w:pPr>
        <w:pStyle w:val="11"/>
      </w:pPr>
      <w:r>
        <w:rPr>
          <w:rFonts w:hint="eastAsia"/>
        </w:rPr>
        <w:t>系统提供通用规则配置能力，知识工程师在规则配置页面，编辑现有规则或配置新的抽取规则。</w:t>
      </w:r>
    </w:p>
    <w:p w14:paraId="00C0824A">
      <w:pPr>
        <w:pStyle w:val="11"/>
      </w:pPr>
      <w:r>
        <w:rPr>
          <w:rFonts w:hint="eastAsia"/>
        </w:rPr>
        <w:t>（2）规则测试</w:t>
      </w:r>
    </w:p>
    <w:p w14:paraId="7453137E">
      <w:pPr>
        <w:pStyle w:val="11"/>
      </w:pPr>
      <w:r>
        <w:rPr>
          <w:rFonts w:hint="eastAsia"/>
        </w:rPr>
        <w:t>可通过输入文本，测试规则抽取效果。</w:t>
      </w:r>
    </w:p>
    <w:p w14:paraId="321FB4F9">
      <w:pPr>
        <w:pStyle w:val="11"/>
      </w:pPr>
      <w:r>
        <w:rPr>
          <w:rFonts w:hint="eastAsia"/>
        </w:rPr>
        <w:t>（3）规则查看</w:t>
      </w:r>
    </w:p>
    <w:p w14:paraId="056E7E91">
      <w:pPr>
        <w:pStyle w:val="11"/>
      </w:pPr>
      <w:r>
        <w:rPr>
          <w:rFonts w:hint="eastAsia"/>
        </w:rPr>
        <w:t>以列表形式展示系统自带的常用规则库，包括正则表达式规则、NER抽取规则、段落抽取规则以及用户创建的规则，展示的信息包括规则名称、规则类别、创建时间、更新时间等。</w:t>
      </w:r>
    </w:p>
    <w:p w14:paraId="7AFA2670">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模型管理</w:t>
      </w:r>
    </w:p>
    <w:p w14:paraId="69A18581">
      <w:pPr>
        <w:pStyle w:val="11"/>
      </w:pPr>
      <w:r>
        <w:rPr>
          <w:rFonts w:hint="eastAsia"/>
        </w:rPr>
        <w:t>模型抽取适用于提取非结构化数据中的实体、关系、事件等信息。</w:t>
      </w:r>
    </w:p>
    <w:p w14:paraId="748B9893">
      <w:pPr>
        <w:pStyle w:val="11"/>
      </w:pPr>
      <w:r>
        <w:rPr>
          <w:rFonts w:hint="eastAsia"/>
        </w:rPr>
        <w:t>（1）模型管理。对线下训练好的模型在系统中进行管理，模型以接口的形式调用，新增模型后可以在抽取任务中选取模型，使用模型完成文本要素抽取。模型管理页面以列表形式展示所有模型。</w:t>
      </w:r>
    </w:p>
    <w:p w14:paraId="2A694321">
      <w:pPr>
        <w:pStyle w:val="11"/>
      </w:pPr>
      <w:r>
        <w:rPr>
          <w:rFonts w:hint="eastAsia"/>
        </w:rPr>
        <w:t>（2）模型接口说明。接口说明包括接口请求字段说明和返回字段说明，接口请求字段说明和接口返回字段说明均包含字段名称、字段类型、说明信息，通过查看字段说明在数据库中新建表。</w:t>
      </w:r>
    </w:p>
    <w:p w14:paraId="2341090E">
      <w:pPr>
        <w:pStyle w:val="11"/>
      </w:pPr>
      <w:r>
        <w:rPr>
          <w:rFonts w:hint="eastAsia"/>
        </w:rPr>
        <w:t>（3）模型测试。可通过输入文本，测试模型抽取效果。</w:t>
      </w:r>
    </w:p>
    <w:p w14:paraId="11051D2E">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抽取任务</w:t>
      </w:r>
    </w:p>
    <w:p w14:paraId="0C3D1EF1">
      <w:pPr>
        <w:pStyle w:val="11"/>
      </w:pPr>
      <w:r>
        <w:rPr>
          <w:rFonts w:hint="eastAsia"/>
        </w:rPr>
        <w:t>实现对结构化信息数据抽取任务进行启动及管理，支持抽取过程中的进度及状态监测。</w:t>
      </w:r>
    </w:p>
    <w:p w14:paraId="1FD8C3FE">
      <w:pPr>
        <w:pStyle w:val="11"/>
      </w:pPr>
      <w:r>
        <w:rPr>
          <w:rFonts w:hint="eastAsia"/>
        </w:rPr>
        <w:t>（1）任务管理</w:t>
      </w:r>
    </w:p>
    <w:p w14:paraId="59E3A2D7">
      <w:pPr>
        <w:pStyle w:val="11"/>
      </w:pPr>
      <w:r>
        <w:rPr>
          <w:rFonts w:hint="eastAsia"/>
        </w:rPr>
        <w:t>以列表形式展示已有的抽取任务，可新建、编辑、删除、执行抽取任务。监测任务执行状态。</w:t>
      </w:r>
    </w:p>
    <w:p w14:paraId="0CEAFB75">
      <w:pPr>
        <w:pStyle w:val="11"/>
      </w:pPr>
      <w:r>
        <w:rPr>
          <w:rFonts w:hint="eastAsia"/>
        </w:rPr>
        <w:t>（2）任务配置</w:t>
      </w:r>
    </w:p>
    <w:p w14:paraId="2DBD79D1">
      <w:pPr>
        <w:pStyle w:val="11"/>
      </w:pPr>
      <w:r>
        <w:rPr>
          <w:rFonts w:hint="eastAsia"/>
        </w:rPr>
        <w:t>在新建和编辑抽取任务时进行任务配置，主要是选取抽取模型或者抽取规则，定义抽取来源文件目录与目标数据表。</w:t>
      </w:r>
    </w:p>
    <w:p w14:paraId="58F7173F">
      <w:pPr>
        <w:pStyle w:val="11"/>
      </w:pPr>
      <w:r>
        <w:rPr>
          <w:rFonts w:hint="eastAsia"/>
        </w:rPr>
        <w:t>（3）任务日志</w:t>
      </w:r>
    </w:p>
    <w:p w14:paraId="1A43C14D">
      <w:pPr>
        <w:pStyle w:val="11"/>
      </w:pPr>
      <w:r>
        <w:rPr>
          <w:rFonts w:hint="eastAsia"/>
        </w:rPr>
        <w:t>系统记录任务执行情况到任务日志，包括任务开始时间、任务结束时间、执行结果和日志信息。</w:t>
      </w:r>
    </w:p>
    <w:p w14:paraId="345B72A7">
      <w:pPr>
        <w:pStyle w:val="11"/>
      </w:pPr>
      <w:r>
        <w:rPr>
          <w:rFonts w:hint="eastAsia"/>
        </w:rPr>
        <w:t>（4）任务执行</w:t>
      </w:r>
    </w:p>
    <w:p w14:paraId="334A35AE">
      <w:pPr>
        <w:pStyle w:val="11"/>
      </w:pPr>
      <w:r>
        <w:rPr>
          <w:rFonts w:hint="eastAsia"/>
        </w:rPr>
        <w:t>系统按照配置好的任务信息执行知识抽取。</w:t>
      </w:r>
    </w:p>
    <w:p w14:paraId="40FA12DA">
      <w:pPr>
        <w:pStyle w:val="11"/>
      </w:pPr>
      <w:r>
        <w:rPr>
          <w:rFonts w:hint="eastAsia"/>
        </w:rPr>
        <w:t>全量更新，针对文件目录下的所有文件，均执行知识抽取，对结果数据表进行删除更新。</w:t>
      </w:r>
    </w:p>
    <w:p w14:paraId="54B20957">
      <w:pPr>
        <w:pStyle w:val="11"/>
      </w:pPr>
      <w:r>
        <w:rPr>
          <w:rFonts w:hint="eastAsia"/>
        </w:rPr>
        <w:t>增量更新，针对文件目录下的新增文件，执行知识抽，对结果数据表进行增量更新。</w:t>
      </w:r>
    </w:p>
    <w:p w14:paraId="4D1D27C5">
      <w:pPr>
        <w:pStyle w:val="4"/>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知识图谱管理</w:t>
      </w:r>
    </w:p>
    <w:p w14:paraId="728B903F">
      <w:pPr>
        <w:pStyle w:val="11"/>
      </w:pPr>
      <w:r>
        <w:rPr>
          <w:rFonts w:hint="eastAsia"/>
        </w:rPr>
        <w:t>基于智能化的分析算法并结合可视化的分析工具，实现知识图谱的构建和管理。</w:t>
      </w:r>
    </w:p>
    <w:p w14:paraId="6F29BF5D">
      <w:pPr>
        <w:pStyle w:val="5"/>
        <w:keepNext w:val="0"/>
        <w:keepLines w:val="0"/>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知识建模</w:t>
      </w:r>
    </w:p>
    <w:p w14:paraId="2F9F4401">
      <w:pPr>
        <w:pStyle w:val="11"/>
        <w:keepNext w:val="0"/>
        <w:keepLines w:val="0"/>
        <w:pageBreakBefore w:val="0"/>
        <w:widowControl w:val="0"/>
        <w:kinsoku/>
        <w:wordWrap/>
        <w:overflowPunct/>
        <w:topLinePunct w:val="0"/>
        <w:autoSpaceDE/>
        <w:autoSpaceDN/>
        <w:bidi w:val="0"/>
        <w:textAlignment w:val="auto"/>
      </w:pPr>
      <w:r>
        <w:rPr>
          <w:rFonts w:hint="eastAsia"/>
        </w:rPr>
        <w:t>系统提供导入建模和可视化建模两种方式，用来创建实体和它们的属性以及关系，将文字信息采用三元组的模式即实体-关系-实体这种关系网络的形式进行信息的可视化展示。</w:t>
      </w:r>
    </w:p>
    <w:p w14:paraId="0C009F87">
      <w:pPr>
        <w:pStyle w:val="11"/>
      </w:pPr>
      <w:r>
        <w:rPr>
          <w:rFonts w:hint="eastAsia"/>
        </w:rPr>
        <w:t>（1）模型定义。提供模型的导入、新增、编辑、查询和删除等功能。</w:t>
      </w:r>
    </w:p>
    <w:p w14:paraId="0EF4A442">
      <w:pPr>
        <w:pStyle w:val="11"/>
      </w:pPr>
      <w:r>
        <w:rPr>
          <w:rFonts w:hint="eastAsia"/>
        </w:rPr>
        <w:t>（2）实体与属性管理。提供本体与属性的新增、编辑、查询和删除等功能。</w:t>
      </w:r>
    </w:p>
    <w:p w14:paraId="5A4E43E1">
      <w:pPr>
        <w:pStyle w:val="11"/>
      </w:pPr>
      <w:r>
        <w:rPr>
          <w:rFonts w:hint="eastAsia"/>
        </w:rPr>
        <w:t>（3）关系与属性管理。已创建好的本体，可添加实体间关系，提供关系的编辑、删除等功能。</w:t>
      </w:r>
    </w:p>
    <w:p w14:paraId="078EE8A8">
      <w:pPr>
        <w:pStyle w:val="11"/>
      </w:pPr>
      <w:r>
        <w:rPr>
          <w:rFonts w:hint="eastAsia"/>
        </w:rPr>
        <w:t>（4）模型查询与可视化。系统提供图本体模型的列表，包括模型名称与模型操作。点击模型名称，通过模型可视化呈现模型效果。</w:t>
      </w:r>
    </w:p>
    <w:p w14:paraId="10802750">
      <w:pPr>
        <w:pStyle w:val="11"/>
      </w:pPr>
      <w:r>
        <w:rPr>
          <w:rFonts w:hint="eastAsia"/>
        </w:rPr>
        <w:t>模型可视化提供对完整的模型进行放大、缩小、移动等操作，对任一实体或关系进行拖拽，双击父节点展开子节点信息。</w:t>
      </w:r>
    </w:p>
    <w:p w14:paraId="1F70D6F8">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图谱构建</w:t>
      </w:r>
    </w:p>
    <w:p w14:paraId="46F3B6B2">
      <w:pPr>
        <w:pStyle w:val="11"/>
      </w:pPr>
      <w:r>
        <w:rPr>
          <w:rFonts w:hint="eastAsia"/>
        </w:rPr>
        <w:t>面向用户，系统提供可视化配置编辑工具，将映射字段结构与图谱的结构做映射，并按照业务场景抽取关系模式，建立相应的知识图谱。</w:t>
      </w:r>
    </w:p>
    <w:p w14:paraId="0EB492E6">
      <w:pPr>
        <w:pStyle w:val="11"/>
      </w:pPr>
      <w:r>
        <w:rPr>
          <w:rFonts w:hint="eastAsia"/>
        </w:rPr>
        <w:t>（1）任务管理</w:t>
      </w:r>
    </w:p>
    <w:p w14:paraId="407438ED">
      <w:pPr>
        <w:pStyle w:val="11"/>
      </w:pPr>
      <w:r>
        <w:rPr>
          <w:rFonts w:hint="eastAsia"/>
        </w:rPr>
        <w:t>支持构建任务的新增、编辑、查询和删除。支持任务的批量构建和批量删除。构建任务将图谱源数据仓库的数据自动同步更新到图数据库中。</w:t>
      </w:r>
    </w:p>
    <w:p w14:paraId="45B8BEDA">
      <w:pPr>
        <w:pStyle w:val="11"/>
      </w:pPr>
      <w:r>
        <w:rPr>
          <w:rFonts w:hint="eastAsia"/>
        </w:rPr>
        <w:t>（2）数据映射</w:t>
      </w:r>
    </w:p>
    <w:p w14:paraId="5B7E9A78">
      <w:pPr>
        <w:pStyle w:val="11"/>
      </w:pPr>
      <w:r>
        <w:rPr>
          <w:rFonts w:hint="eastAsia"/>
        </w:rPr>
        <w:t>图谱构建的任务配置主要是进行数据映射，选择知识模型和目标图库，并将实体、关系、属性信息与数据表中的字段配置好数据映射关系。</w:t>
      </w:r>
    </w:p>
    <w:p w14:paraId="22F8CF4D">
      <w:pPr>
        <w:pStyle w:val="11"/>
        <w:keepNext/>
      </w:pPr>
      <w:r>
        <w:rPr>
          <w:rFonts w:hint="eastAsia"/>
        </w:rPr>
        <w:t>（3）图谱构建</w:t>
      </w:r>
    </w:p>
    <w:p w14:paraId="3E35916B">
      <w:pPr>
        <w:pStyle w:val="11"/>
      </w:pPr>
      <w:r>
        <w:rPr>
          <w:rFonts w:hint="eastAsia"/>
        </w:rPr>
        <w:t>图谱构建任务执行基于图谱源数据仓库的全量构建，图数据库执行增量更新，对于相同实体更新其属性信息。</w:t>
      </w:r>
    </w:p>
    <w:p w14:paraId="2818848C">
      <w:pPr>
        <w:pStyle w:val="11"/>
      </w:pPr>
      <w:r>
        <w:rPr>
          <w:rFonts w:hint="eastAsia"/>
        </w:rPr>
        <w:t>（4）任务日志</w:t>
      </w:r>
    </w:p>
    <w:p w14:paraId="4FA1BE0F">
      <w:pPr>
        <w:pStyle w:val="11"/>
      </w:pPr>
      <w:r>
        <w:rPr>
          <w:rFonts w:hint="eastAsia"/>
        </w:rPr>
        <w:t>系统记录任务执行日志，反应任务执行状态。任务日志包括任务开始时间、任务结束时间、执行结果和日志信息。</w:t>
      </w:r>
    </w:p>
    <w:p w14:paraId="0B051F11">
      <w:pPr>
        <w:pStyle w:val="5"/>
        <w:keepNext w:val="0"/>
        <w:keepLines w:val="0"/>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图谱查询</w:t>
      </w:r>
    </w:p>
    <w:p w14:paraId="5E858BF1">
      <w:pPr>
        <w:pStyle w:val="11"/>
        <w:keepNext w:val="0"/>
        <w:keepLines w:val="0"/>
        <w:pageBreakBefore w:val="0"/>
        <w:widowControl w:val="0"/>
        <w:kinsoku/>
        <w:wordWrap/>
        <w:overflowPunct/>
        <w:topLinePunct w:val="0"/>
        <w:autoSpaceDE/>
        <w:autoSpaceDN/>
        <w:bidi w:val="0"/>
        <w:textAlignment w:val="auto"/>
      </w:pPr>
      <w:r>
        <w:rPr>
          <w:rFonts w:hint="eastAsia"/>
        </w:rPr>
        <w:t>图谱查询工具提供了实体查询、实体关系联合查询、语句查询等多种方式。可以分为简单模糊查询、根据规则组合的高级查询，可帮助用户快速找到目标实体。支持多实体的定向分析，只要用户指定起始实体和目标实体，即可从图谱数据集中找到这两个实体之间的复杂关系网络。</w:t>
      </w:r>
    </w:p>
    <w:p w14:paraId="4456824E">
      <w:pPr>
        <w:pStyle w:val="11"/>
      </w:pPr>
      <w:r>
        <w:rPr>
          <w:rFonts w:hint="eastAsia"/>
        </w:rPr>
        <w:t>（1）语句查询。针对懂图谱语法的高级用户，通过语句指令可在图谱数据集中查询出满足各种条件的实体/关系。</w:t>
      </w:r>
    </w:p>
    <w:p w14:paraId="45D1B770">
      <w:pPr>
        <w:pStyle w:val="11"/>
      </w:pPr>
      <w:r>
        <w:rPr>
          <w:rFonts w:hint="eastAsia"/>
        </w:rPr>
        <w:t>（2）高级查询。通过实体属性和关系属性的规则组合实现复杂关系查询的能力，</w:t>
      </w:r>
    </w:p>
    <w:p w14:paraId="19771A02">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图谱服务</w:t>
      </w:r>
    </w:p>
    <w:p w14:paraId="092D7BCC">
      <w:pPr>
        <w:pStyle w:val="11"/>
      </w:pPr>
      <w:r>
        <w:rPr>
          <w:rFonts w:hint="eastAsia"/>
        </w:rPr>
        <w:t>将构建的实体关系以及对应的图谱构建能力、分析能力、标签能力等多业务应用封装成为服务接口，提供给上层业务应用层进行调用。</w:t>
      </w:r>
    </w:p>
    <w:p w14:paraId="30F2F603">
      <w:pPr>
        <w:pStyle w:val="11"/>
      </w:pPr>
      <w:r>
        <w:rPr>
          <w:rFonts w:hint="eastAsia"/>
        </w:rPr>
        <w:t>图谱查询服务接口：根据业务需要定义图谱实体与关系的查询范围，将查询结果形成服务接口，提供给业务应用进行调用，支持图谱可视化展示。</w:t>
      </w:r>
    </w:p>
    <w:p w14:paraId="73D48DB4">
      <w:pPr>
        <w:pStyle w:val="11"/>
      </w:pPr>
      <w:r>
        <w:rPr>
          <w:rFonts w:hint="eastAsia"/>
        </w:rPr>
        <w:t>关系查询服务接口：提供关系查询服务。如单个节点出发，扩展指定度数的关系网络路径。又如能够从单个或多个节点出发，获取节点关系网络。</w:t>
      </w:r>
    </w:p>
    <w:p w14:paraId="3C4D3092">
      <w:pPr>
        <w:pStyle w:val="11"/>
      </w:pPr>
      <w:r>
        <w:rPr>
          <w:rFonts w:hint="eastAsia"/>
        </w:rPr>
        <w:t>实体查询服务接口：提供实体和属性的图数据查询服务。</w:t>
      </w:r>
    </w:p>
    <w:p w14:paraId="784D2661">
      <w:pPr>
        <w:pStyle w:val="4"/>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知识检索服务</w:t>
      </w:r>
    </w:p>
    <w:p w14:paraId="42C6532B">
      <w:pPr>
        <w:pStyle w:val="11"/>
      </w:pPr>
      <w:r>
        <w:rPr>
          <w:rFonts w:hint="eastAsia"/>
        </w:rPr>
        <w:t>知识检索服务，面向应急管理业务中海量数据关联查询的场景，向应急管理业务人员提供专业知识、应急资源、应急预案等信息搜索查询服务。通过知识专题服务，帮助应急人员了解某一类型灾害事件的预防与准备知识、监测与预警知识、应急处置与救援知识、灾后恢复与重建知识，以及事件的致灾机理知识、相关的法律法规条例知识、典型案例知识、标准规范知识。</w:t>
      </w:r>
    </w:p>
    <w:p w14:paraId="4D71833E">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全文检索</w:t>
      </w:r>
    </w:p>
    <w:p w14:paraId="16C4CD93">
      <w:pPr>
        <w:pStyle w:val="11"/>
      </w:pPr>
      <w:r>
        <w:rPr>
          <w:rFonts w:hint="eastAsia"/>
        </w:rPr>
        <w:t>1.知识百科检索</w:t>
      </w:r>
    </w:p>
    <w:p w14:paraId="170F3109">
      <w:pPr>
        <w:pStyle w:val="11"/>
      </w:pPr>
      <w:r>
        <w:rPr>
          <w:rFonts w:hint="eastAsia"/>
        </w:rPr>
        <w:t>知识百科检索向用户提供精准、智能的知识词条搜索服务与丰富的结果呈现。通过关键字查询与比对，从海量信息中找出与关键词相匹配的知识词条，也可以通过灾害类型与知识分类进行组合筛选过滤。</w:t>
      </w:r>
    </w:p>
    <w:p w14:paraId="3CD8D553">
      <w:pPr>
        <w:pStyle w:val="11"/>
      </w:pPr>
      <w:r>
        <w:rPr>
          <w:rFonts w:hint="eastAsia"/>
        </w:rPr>
        <w:t>2.知识文库检索</w:t>
      </w:r>
    </w:p>
    <w:p w14:paraId="657CADB0">
      <w:pPr>
        <w:pStyle w:val="11"/>
      </w:pPr>
      <w:r>
        <w:rPr>
          <w:rFonts w:hint="eastAsia"/>
        </w:rPr>
        <w:t>应急知识文库汇聚各类灾害的应急预案、事件案例、法律法规、标准规范等行业知识，可供用户检索、查询和阅览。用户可基于关键词对文档进行全文检索，以模糊检索、精确匹配、分词等多种方式对文档资源进行检索，也可通过文档类型等属性过滤检索结果，得到文档检索列表。</w:t>
      </w:r>
    </w:p>
    <w:p w14:paraId="7B201F49">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知识专题</w:t>
      </w:r>
    </w:p>
    <w:p w14:paraId="1A5D385F">
      <w:pPr>
        <w:pStyle w:val="11"/>
      </w:pPr>
      <w:r>
        <w:rPr>
          <w:rFonts w:hint="eastAsia"/>
        </w:rPr>
        <w:t>知识专题，是按照灾害类型逻辑划分的知识点的集合，知识点载体包括知识百科词条与知识文档。通过应急知识专题，可以浏览一个灾害类型从灾害定义到发生发展，从预防准备到恢复重建，从应急预案到历史案例等不同维度、不同阶段的知识全貌。</w:t>
      </w:r>
    </w:p>
    <w:p w14:paraId="054849F1">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预案检索</w:t>
      </w:r>
    </w:p>
    <w:p w14:paraId="41494338">
      <w:pPr>
        <w:pStyle w:val="11"/>
      </w:pPr>
      <w:r>
        <w:rPr>
          <w:rFonts w:hint="eastAsia"/>
        </w:rPr>
        <w:t>应急预案库，基于官方公开发布的应急预案构建全面的预案体系，涵盖全国各级各类应急预案。应急预案检索向用户提供全国各级各类公开应急预案的多维度检索能力。在全文检索的基础上，提供基于预案属性的精准检索。用户可依据预案属性过滤筛选预案，也可通过关键字进行全文检索。</w:t>
      </w:r>
    </w:p>
    <w:p w14:paraId="32A49CAD">
      <w:pPr>
        <w:pStyle w:val="11"/>
      </w:pPr>
      <w:r>
        <w:rPr>
          <w:rFonts w:hint="eastAsia"/>
        </w:rPr>
        <w:t>面向业务应用，提供应急预案知识服务API和示范应用，包括：应急预案知识提取服务、应急预案检索服务等。</w:t>
      </w:r>
    </w:p>
    <w:p w14:paraId="701B70D0">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案例检索</w:t>
      </w:r>
    </w:p>
    <w:p w14:paraId="67C3BED7">
      <w:pPr>
        <w:pStyle w:val="11"/>
      </w:pPr>
      <w:r>
        <w:rPr>
          <w:rFonts w:hint="eastAsia"/>
        </w:rPr>
        <w:t>事件案例库，将不同渠道的历史案例整理入库，为应急决策提供事件案例知识参考依据。案例精准检索在全文检索的基础上，也提供基于案例属性的精准检索。事件属性包括事件等级、类型、发生时间、发生地点等。用户可依据事件属性过滤筛选，定位到某类案例；也可通过关键字进行全文检索定位某个案例。</w:t>
      </w:r>
    </w:p>
    <w:p w14:paraId="5B7D31DE">
      <w:pPr>
        <w:pStyle w:val="11"/>
      </w:pPr>
      <w:r>
        <w:rPr>
          <w:rFonts w:hint="eastAsia"/>
        </w:rPr>
        <w:t>面向业务应用，提供事件案例检索服务API和示范应用，包括：事件案例知识提取服务、事件案例检索服务等。</w:t>
      </w:r>
    </w:p>
    <w:p w14:paraId="6CEF03D6">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法律法规检索</w:t>
      </w:r>
    </w:p>
    <w:p w14:paraId="2873220E">
      <w:pPr>
        <w:pStyle w:val="11"/>
      </w:pPr>
      <w:r>
        <w:rPr>
          <w:rFonts w:hint="eastAsia"/>
        </w:rPr>
        <w:t>法律法规库，对不同渠道、发布渠道的法律法规进行汇总关联，为应急决策提供法规依据。用户可依据颁布时间、颁布机构、法规类型等参数实现精准检索。法律法规检索在全文检索的基础上，也提供基于法律法规属性的精准检索。用户可依据法规属性过滤筛选法律文件，也可通过关键字进行全文检索定位某个法律条文。</w:t>
      </w:r>
    </w:p>
    <w:p w14:paraId="63EE298F">
      <w:pPr>
        <w:pStyle w:val="11"/>
      </w:pPr>
      <w:r>
        <w:rPr>
          <w:rFonts w:hint="eastAsia"/>
        </w:rPr>
        <w:t>面向业务应用，提供事件法律法规服务API和示范应用，包括：法律法规知识提取服务、法律法规检索服务等。</w:t>
      </w:r>
    </w:p>
    <w:p w14:paraId="42BD2ED0">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标准规范检索</w:t>
      </w:r>
    </w:p>
    <w:p w14:paraId="6EB9AF8F">
      <w:pPr>
        <w:pStyle w:val="11"/>
      </w:pPr>
      <w:r>
        <w:rPr>
          <w:rFonts w:hint="eastAsia"/>
        </w:rPr>
        <w:t>标准规范库，对不同渠道、发布渠道的标准规范进行汇总关联，为应急决策提供标准规范依据。用户可依据标准类型、级别等参数实现标准规范的精准检索。标准规范检索在全文检索的基础上，也提供基于标准规范属性的精准检索。用户可依据标准属性过滤筛选标准文件，也可通过关键字进行全文检索定位某个标准文件。</w:t>
      </w:r>
    </w:p>
    <w:p w14:paraId="64910485">
      <w:pPr>
        <w:pStyle w:val="11"/>
      </w:pPr>
      <w:r>
        <w:rPr>
          <w:rFonts w:hint="eastAsia"/>
        </w:rPr>
        <w:t>面向业务应用，提供事件标准规范服务API和示范应用，包括：标准规范知识提取服务、标准规范检索服务等。</w:t>
      </w:r>
    </w:p>
    <w:p w14:paraId="2A676106">
      <w:pPr>
        <w:pStyle w:val="4"/>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知识词条管理</w:t>
      </w:r>
    </w:p>
    <w:p w14:paraId="5B01DC93">
      <w:pPr>
        <w:pStyle w:val="11"/>
      </w:pPr>
      <w:r>
        <w:rPr>
          <w:rFonts w:hint="eastAsia"/>
        </w:rPr>
        <w:t>知识词条管理，提供词条模板、词条导入、词条导入日志、词条审核、词条预览、词条发布等。</w:t>
      </w:r>
    </w:p>
    <w:p w14:paraId="7177D27C">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词条模板</w:t>
      </w:r>
    </w:p>
    <w:p w14:paraId="1CD2CC25">
      <w:pPr>
        <w:pStyle w:val="11"/>
      </w:pPr>
      <w:r>
        <w:rPr>
          <w:rFonts w:hint="eastAsia"/>
        </w:rPr>
        <w:t>词条模板包括基础知识词条模板、应急预案词条模板、事件案例词条模板、法律法规词条模板、标准规范词条模板。用户在导入词条之前，先下载词条模板，按照词条模板的规范要求编辑词条文件。</w:t>
      </w:r>
    </w:p>
    <w:p w14:paraId="5DEE6CE6">
      <w:pPr>
        <w:pStyle w:val="5"/>
        <w:keepNext w:val="0"/>
        <w:keepLines w:val="0"/>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词条导入</w:t>
      </w:r>
    </w:p>
    <w:p w14:paraId="1ED49C02">
      <w:pPr>
        <w:pStyle w:val="11"/>
        <w:keepNext w:val="0"/>
        <w:keepLines w:val="0"/>
        <w:pageBreakBefore w:val="0"/>
        <w:widowControl w:val="0"/>
        <w:kinsoku/>
        <w:wordWrap/>
        <w:overflowPunct/>
        <w:topLinePunct w:val="0"/>
        <w:autoSpaceDE/>
        <w:autoSpaceDN/>
        <w:bidi w:val="0"/>
        <w:textAlignment w:val="auto"/>
      </w:pPr>
      <w:r>
        <w:rPr>
          <w:rFonts w:hint="eastAsia"/>
        </w:rPr>
        <w:t>用户将依据模板创建好词条，以压缩包的方式上传导入到系统中，系统会自动解析文件数据。导入的词条默认是待审核状态。</w:t>
      </w:r>
    </w:p>
    <w:p w14:paraId="5D71B425">
      <w:pPr>
        <w:pStyle w:val="11"/>
      </w:pPr>
      <w:r>
        <w:rPr>
          <w:rFonts w:hint="eastAsia"/>
        </w:rPr>
        <w:t>1.词条导入日志</w:t>
      </w:r>
    </w:p>
    <w:p w14:paraId="6E18CADA">
      <w:pPr>
        <w:pStyle w:val="11"/>
      </w:pPr>
      <w:r>
        <w:rPr>
          <w:rFonts w:hint="eastAsia"/>
        </w:rPr>
        <w:t>系统提供词条导入日志，包括导入时间、导入是否成功、导入错误提示信息等。</w:t>
      </w:r>
    </w:p>
    <w:p w14:paraId="482AFE1D">
      <w:pPr>
        <w:pStyle w:val="4"/>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知识文库管理</w:t>
      </w:r>
    </w:p>
    <w:p w14:paraId="34636E2F">
      <w:pPr>
        <w:pStyle w:val="11"/>
      </w:pPr>
      <w:r>
        <w:rPr>
          <w:rFonts w:hint="eastAsia"/>
        </w:rPr>
        <w:t>知识文库管理，提供文件上传下载、文件查询检索、文件预览、文件目录管理和文件标签、文件纳入知识库、标签管理等功能，为知识库构建提供基础支撑能力，提供文档的综合有效管理以及可视化展现。</w:t>
      </w:r>
    </w:p>
    <w:p w14:paraId="6586DE22">
      <w:pPr>
        <w:pStyle w:val="11"/>
      </w:pPr>
      <w:r>
        <w:rPr>
          <w:rFonts w:hint="eastAsia"/>
        </w:rPr>
        <w:t>（1）文件上传下载：选定文件目录，用户可上传文件或者文件夹，上传的文件夹自动生成文件子目录。选定文件目录或者文件，可下载单个文件或者多个文件目录。</w:t>
      </w:r>
    </w:p>
    <w:p w14:paraId="0204AF1F">
      <w:pPr>
        <w:pStyle w:val="11"/>
      </w:pPr>
      <w:r>
        <w:rPr>
          <w:rFonts w:hint="eastAsia"/>
        </w:rPr>
        <w:t>（2）文件查询检索：用户可基于关键字进行全文检索，检索结果以列表平铺，不限文件目录。可根据文件标签、文件类型筛选文件。</w:t>
      </w:r>
    </w:p>
    <w:p w14:paraId="08BEF9E7">
      <w:pPr>
        <w:pStyle w:val="11"/>
      </w:pPr>
      <w:r>
        <w:rPr>
          <w:rFonts w:hint="eastAsia"/>
        </w:rPr>
        <w:t>（3）文件预览：点击文件名，打开文件预览页面，可预览文件内容。预览页打开一个新页签，与上线效果一致，用户可自行关闭。</w:t>
      </w:r>
    </w:p>
    <w:p w14:paraId="2185CAE5">
      <w:pPr>
        <w:pStyle w:val="11"/>
      </w:pPr>
      <w:r>
        <w:rPr>
          <w:rFonts w:hint="eastAsia"/>
        </w:rPr>
        <w:t>（4）文件目录管理：提供文件目录的增删改查、移动等功能，文件列表同步更新。</w:t>
      </w:r>
    </w:p>
    <w:p w14:paraId="24C57199">
      <w:pPr>
        <w:pStyle w:val="11"/>
      </w:pPr>
      <w:r>
        <w:rPr>
          <w:rFonts w:hint="eastAsia"/>
        </w:rPr>
        <w:t>（5）文件标签：提供单文件和多文件的标签设置，可选择已有标签，也可新增标签并设置。</w:t>
      </w:r>
    </w:p>
    <w:p w14:paraId="45A3D0F0">
      <w:pPr>
        <w:pStyle w:val="11"/>
      </w:pPr>
      <w:r>
        <w:rPr>
          <w:rFonts w:hint="eastAsia"/>
        </w:rPr>
        <w:t>（6）文件纳入知识库：应急预案、事件案例、法律法规、标准规范等四类文件可纳入知识库进行后续管理。</w:t>
      </w:r>
    </w:p>
    <w:p w14:paraId="38935AEC">
      <w:pPr>
        <w:pStyle w:val="11"/>
      </w:pPr>
      <w:r>
        <w:rPr>
          <w:rFonts w:hint="eastAsia"/>
        </w:rPr>
        <w:t>（7）标签管理：标签管理提供标签的创建、编辑、删除等基本操作功能。用户可基于标签筛选查找对应的文件。</w:t>
      </w:r>
    </w:p>
    <w:p w14:paraId="0813D5B9">
      <w:pPr>
        <w:pStyle w:val="4"/>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知识库管理</w:t>
      </w:r>
    </w:p>
    <w:p w14:paraId="7BFAC058">
      <w:pPr>
        <w:pStyle w:val="11"/>
      </w:pPr>
      <w:r>
        <w:rPr>
          <w:rFonts w:hint="eastAsia"/>
        </w:rPr>
        <w:t>充分考虑知识属性、要素的灵活配置与扩展性需求，针对应急预案、事件案例、法律法规、标准规范等三类文件，提供相应的知识提取、综合管理与可视化展现功能。</w:t>
      </w:r>
    </w:p>
    <w:p w14:paraId="5DB1DB44">
      <w:pPr>
        <w:pStyle w:val="5"/>
        <w:keepNext w:val="0"/>
        <w:keepLines w:val="0"/>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案例库管理</w:t>
      </w:r>
    </w:p>
    <w:p w14:paraId="0B359DBE">
      <w:pPr>
        <w:pStyle w:val="11"/>
        <w:keepNext w:val="0"/>
        <w:keepLines w:val="0"/>
        <w:pageBreakBefore w:val="0"/>
        <w:widowControl w:val="0"/>
        <w:kinsoku/>
        <w:wordWrap/>
        <w:overflowPunct/>
        <w:topLinePunct w:val="0"/>
        <w:autoSpaceDE/>
        <w:autoSpaceDN/>
        <w:bidi w:val="0"/>
        <w:textAlignment w:val="auto"/>
      </w:pPr>
      <w:r>
        <w:rPr>
          <w:rFonts w:hint="eastAsia"/>
        </w:rPr>
        <w:t>为采集本地区各类生产安全事故调查报告并整理入库提供系统工具。对不同类型的事件案例进行汇总关联和知识抽取。基于案例智能解析模型，自动抽取事件属性与要素，按照灾害类型、事故级别、发生地点提供不同视角的分类浏览视图。</w:t>
      </w:r>
    </w:p>
    <w:p w14:paraId="22F133EE">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法律法规库管理</w:t>
      </w:r>
    </w:p>
    <w:p w14:paraId="1A61E3E4">
      <w:pPr>
        <w:pStyle w:val="11"/>
      </w:pPr>
      <w:r>
        <w:rPr>
          <w:rFonts w:hint="eastAsia"/>
        </w:rPr>
        <w:t>为采集本地区各类政策法规并整理入库提供系统工具。对政策法规进行知识抽取与汇总关联，按照类型提供分类浏览视图。</w:t>
      </w:r>
    </w:p>
    <w:p w14:paraId="38705EAC">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标准规范库管理</w:t>
      </w:r>
    </w:p>
    <w:p w14:paraId="49ECB2D7">
      <w:pPr>
        <w:pStyle w:val="11"/>
      </w:pPr>
      <w:r>
        <w:rPr>
          <w:rFonts w:hint="eastAsia"/>
        </w:rPr>
        <w:t>为采集本地区各类标准规范并整理入库提供系统工具。对标准规范进行知识抽取与汇总关联，针对不同标准类型（国家标准、行业标准）、技术规范类型、制定单位、使用等级的标准及技术规范提供分类浏览视图。</w:t>
      </w:r>
    </w:p>
    <w:p w14:paraId="1895D174">
      <w:pPr>
        <w:pStyle w:val="4"/>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知识专题管理</w:t>
      </w:r>
    </w:p>
    <w:p w14:paraId="4690FF78">
      <w:pPr>
        <w:pStyle w:val="11"/>
      </w:pPr>
      <w:r>
        <w:rPr>
          <w:rFonts w:hint="eastAsia"/>
        </w:rPr>
        <w:t>知识专题包含应急业务域的标准知识板块。知识专题管理，提供专题管理、专题目录管理、专题资源管理等功能。</w:t>
      </w:r>
    </w:p>
    <w:p w14:paraId="43A57E81">
      <w:pPr>
        <w:pStyle w:val="11"/>
      </w:pPr>
      <w:r>
        <w:rPr>
          <w:rFonts w:hint="eastAsia"/>
        </w:rPr>
        <w:t>（1）专题管理</w:t>
      </w:r>
    </w:p>
    <w:p w14:paraId="3EF2E185">
      <w:pPr>
        <w:pStyle w:val="11"/>
      </w:pPr>
      <w:r>
        <w:rPr>
          <w:rFonts w:hint="eastAsia"/>
        </w:rPr>
        <w:t>专题管理，包括专题的创建、编辑、删除、上线与下线等管理维护操作。创建一个知识专题，按照默认配置生成专题目录。</w:t>
      </w:r>
    </w:p>
    <w:p w14:paraId="06C2902C">
      <w:pPr>
        <w:pStyle w:val="11"/>
      </w:pPr>
      <w:r>
        <w:rPr>
          <w:rFonts w:hint="eastAsia"/>
        </w:rPr>
        <w:t>（2）专题预览</w:t>
      </w:r>
    </w:p>
    <w:p w14:paraId="7121AE31">
      <w:pPr>
        <w:pStyle w:val="11"/>
      </w:pPr>
      <w:r>
        <w:rPr>
          <w:rFonts w:hint="eastAsia"/>
        </w:rPr>
        <w:t>专题管理完善之后，可以通过专题预览，预览专题上线效果。</w:t>
      </w:r>
    </w:p>
    <w:p w14:paraId="34246F35">
      <w:pPr>
        <w:pStyle w:val="11"/>
      </w:pPr>
      <w:r>
        <w:rPr>
          <w:rFonts w:hint="eastAsia"/>
        </w:rPr>
        <w:t>（3）专题上线/下线</w:t>
      </w:r>
    </w:p>
    <w:p w14:paraId="74CB232F">
      <w:pPr>
        <w:pStyle w:val="11"/>
      </w:pPr>
      <w:r>
        <w:rPr>
          <w:rFonts w:hint="eastAsia"/>
        </w:rPr>
        <w:t>专题管理完善之后，可以进行专题上线操作。专题上线后在首页可见，下线状态专题不可见。</w:t>
      </w:r>
    </w:p>
    <w:p w14:paraId="3011C799">
      <w:pPr>
        <w:pStyle w:val="11"/>
      </w:pPr>
      <w:r>
        <w:rPr>
          <w:rFonts w:hint="eastAsia"/>
        </w:rPr>
        <w:t>（4）专题目录管理</w:t>
      </w:r>
    </w:p>
    <w:p w14:paraId="3523066F">
      <w:pPr>
        <w:pStyle w:val="11"/>
      </w:pPr>
      <w:r>
        <w:rPr>
          <w:rFonts w:hint="eastAsia"/>
        </w:rPr>
        <w:t>用户可通过专题目录管理对生成的目录进行管理维护。创建一个知识专题，按照默认配置生成专题目录，支持目录的增删改查，排序等操作。</w:t>
      </w:r>
    </w:p>
    <w:p w14:paraId="1BBA9F9A">
      <w:pPr>
        <w:pStyle w:val="11"/>
      </w:pPr>
      <w:r>
        <w:rPr>
          <w:rFonts w:hint="eastAsia"/>
        </w:rPr>
        <w:t>（5）专题知识检索</w:t>
      </w:r>
    </w:p>
    <w:p w14:paraId="6189912A">
      <w:pPr>
        <w:pStyle w:val="11"/>
      </w:pPr>
      <w:r>
        <w:rPr>
          <w:rFonts w:hint="eastAsia"/>
        </w:rPr>
        <w:t>在专题知识关联时，通过专题知识检索，选取将要关联到专题的知识点。支持关键字查询、分类查询等多种方式组合检索。</w:t>
      </w:r>
    </w:p>
    <w:p w14:paraId="7592D744">
      <w:pPr>
        <w:pStyle w:val="11"/>
      </w:pPr>
      <w:r>
        <w:rPr>
          <w:rFonts w:hint="eastAsia"/>
        </w:rPr>
        <w:t>（6）专题知识关联</w:t>
      </w:r>
    </w:p>
    <w:p w14:paraId="6540BE7C">
      <w:pPr>
        <w:pStyle w:val="11"/>
        <w:rPr>
          <w:rFonts w:hint="eastAsia"/>
          <w:lang w:val="en-US" w:eastAsia="zh-CN"/>
        </w:rPr>
      </w:pPr>
      <w:r>
        <w:rPr>
          <w:rFonts w:hint="eastAsia"/>
        </w:rPr>
        <w:t>通过专题资源管理，将系统已上线的词条或文档，与目录建立关联关系。</w:t>
      </w:r>
      <w:bookmarkEnd w:id="0"/>
      <w:bookmarkEnd w:id="1"/>
      <w:bookmarkEnd w:id="2"/>
    </w:p>
    <w:sectPr>
      <w:pgSz w:w="11906" w:h="16838"/>
      <w:pgMar w:top="1417" w:right="1418" w:bottom="1417"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Segoe UI">
    <w:panose1 w:val="020B0502040204020203"/>
    <w:charset w:val="00"/>
    <w:family w:val="swiss"/>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B83E1C"/>
    <w:multiLevelType w:val="multilevel"/>
    <w:tmpl w:val="00B83E1C"/>
    <w:lvl w:ilvl="0" w:tentative="0">
      <w:start w:val="1"/>
      <w:numFmt w:val="decimal"/>
      <w:pStyle w:val="2"/>
      <w:suff w:val="space"/>
      <w:lvlText w:val="第%1章"/>
      <w:lvlJc w:val="left"/>
      <w:pPr>
        <w:ind w:left="0" w:firstLine="0"/>
      </w:pPr>
      <w:rPr>
        <w:rFonts w:hint="eastAsia"/>
      </w:rPr>
    </w:lvl>
    <w:lvl w:ilvl="1" w:tentative="0">
      <w:start w:val="1"/>
      <w:numFmt w:val="decimal"/>
      <w:pStyle w:val="3"/>
      <w:suff w:val="space"/>
      <w:lvlText w:val="%1.%2"/>
      <w:lvlJc w:val="left"/>
      <w:pPr>
        <w:ind w:left="0" w:firstLine="0"/>
      </w:pPr>
      <w:rPr>
        <w:rFonts w:hint="eastAsia"/>
      </w:rPr>
    </w:lvl>
    <w:lvl w:ilvl="2" w:tentative="0">
      <w:start w:val="1"/>
      <w:numFmt w:val="decimal"/>
      <w:pStyle w:val="4"/>
      <w:suff w:val="space"/>
      <w:lvlText w:val="%1.%2.%3"/>
      <w:lvlJc w:val="left"/>
      <w:pPr>
        <w:ind w:left="0" w:firstLine="0"/>
      </w:pPr>
      <w:rPr>
        <w:rFonts w:hint="eastAsia"/>
      </w:rPr>
    </w:lvl>
    <w:lvl w:ilvl="3" w:tentative="0">
      <w:start w:val="1"/>
      <w:numFmt w:val="decimal"/>
      <w:pStyle w:val="5"/>
      <w:suff w:val="space"/>
      <w:lvlText w:val="%1.%2.%3.%4"/>
      <w:lvlJc w:val="left"/>
      <w:pPr>
        <w:ind w:left="284" w:firstLine="0"/>
      </w:pPr>
      <w:rPr>
        <w:rFonts w:hint="eastAsia"/>
      </w:rPr>
    </w:lvl>
    <w:lvl w:ilvl="4" w:tentative="0">
      <w:start w:val="1"/>
      <w:numFmt w:val="decimal"/>
      <w:pStyle w:val="6"/>
      <w:suff w:val="space"/>
      <w:lvlText w:val="%1.%2.%3.%4.%5"/>
      <w:lvlJc w:val="left"/>
      <w:pPr>
        <w:ind w:left="710" w:firstLine="0"/>
      </w:pPr>
      <w:rPr>
        <w:rFonts w:hint="eastAsia"/>
      </w:rPr>
    </w:lvl>
    <w:lvl w:ilvl="5" w:tentative="0">
      <w:start w:val="1"/>
      <w:numFmt w:val="decimal"/>
      <w:pStyle w:val="7"/>
      <w:suff w:val="space"/>
      <w:lvlText w:val="%1.%2.%3.%4.%5.%6"/>
      <w:lvlJc w:val="left"/>
      <w:pPr>
        <w:ind w:left="568" w:firstLine="0"/>
      </w:pPr>
      <w:rPr>
        <w:rFonts w:hint="eastAsia"/>
      </w:rPr>
    </w:lvl>
    <w:lvl w:ilvl="6" w:tentative="0">
      <w:start w:val="1"/>
      <w:numFmt w:val="decimal"/>
      <w:suff w:val="space"/>
      <w:lvlText w:val="%1.%2.%3.%4.%5.%6.%7"/>
      <w:lvlJc w:val="left"/>
      <w:pPr>
        <w:ind w:left="0" w:firstLine="0"/>
      </w:pPr>
      <w:rPr>
        <w:rFonts w:hint="eastAsia"/>
      </w:rPr>
    </w:lvl>
    <w:lvl w:ilvl="7" w:tentative="0">
      <w:start w:val="1"/>
      <w:numFmt w:val="decimal"/>
      <w:suff w:val="space"/>
      <w:lvlText w:val="%1.%2.%3.%4.%5.%6.%7.%8"/>
      <w:lvlJc w:val="left"/>
      <w:pPr>
        <w:ind w:left="0" w:firstLine="0"/>
      </w:pPr>
      <w:rPr>
        <w:rFonts w:hint="eastAsia"/>
      </w:rPr>
    </w:lvl>
    <w:lvl w:ilvl="8" w:tentative="0">
      <w:start w:val="1"/>
      <w:numFmt w:val="decimal"/>
      <w:suff w:val="space"/>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5MzM4NGJkNmU2YjZhOWMxMTcyNDNkZWIyM2IzYzgifQ=="/>
  </w:docVars>
  <w:rsids>
    <w:rsidRoot w:val="2A212BF9"/>
    <w:rsid w:val="000B693E"/>
    <w:rsid w:val="000D400C"/>
    <w:rsid w:val="00120E85"/>
    <w:rsid w:val="001D6F0C"/>
    <w:rsid w:val="002C4F38"/>
    <w:rsid w:val="00384C7E"/>
    <w:rsid w:val="004335F5"/>
    <w:rsid w:val="00444D7F"/>
    <w:rsid w:val="004505A4"/>
    <w:rsid w:val="004A0241"/>
    <w:rsid w:val="004C03F9"/>
    <w:rsid w:val="004D488D"/>
    <w:rsid w:val="00676903"/>
    <w:rsid w:val="00676F69"/>
    <w:rsid w:val="007A4271"/>
    <w:rsid w:val="007F20E3"/>
    <w:rsid w:val="00834478"/>
    <w:rsid w:val="008F22E6"/>
    <w:rsid w:val="00913E08"/>
    <w:rsid w:val="0093305D"/>
    <w:rsid w:val="00977571"/>
    <w:rsid w:val="009A0095"/>
    <w:rsid w:val="009D124E"/>
    <w:rsid w:val="009E5941"/>
    <w:rsid w:val="00BE6AF1"/>
    <w:rsid w:val="00C07623"/>
    <w:rsid w:val="00CB1923"/>
    <w:rsid w:val="00E35F4C"/>
    <w:rsid w:val="00EC1F4E"/>
    <w:rsid w:val="00EC61D9"/>
    <w:rsid w:val="00EE4E56"/>
    <w:rsid w:val="05917228"/>
    <w:rsid w:val="07630750"/>
    <w:rsid w:val="078A2181"/>
    <w:rsid w:val="083D71F3"/>
    <w:rsid w:val="08B60D54"/>
    <w:rsid w:val="09030688"/>
    <w:rsid w:val="0935436E"/>
    <w:rsid w:val="09A64A64"/>
    <w:rsid w:val="0C676F35"/>
    <w:rsid w:val="10B4026F"/>
    <w:rsid w:val="117B6FDE"/>
    <w:rsid w:val="13347445"/>
    <w:rsid w:val="13A95FAD"/>
    <w:rsid w:val="16C805D0"/>
    <w:rsid w:val="222138E3"/>
    <w:rsid w:val="23C46526"/>
    <w:rsid w:val="23F00E68"/>
    <w:rsid w:val="2A212BF9"/>
    <w:rsid w:val="2D0C63F5"/>
    <w:rsid w:val="2F941C78"/>
    <w:rsid w:val="30AB637E"/>
    <w:rsid w:val="371143AA"/>
    <w:rsid w:val="3779005F"/>
    <w:rsid w:val="384F1675"/>
    <w:rsid w:val="3AD969A0"/>
    <w:rsid w:val="3E1C4425"/>
    <w:rsid w:val="41E40104"/>
    <w:rsid w:val="439B388B"/>
    <w:rsid w:val="44953938"/>
    <w:rsid w:val="44B55CBE"/>
    <w:rsid w:val="464E1FF0"/>
    <w:rsid w:val="4CB510BB"/>
    <w:rsid w:val="504D50C7"/>
    <w:rsid w:val="51A25E57"/>
    <w:rsid w:val="55827052"/>
    <w:rsid w:val="59CA3C2C"/>
    <w:rsid w:val="5E405B29"/>
    <w:rsid w:val="5F546472"/>
    <w:rsid w:val="690C6343"/>
    <w:rsid w:val="6974145B"/>
    <w:rsid w:val="6BFB1DD8"/>
    <w:rsid w:val="6CB71DEE"/>
    <w:rsid w:val="6DAC2F2D"/>
    <w:rsid w:val="6FF9271D"/>
    <w:rsid w:val="778D20C9"/>
    <w:rsid w:val="7C4F2043"/>
    <w:rsid w:val="7CA73C2D"/>
    <w:rsid w:val="7D7102F9"/>
    <w:rsid w:val="7DB6118A"/>
    <w:rsid w:val="7E683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9"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9"/>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basedOn w:val="1"/>
    <w:next w:val="1"/>
    <w:qFormat/>
    <w:uiPriority w:val="9"/>
    <w:pPr>
      <w:keepNext/>
      <w:keepLines/>
      <w:pageBreakBefore/>
      <w:numPr>
        <w:ilvl w:val="0"/>
        <w:numId w:val="1"/>
      </w:numPr>
      <w:spacing w:before="240" w:beforeLines="50" w:afterLines="50" w:line="360" w:lineRule="auto"/>
      <w:jc w:val="center"/>
      <w:outlineLvl w:val="0"/>
    </w:pPr>
    <w:rPr>
      <w:rFonts w:ascii="等线" w:hAnsi="等线" w:eastAsia="黑体" w:cs="Times New Roman"/>
      <w:b/>
      <w:bCs/>
      <w:kern w:val="44"/>
      <w:sz w:val="32"/>
      <w:szCs w:val="44"/>
    </w:rPr>
  </w:style>
  <w:style w:type="paragraph" w:styleId="3">
    <w:name w:val="heading 2"/>
    <w:basedOn w:val="1"/>
    <w:next w:val="1"/>
    <w:autoRedefine/>
    <w:qFormat/>
    <w:uiPriority w:val="9"/>
    <w:pPr>
      <w:keepNext/>
      <w:keepLines/>
      <w:numPr>
        <w:ilvl w:val="1"/>
        <w:numId w:val="1"/>
      </w:numPr>
      <w:snapToGrid w:val="0"/>
      <w:spacing w:line="360" w:lineRule="auto"/>
      <w:contextualSpacing/>
      <w:outlineLvl w:val="1"/>
    </w:pPr>
    <w:rPr>
      <w:rFonts w:ascii="Times New Roman" w:hAnsi="Times New Roman" w:eastAsia="黑体" w:cstheme="majorBidi"/>
      <w:b/>
      <w:bCs/>
      <w:color w:val="000000" w:themeColor="text1"/>
      <w:sz w:val="30"/>
      <w:szCs w:val="32"/>
      <w14:textFill>
        <w14:solidFill>
          <w14:schemeClr w14:val="tx1"/>
        </w14:solidFill>
      </w14:textFill>
    </w:rPr>
  </w:style>
  <w:style w:type="paragraph" w:styleId="4">
    <w:name w:val="heading 3"/>
    <w:basedOn w:val="1"/>
    <w:next w:val="1"/>
    <w:link w:val="29"/>
    <w:autoRedefine/>
    <w:qFormat/>
    <w:uiPriority w:val="9"/>
    <w:pPr>
      <w:keepNext/>
      <w:keepLines/>
      <w:numPr>
        <w:ilvl w:val="2"/>
        <w:numId w:val="1"/>
      </w:numPr>
      <w:adjustRightInd w:val="0"/>
      <w:snapToGrid w:val="0"/>
      <w:spacing w:line="560" w:lineRule="exact"/>
      <w:contextualSpacing/>
      <w:outlineLvl w:val="2"/>
    </w:pPr>
    <w:rPr>
      <w:rFonts w:eastAsia="黑体"/>
      <w:b/>
      <w:bCs/>
      <w:color w:val="000000" w:themeColor="text1"/>
      <w:sz w:val="24"/>
      <w:szCs w:val="32"/>
      <w14:textFill>
        <w14:solidFill>
          <w14:schemeClr w14:val="tx1"/>
        </w14:solidFill>
      </w14:textFill>
    </w:rPr>
  </w:style>
  <w:style w:type="paragraph" w:styleId="5">
    <w:name w:val="heading 4"/>
    <w:basedOn w:val="4"/>
    <w:next w:val="6"/>
    <w:autoRedefine/>
    <w:qFormat/>
    <w:uiPriority w:val="9"/>
    <w:pPr>
      <w:keepNext/>
      <w:keepLines/>
      <w:numPr>
        <w:ilvl w:val="3"/>
        <w:numId w:val="1"/>
      </w:numPr>
      <w:spacing w:before="280" w:after="290" w:line="376" w:lineRule="auto"/>
      <w:outlineLvl w:val="3"/>
    </w:pPr>
    <w:rPr>
      <w:rFonts w:ascii="Times New Roman" w:hAnsi="Times New Roman" w:eastAsia="黑体" w:cstheme="majorBidi"/>
      <w:sz w:val="28"/>
      <w:szCs w:val="28"/>
    </w:rPr>
  </w:style>
  <w:style w:type="paragraph" w:styleId="6">
    <w:name w:val="heading 5"/>
    <w:basedOn w:val="5"/>
    <w:next w:val="7"/>
    <w:autoRedefine/>
    <w:qFormat/>
    <w:uiPriority w:val="9"/>
    <w:pPr>
      <w:keepNext/>
      <w:keepLines/>
      <w:numPr>
        <w:ilvl w:val="4"/>
        <w:numId w:val="1"/>
      </w:numPr>
      <w:spacing w:before="280" w:after="290" w:line="376" w:lineRule="auto"/>
      <w:outlineLvl w:val="4"/>
    </w:pPr>
    <w:rPr>
      <w:rFonts w:ascii="黑体" w:eastAsia="黑体"/>
      <w:sz w:val="24"/>
      <w:szCs w:val="28"/>
    </w:rPr>
  </w:style>
  <w:style w:type="paragraph" w:styleId="7">
    <w:name w:val="heading 6"/>
    <w:basedOn w:val="1"/>
    <w:next w:val="8"/>
    <w:qFormat/>
    <w:uiPriority w:val="0"/>
    <w:pPr>
      <w:keepNext/>
      <w:keepLines/>
      <w:numPr>
        <w:ilvl w:val="5"/>
        <w:numId w:val="1"/>
      </w:numPr>
      <w:spacing w:before="240" w:after="64" w:line="320" w:lineRule="auto"/>
      <w:outlineLvl w:val="5"/>
    </w:pPr>
    <w:rPr>
      <w:rFonts w:ascii="黑体" w:eastAsia="黑体" w:hAnsiTheme="majorHAnsi" w:cstheme="majorBidi"/>
      <w:b/>
      <w:bCs/>
      <w:kern w:val="2"/>
      <w:sz w:val="24"/>
      <w:szCs w:val="24"/>
      <w:lang w:val="en-US" w:eastAsia="zh-CN" w:bidi="ar-SA"/>
    </w:rPr>
  </w:style>
  <w:style w:type="paragraph" w:styleId="9">
    <w:name w:val="heading 7"/>
    <w:basedOn w:val="1"/>
    <w:next w:val="1"/>
    <w:link w:val="33"/>
    <w:autoRedefine/>
    <w:qFormat/>
    <w:uiPriority w:val="0"/>
    <w:pPr>
      <w:keepNext/>
      <w:widowControl/>
      <w:adjustRightInd w:val="0"/>
      <w:snapToGrid w:val="0"/>
      <w:spacing w:before="120" w:after="120" w:line="360" w:lineRule="auto"/>
      <w:contextualSpacing/>
      <w:jc w:val="left"/>
      <w:outlineLvl w:val="6"/>
    </w:pPr>
    <w:rPr>
      <w:rFonts w:ascii="Times New Roman" w:hAnsi="Times New Roman" w:eastAsia="宋体" w:cs="等线"/>
      <w:b/>
      <w:sz w:val="24"/>
    </w:rPr>
  </w:style>
  <w:style w:type="paragraph" w:styleId="10">
    <w:name w:val="heading 8"/>
    <w:basedOn w:val="1"/>
    <w:next w:val="11"/>
    <w:link w:val="34"/>
    <w:autoRedefine/>
    <w:qFormat/>
    <w:uiPriority w:val="0"/>
    <w:pPr>
      <w:keepNext/>
      <w:widowControl/>
      <w:snapToGrid w:val="0"/>
      <w:spacing w:before="120" w:after="120" w:line="360" w:lineRule="auto"/>
      <w:contextualSpacing/>
      <w:jc w:val="left"/>
      <w:outlineLvl w:val="7"/>
    </w:pPr>
    <w:rPr>
      <w:rFonts w:ascii="Times New Roman" w:hAnsi="Times New Roman" w:eastAsia="宋体" w:cs="等线"/>
      <w:b/>
      <w:sz w:val="24"/>
    </w:rPr>
  </w:style>
  <w:style w:type="paragraph" w:styleId="13">
    <w:name w:val="heading 9"/>
    <w:basedOn w:val="1"/>
    <w:next w:val="11"/>
    <w:link w:val="35"/>
    <w:autoRedefine/>
    <w:qFormat/>
    <w:uiPriority w:val="0"/>
    <w:pPr>
      <w:keepNext/>
      <w:widowControl/>
      <w:snapToGrid w:val="0"/>
      <w:spacing w:before="120" w:after="120" w:line="360" w:lineRule="auto"/>
      <w:contextualSpacing/>
      <w:jc w:val="left"/>
      <w:outlineLvl w:val="8"/>
    </w:pPr>
    <w:rPr>
      <w:rFonts w:ascii="Times New Roman" w:hAnsi="Times New Roman" w:eastAsia="宋体" w:cs="等线"/>
      <w:b/>
      <w:sz w:val="24"/>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customStyle="1" w:styleId="8">
    <w:name w:val="FC正文"/>
    <w:basedOn w:val="1"/>
    <w:qFormat/>
    <w:uiPriority w:val="0"/>
    <w:pPr>
      <w:spacing w:line="360" w:lineRule="auto"/>
      <w:ind w:firstLine="200" w:firstLineChars="200"/>
    </w:pPr>
    <w:rPr>
      <w:rFonts w:ascii="宋体" w:eastAsia="宋体" w:hAnsiTheme="minorEastAsia" w:cstheme="minorEastAsia"/>
      <w:sz w:val="24"/>
    </w:rPr>
  </w:style>
  <w:style w:type="paragraph" w:customStyle="1" w:styleId="11">
    <w:name w:val="KY1正文"/>
    <w:basedOn w:val="12"/>
    <w:link w:val="36"/>
    <w:autoRedefine/>
    <w:qFormat/>
    <w:uiPriority w:val="0"/>
    <w:pPr>
      <w:spacing w:line="360" w:lineRule="auto"/>
      <w:ind w:firstLine="480" w:firstLineChars="200"/>
      <w:jc w:val="left"/>
    </w:pPr>
    <w:rPr>
      <w:rFonts w:ascii="Times New Roman" w:hAnsi="Times New Roman" w:eastAsia="宋体" w:cstheme="minorEastAsia"/>
      <w:sz w:val="24"/>
    </w:rPr>
  </w:style>
  <w:style w:type="paragraph" w:customStyle="1" w:styleId="12">
    <w:name w:val="!基准"/>
    <w:qFormat/>
    <w:uiPriority w:val="5"/>
    <w:rPr>
      <w:rFonts w:ascii="Times New Roman" w:hAnsi="Times New Roman" w:eastAsia="宋体" w:cstheme="minorBidi"/>
      <w:kern w:val="2"/>
      <w:sz w:val="21"/>
      <w:szCs w:val="21"/>
      <w:lang w:val="en-US" w:eastAsia="zh-CN" w:bidi="ar-SA"/>
    </w:rPr>
  </w:style>
  <w:style w:type="paragraph" w:styleId="14">
    <w:name w:val="Normal Indent"/>
    <w:basedOn w:val="1"/>
    <w:next w:val="1"/>
    <w:autoRedefine/>
    <w:unhideWhenUsed/>
    <w:qFormat/>
    <w:uiPriority w:val="99"/>
    <w:pPr>
      <w:ind w:firstLine="420" w:firstLineChars="200"/>
    </w:pPr>
  </w:style>
  <w:style w:type="paragraph" w:styleId="15">
    <w:name w:val="caption"/>
    <w:basedOn w:val="1"/>
    <w:next w:val="1"/>
    <w:link w:val="37"/>
    <w:autoRedefine/>
    <w:qFormat/>
    <w:uiPriority w:val="0"/>
    <w:pPr>
      <w:keepNext/>
      <w:widowControl/>
      <w:jc w:val="center"/>
    </w:pPr>
    <w:rPr>
      <w:rFonts w:ascii="Times New Roman" w:hAnsi="Times New Roman" w:eastAsia="黑体" w:cstheme="majorBidi"/>
      <w:sz w:val="20"/>
      <w:szCs w:val="20"/>
    </w:rPr>
  </w:style>
  <w:style w:type="paragraph" w:styleId="16">
    <w:name w:val="Body Text"/>
    <w:basedOn w:val="1"/>
    <w:next w:val="17"/>
    <w:qFormat/>
    <w:uiPriority w:val="0"/>
    <w:pPr>
      <w:spacing w:after="120" w:line="360" w:lineRule="auto"/>
      <w:ind w:firstLine="200" w:firstLineChars="200"/>
    </w:pPr>
    <w:rPr>
      <w:rFonts w:ascii="Calibri" w:hAnsi="Calibri" w:eastAsia="宋体" w:cs="Times New Roman"/>
      <w:sz w:val="24"/>
      <w:szCs w:val="24"/>
    </w:rPr>
  </w:style>
  <w:style w:type="paragraph" w:styleId="17">
    <w:name w:val="Body Text First Indent 2"/>
    <w:basedOn w:val="18"/>
    <w:next w:val="14"/>
    <w:autoRedefine/>
    <w:qFormat/>
    <w:uiPriority w:val="0"/>
    <w:pPr>
      <w:spacing w:after="120"/>
      <w:ind w:left="420" w:leftChars="200" w:firstLine="420" w:firstLineChars="200"/>
    </w:pPr>
    <w:rPr>
      <w:sz w:val="21"/>
    </w:rPr>
  </w:style>
  <w:style w:type="paragraph" w:styleId="18">
    <w:name w:val="Body Text Indent"/>
    <w:basedOn w:val="1"/>
    <w:next w:val="19"/>
    <w:autoRedefine/>
    <w:qFormat/>
    <w:uiPriority w:val="0"/>
    <w:pPr>
      <w:ind w:firstLine="645"/>
    </w:pPr>
    <w:rPr>
      <w:rFonts w:ascii="Arial" w:hAnsi="Arial" w:eastAsia="仿宋_GB2312"/>
      <w:sz w:val="28"/>
    </w:rPr>
  </w:style>
  <w:style w:type="paragraph" w:styleId="19">
    <w:name w:val="envelope return"/>
    <w:basedOn w:val="1"/>
    <w:autoRedefine/>
    <w:qFormat/>
    <w:uiPriority w:val="0"/>
    <w:pPr>
      <w:snapToGrid w:val="0"/>
    </w:pPr>
    <w:rPr>
      <w:rFonts w:ascii="Arial" w:hAnsi="Arial" w:cs="Arial"/>
    </w:rPr>
  </w:style>
  <w:style w:type="paragraph" w:styleId="20">
    <w:name w:val="Body Text Indent 2"/>
    <w:basedOn w:val="1"/>
    <w:autoRedefine/>
    <w:unhideWhenUsed/>
    <w:qFormat/>
    <w:uiPriority w:val="99"/>
    <w:pPr>
      <w:widowControl/>
      <w:autoSpaceDN w:val="0"/>
      <w:spacing w:after="120" w:line="480" w:lineRule="auto"/>
      <w:ind w:left="420" w:leftChars="200"/>
    </w:pPr>
    <w:rPr>
      <w:kern w:val="0"/>
      <w:sz w:val="24"/>
      <w:szCs w:val="22"/>
      <w:lang w:eastAsia="en-US" w:bidi="en-US"/>
    </w:rPr>
  </w:style>
  <w:style w:type="paragraph" w:styleId="21">
    <w:name w:val="footer"/>
    <w:basedOn w:val="1"/>
    <w:link w:val="32"/>
    <w:autoRedefine/>
    <w:qFormat/>
    <w:uiPriority w:val="0"/>
    <w:pPr>
      <w:tabs>
        <w:tab w:val="center" w:pos="4153"/>
        <w:tab w:val="right" w:pos="8306"/>
      </w:tabs>
      <w:snapToGrid w:val="0"/>
      <w:jc w:val="left"/>
    </w:pPr>
    <w:rPr>
      <w:sz w:val="18"/>
      <w:szCs w:val="18"/>
    </w:rPr>
  </w:style>
  <w:style w:type="paragraph" w:styleId="22">
    <w:name w:val="header"/>
    <w:basedOn w:val="1"/>
    <w:link w:val="31"/>
    <w:autoRedefine/>
    <w:qFormat/>
    <w:uiPriority w:val="0"/>
    <w:pPr>
      <w:tabs>
        <w:tab w:val="center" w:pos="4153"/>
        <w:tab w:val="right" w:pos="8306"/>
      </w:tabs>
      <w:snapToGrid w:val="0"/>
      <w:jc w:val="center"/>
    </w:pPr>
    <w:rPr>
      <w:sz w:val="18"/>
      <w:szCs w:val="18"/>
    </w:rPr>
  </w:style>
  <w:style w:type="paragraph" w:styleId="23">
    <w:name w:val="footnote text"/>
    <w:basedOn w:val="1"/>
    <w:autoRedefine/>
    <w:qFormat/>
    <w:uiPriority w:val="99"/>
    <w:pPr>
      <w:snapToGrid w:val="0"/>
    </w:pPr>
    <w:rPr>
      <w:kern w:val="0"/>
      <w:sz w:val="18"/>
      <w:szCs w:val="18"/>
    </w:rPr>
  </w:style>
  <w:style w:type="table" w:styleId="25">
    <w:name w:val="Table Grid"/>
    <w:basedOn w:val="2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
    <w:name w:val="AA正文"/>
    <w:basedOn w:val="1"/>
    <w:autoRedefine/>
    <w:qFormat/>
    <w:uiPriority w:val="0"/>
    <w:pPr>
      <w:snapToGrid w:val="0"/>
      <w:spacing w:line="360" w:lineRule="auto"/>
      <w:ind w:firstLine="200" w:firstLineChars="200"/>
    </w:pPr>
    <w:rPr>
      <w:sz w:val="24"/>
      <w:szCs w:val="24"/>
    </w:rPr>
  </w:style>
  <w:style w:type="paragraph" w:customStyle="1" w:styleId="28">
    <w:name w:val="HS   正文"/>
    <w:autoRedefine/>
    <w:qFormat/>
    <w:locked/>
    <w:uiPriority w:val="0"/>
    <w:pPr>
      <w:widowControl w:val="0"/>
      <w:snapToGrid w:val="0"/>
      <w:spacing w:before="50" w:beforeLines="50" w:after="50" w:afterLines="50" w:line="360" w:lineRule="auto"/>
      <w:ind w:firstLine="480" w:firstLineChars="200"/>
      <w:contextualSpacing/>
      <w:jc w:val="both"/>
    </w:pPr>
    <w:rPr>
      <w:rFonts w:ascii="宋体" w:hAnsi="宋体" w:eastAsia="宋体" w:cstheme="minorEastAsia"/>
      <w:kern w:val="2"/>
      <w:sz w:val="24"/>
      <w:szCs w:val="21"/>
      <w:lang w:val="en-US" w:eastAsia="zh-CN" w:bidi="ar-SA"/>
    </w:rPr>
  </w:style>
  <w:style w:type="character" w:customStyle="1" w:styleId="29">
    <w:name w:val="标题 3 字符"/>
    <w:link w:val="4"/>
    <w:autoRedefine/>
    <w:qFormat/>
    <w:uiPriority w:val="0"/>
    <w:rPr>
      <w:rFonts w:eastAsia="黑体" w:asciiTheme="minorHAnsi" w:hAnsiTheme="minorHAnsi" w:cstheme="minorBidi"/>
      <w:b/>
      <w:bCs/>
      <w:color w:val="000000" w:themeColor="text1"/>
      <w:kern w:val="2"/>
      <w:sz w:val="24"/>
      <w:szCs w:val="32"/>
      <w:lang w:val="en-US" w:eastAsia="zh-CN" w:bidi="ar-SA"/>
      <w14:textFill>
        <w14:solidFill>
          <w14:schemeClr w14:val="tx1"/>
        </w14:solidFill>
      </w14:textFill>
    </w:rPr>
  </w:style>
  <w:style w:type="paragraph" w:customStyle="1" w:styleId="30">
    <w:name w:val="yhw3"/>
    <w:basedOn w:val="1"/>
    <w:autoRedefine/>
    <w:qFormat/>
    <w:uiPriority w:val="0"/>
    <w:pPr>
      <w:ind w:firstLine="640" w:firstLineChars="200"/>
    </w:pPr>
    <w:rPr>
      <w:rFonts w:cs="宋体"/>
    </w:rPr>
  </w:style>
  <w:style w:type="character" w:customStyle="1" w:styleId="31">
    <w:name w:val="页眉 字符"/>
    <w:basedOn w:val="26"/>
    <w:link w:val="22"/>
    <w:autoRedefine/>
    <w:qFormat/>
    <w:uiPriority w:val="0"/>
    <w:rPr>
      <w:kern w:val="2"/>
      <w:sz w:val="18"/>
      <w:szCs w:val="18"/>
    </w:rPr>
  </w:style>
  <w:style w:type="character" w:customStyle="1" w:styleId="32">
    <w:name w:val="页脚 字符"/>
    <w:basedOn w:val="26"/>
    <w:link w:val="21"/>
    <w:autoRedefine/>
    <w:qFormat/>
    <w:uiPriority w:val="0"/>
    <w:rPr>
      <w:kern w:val="2"/>
      <w:sz w:val="18"/>
      <w:szCs w:val="18"/>
    </w:rPr>
  </w:style>
  <w:style w:type="character" w:customStyle="1" w:styleId="33">
    <w:name w:val="标题 7 字符"/>
    <w:basedOn w:val="26"/>
    <w:link w:val="9"/>
    <w:autoRedefine/>
    <w:qFormat/>
    <w:uiPriority w:val="1"/>
    <w:rPr>
      <w:rFonts w:ascii="Times New Roman" w:hAnsi="Times New Roman" w:eastAsia="宋体" w:cs="等线"/>
      <w:b/>
      <w:kern w:val="2"/>
      <w:sz w:val="24"/>
      <w:szCs w:val="21"/>
    </w:rPr>
  </w:style>
  <w:style w:type="character" w:customStyle="1" w:styleId="34">
    <w:name w:val="标题 8 字符"/>
    <w:basedOn w:val="26"/>
    <w:link w:val="10"/>
    <w:autoRedefine/>
    <w:qFormat/>
    <w:uiPriority w:val="1"/>
    <w:rPr>
      <w:rFonts w:ascii="Times New Roman" w:hAnsi="Times New Roman" w:eastAsia="宋体" w:cs="等线"/>
      <w:b/>
      <w:kern w:val="2"/>
      <w:sz w:val="24"/>
      <w:szCs w:val="21"/>
    </w:rPr>
  </w:style>
  <w:style w:type="character" w:customStyle="1" w:styleId="35">
    <w:name w:val="标题 9 字符"/>
    <w:basedOn w:val="26"/>
    <w:link w:val="13"/>
    <w:autoRedefine/>
    <w:qFormat/>
    <w:uiPriority w:val="1"/>
    <w:rPr>
      <w:rFonts w:ascii="Times New Roman" w:hAnsi="Times New Roman" w:eastAsia="宋体" w:cs="等线"/>
      <w:b/>
      <w:kern w:val="2"/>
      <w:sz w:val="24"/>
      <w:szCs w:val="21"/>
    </w:rPr>
  </w:style>
  <w:style w:type="character" w:customStyle="1" w:styleId="36">
    <w:name w:val="KY1正文 字符"/>
    <w:link w:val="11"/>
    <w:autoRedefine/>
    <w:qFormat/>
    <w:uiPriority w:val="0"/>
    <w:rPr>
      <w:rFonts w:ascii="Times New Roman" w:hAnsi="Times New Roman" w:eastAsia="宋体" w:cstheme="minorEastAsia"/>
      <w:kern w:val="2"/>
      <w:sz w:val="24"/>
      <w:szCs w:val="21"/>
    </w:rPr>
  </w:style>
  <w:style w:type="character" w:customStyle="1" w:styleId="37">
    <w:name w:val="题注 字符"/>
    <w:link w:val="15"/>
    <w:autoRedefine/>
    <w:qFormat/>
    <w:uiPriority w:val="99"/>
    <w:rPr>
      <w:rFonts w:ascii="Times New Roman" w:hAnsi="Times New Roman" w:eastAsia="黑体" w:cstheme="majorBidi"/>
      <w:kern w:val="2"/>
    </w:rPr>
  </w:style>
  <w:style w:type="paragraph" w:customStyle="1" w:styleId="38">
    <w:name w:val="KY3表文"/>
    <w:basedOn w:val="1"/>
    <w:link w:val="39"/>
    <w:autoRedefine/>
    <w:qFormat/>
    <w:uiPriority w:val="0"/>
    <w:pPr>
      <w:widowControl/>
      <w:snapToGrid w:val="0"/>
      <w:contextualSpacing/>
      <w:jc w:val="center"/>
    </w:pPr>
    <w:rPr>
      <w:rFonts w:ascii="Times New Roman" w:hAnsi="Times New Roman" w:eastAsia="宋体" w:cs="Times New Roman"/>
      <w:color w:val="000000" w:themeColor="text1"/>
      <w:kern w:val="0"/>
      <w:szCs w:val="24"/>
      <w14:textFill>
        <w14:solidFill>
          <w14:schemeClr w14:val="tx1"/>
        </w14:solidFill>
      </w14:textFill>
    </w:rPr>
  </w:style>
  <w:style w:type="character" w:customStyle="1" w:styleId="39">
    <w:name w:val="KY3表文 字符"/>
    <w:basedOn w:val="26"/>
    <w:link w:val="38"/>
    <w:autoRedefine/>
    <w:qFormat/>
    <w:uiPriority w:val="0"/>
    <w:rPr>
      <w:rFonts w:ascii="Times New Roman" w:hAnsi="Times New Roman" w:eastAsia="宋体" w:cs="Times New Roman"/>
      <w:color w:val="000000" w:themeColor="text1"/>
      <w:sz w:val="21"/>
      <w:szCs w:val="24"/>
      <w14:textFill>
        <w14:solidFill>
          <w14:schemeClr w14:val="tx1"/>
        </w14:solidFill>
      </w14:textFill>
    </w:rPr>
  </w:style>
  <w:style w:type="table" w:customStyle="1" w:styleId="40">
    <w:name w:val="FC16"/>
    <w:basedOn w:val="24"/>
    <w:autoRedefine/>
    <w:qFormat/>
    <w:uiPriority w:val="99"/>
    <w:pPr>
      <w:jc w:val="center"/>
    </w:pPr>
    <w:rPr>
      <w:rFonts w:ascii="Calibri" w:hAnsi="Calibri" w:eastAsia="宋体" w:cs="Times New Roman"/>
    </w:rPr>
    <w:tblP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
    <w:tcPr>
      <w:shd w:val="clear" w:color="auto" w:fill="FFFFFF"/>
      <w:vAlign w:val="center"/>
    </w:tcPr>
    <w:tblStylePr w:type="firstRow">
      <w:tcPr>
        <w:tcBorders>
          <w:top w:val="double" w:color="auto" w:sz="4" w:space="0"/>
        </w:tcBorders>
        <w:shd w:val="clear" w:color="auto" w:fill="D9D9D9"/>
      </w:tcPr>
    </w:tblStylePr>
    <w:tblStylePr w:type="lastRow">
      <w:tcPr>
        <w:tcBorders>
          <w:bottom w:val="double" w:color="auto" w:sz="4" w:space="0"/>
        </w:tcBorders>
        <w:shd w:val="clear" w:color="auto" w:fill="FFFFFF"/>
      </w:tcPr>
    </w:tblStylePr>
    <w:tblStylePr w:type="firstCol">
      <w:tcPr>
        <w:tcBorders>
          <w:top w:val="nil"/>
          <w:left w:val="double" w:color="auto" w:sz="4" w:space="0"/>
        </w:tcBorders>
      </w:tcPr>
    </w:tblStylePr>
    <w:tblStylePr w:type="lastCol">
      <w:tcPr>
        <w:tcBorders>
          <w:right w:val="double" w:color="auto" w:sz="4" w:space="0"/>
        </w:tcBorders>
        <w:shd w:val="clear" w:color="auto" w:fill="FFFFFF"/>
      </w:tcPr>
    </w:tblStylePr>
  </w:style>
  <w:style w:type="character" w:customStyle="1" w:styleId="41">
    <w:name w:val="本文正文 Char"/>
    <w:basedOn w:val="26"/>
    <w:link w:val="42"/>
    <w:autoRedefine/>
    <w:qFormat/>
    <w:uiPriority w:val="0"/>
    <w:rPr>
      <w:rFonts w:ascii="Calibri" w:hAnsi="Calibri" w:eastAsia="宋体" w:cs="Times New Roman"/>
      <w:sz w:val="28"/>
      <w:szCs w:val="28"/>
    </w:rPr>
  </w:style>
  <w:style w:type="paragraph" w:customStyle="1" w:styleId="42">
    <w:name w:val="本文正文"/>
    <w:basedOn w:val="1"/>
    <w:link w:val="41"/>
    <w:qFormat/>
    <w:uiPriority w:val="0"/>
    <w:pPr>
      <w:ind w:right="280" w:rightChars="100" w:firstLine="560"/>
    </w:pPr>
    <w:rPr>
      <w:rFonts w:ascii="Calibri" w:hAnsi="Calibri" w:eastAsia="宋体" w:cs="Times New Roman"/>
      <w:kern w:val="0"/>
      <w:sz w:val="28"/>
      <w:szCs w:val="28"/>
    </w:rPr>
  </w:style>
  <w:style w:type="paragraph" w:customStyle="1" w:styleId="43">
    <w:name w:val="表"/>
    <w:basedOn w:val="1"/>
    <w:qFormat/>
    <w:uiPriority w:val="0"/>
    <w:pPr>
      <w:widowControl/>
      <w:jc w:val="left"/>
    </w:pPr>
    <w:rPr>
      <w:rFonts w:ascii="宋体" w:hAnsi="宋体" w:eastAsia="宋体" w:cs="Segoe UI"/>
      <w:color w:val="0F1115"/>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21</Pages>
  <Words>4481</Words>
  <Characters>4491</Characters>
  <Lines>251</Lines>
  <Paragraphs>70</Paragraphs>
  <TotalTime>2</TotalTime>
  <ScaleCrop>false</ScaleCrop>
  <LinksUpToDate>false</LinksUpToDate>
  <CharactersWithSpaces>4550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2024-10-05T16:11:00Z</dcterms:created>
  <dc:creator> </dc:creator>
  <cp:lastModifiedBy>陈煜羲</cp:lastModifiedBy>
  <cp:lastPrinted>2025-02-21T04:07:00Z</cp:lastPrinted>
  <dcterms:modified xsi:type="dcterms:W3CDTF">2026-07-08T10:15:54Z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FAE6A22795A8435F8F03FAAEC31F58C0_11</vt:lpwstr>
  </property>
  <property fmtid="{D5CDD505-2E9C-101B-9397-08002B2CF9AE}" pid="4" name="KSOTemplateDocerSaveRecord">
    <vt:lpwstr>eyJoZGlkIjoiZGFhMzE5MWRlZGE4MGU0MTJkM2JhNzI2MjdmMjE2MTAiLCJ1c2VySWQiOiI0NzQyMjU0NzYifQ==</vt:lpwstr>
  </property>
</Properties>
</file>