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568C8E3">
      <w:pPr>
        <w:pStyle w:val="5"/>
        <w:numPr>
          <w:ilvl w:val="0"/>
          <w:numId w:val="0"/>
        </w:numPr>
        <w:spacing w:before="156" w:after="156"/>
        <w:ind w:leftChars="0"/>
        <w:jc w:val="center"/>
      </w:pPr>
      <w:bookmarkStart w:id="9" w:name="_GoBack"/>
      <w:r>
        <w:rPr>
          <w:rFonts w:hint="eastAsia" w:ascii="黑体" w:hAnsi="黑体" w:eastAsia="黑体" w:cs="黑体"/>
        </w:rPr>
        <w:t>应用支撑服务</w:t>
      </w:r>
      <w:r>
        <w:rPr>
          <w:rFonts w:hint="eastAsia"/>
        </w:rPr>
        <w:t>功能清单</w:t>
      </w:r>
    </w:p>
    <w:bookmarkEnd w:id="9"/>
    <w:p w14:paraId="797A26C2">
      <w:pPr>
        <w:pStyle w:val="6"/>
        <w:keepNext/>
        <w:keepLines/>
        <w:pageBreakBefore w:val="0"/>
        <w:widowControl w:val="0"/>
        <w:kinsoku/>
        <w:wordWrap/>
        <w:overflowPunct/>
        <w:topLinePunct w:val="0"/>
        <w:autoSpaceDE/>
        <w:autoSpaceDN/>
        <w:bidi w:val="0"/>
        <w:adjustRightInd/>
        <w:snapToGrid w:val="0"/>
        <w:spacing w:before="240" w:after="240"/>
        <w:textAlignment w:val="auto"/>
        <w:outlineLvl w:val="1"/>
      </w:pPr>
      <w:r>
        <w:rPr>
          <w:rFonts w:hint="eastAsia"/>
        </w:rPr>
        <w:t>统一认证服务</w:t>
      </w:r>
    </w:p>
    <w:p w14:paraId="5E2DE46C">
      <w:pPr>
        <w:pStyle w:val="15"/>
      </w:pPr>
      <w:r>
        <w:rPr>
          <w:rFonts w:hint="eastAsia"/>
        </w:rPr>
        <w:t>作为紧急医学救援相关业务的集中入口与管理中枢，重点实现用户权限精细化管理、组织结构动态维护、统一身份认证与操作日志全记录功能。通过建立标准化的用户权限体系，可根据不同角色（如指挥人员、医护人员、协同部门人员）精准配置功能访问权限。依托组织结构管理模块实现救援队伍、部门架构的灵活调整与信息同步。采用统一身份认证机制确保用户通过单一账号安全访问各关联系统，简化操作流程的同时强化身份核验。结合全量日志管理功能记录用户操作轨迹，为系统安全审计与责任追溯提供依据，最终为基地信息化平台的规范运行、权限管控与安全保障奠定基础。系统为用户提供用户权限管理、组织结构管理、统一身份认证和日志管理。</w:t>
      </w:r>
    </w:p>
    <w:p w14:paraId="21A0FE7E">
      <w:pPr>
        <w:pStyle w:val="15"/>
      </w:pPr>
      <w:r>
        <w:rPr>
          <w:rFonts w:hint="eastAsia"/>
        </w:rPr>
        <w:t>统一认证采用用户信息集中管理、分系统分级授权的方式，对系统安全认证做统一的管理，提供用户认证中心系统。系统业务架构如下：</w:t>
      </w:r>
    </w:p>
    <w:p w14:paraId="384FF9E5">
      <w:pPr>
        <w:pStyle w:val="43"/>
      </w:pPr>
      <w:r>
        <w:drawing>
          <wp:inline distT="0" distB="0" distL="0" distR="0">
            <wp:extent cx="5357495" cy="2964815"/>
            <wp:effectExtent l="0" t="0" r="6985" b="6985"/>
            <wp:docPr id="1275798828" name="图片 1275798828" descr="合肥-统一认证中心-业务架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798828" name="图片 1275798828" descr="合肥-统一认证中心-业务架构"/>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a:xfrm>
                      <a:off x="0" y="0"/>
                      <a:ext cx="5357495" cy="2964815"/>
                    </a:xfrm>
                    <a:prstGeom prst="rect">
                      <a:avLst/>
                    </a:prstGeom>
                    <a:noFill/>
                    <a:ln>
                      <a:noFill/>
                    </a:ln>
                  </pic:spPr>
                </pic:pic>
              </a:graphicData>
            </a:graphic>
          </wp:inline>
        </w:drawing>
      </w:r>
    </w:p>
    <w:p w14:paraId="6F32A306">
      <w:pPr>
        <w:pStyle w:val="44"/>
        <w:spacing w:after="156"/>
      </w:pPr>
      <w:r>
        <w:rPr>
          <w:rFonts w:hint="eastAsia"/>
        </w:rPr>
        <w:t>图</w:t>
      </w:r>
      <w:r>
        <w:rPr>
          <w:rFonts w:hint="eastAsia"/>
        </w:rPr>
        <w:fldChar w:fldCharType="begin"/>
      </w:r>
      <w:r>
        <w:rPr>
          <w:rFonts w:hint="eastAsia"/>
        </w:rPr>
        <w:instrText xml:space="preserve"> STYLEREF 1 \s </w:instrText>
      </w:r>
      <w:r>
        <w:rPr>
          <w:rFonts w:hint="eastAsia"/>
        </w:rPr>
        <w:fldChar w:fldCharType="separate"/>
      </w:r>
      <w:r>
        <w:rPr>
          <w:rFonts w:hint="eastAsia"/>
        </w:rPr>
        <w:t>0</w:t>
      </w:r>
      <w:r>
        <w:rPr>
          <w:rFonts w:hint="eastAsia"/>
        </w:rPr>
        <w:fldChar w:fldCharType="end"/>
      </w:r>
      <w:r>
        <w:rPr>
          <w:rFonts w:hint="eastAsia"/>
        </w:rPr>
        <w:t>-</w:t>
      </w:r>
      <w:r>
        <w:rPr>
          <w:rFonts w:hint="eastAsia"/>
        </w:rPr>
        <w:fldChar w:fldCharType="begin"/>
      </w:r>
      <w:r>
        <w:rPr>
          <w:rFonts w:hint="eastAsia"/>
        </w:rPr>
        <w:instrText xml:space="preserve"> SEQ 图 \* ARABIC \s 1 </w:instrText>
      </w:r>
      <w:r>
        <w:rPr>
          <w:rFonts w:hint="eastAsia"/>
        </w:rPr>
        <w:fldChar w:fldCharType="separate"/>
      </w:r>
      <w:r>
        <w:rPr>
          <w:rFonts w:hint="eastAsia"/>
        </w:rPr>
        <w:t>1</w:t>
      </w:r>
      <w:r>
        <w:rPr>
          <w:rFonts w:hint="eastAsia"/>
        </w:rPr>
        <w:fldChar w:fldCharType="end"/>
      </w:r>
      <w:bookmarkStart w:id="0" w:name="_Toc459"/>
      <w:r>
        <w:rPr>
          <w:rFonts w:hint="eastAsia"/>
        </w:rPr>
        <w:t>统一认证服务系统业务架构图</w:t>
      </w:r>
      <w:bookmarkEnd w:id="0"/>
    </w:p>
    <w:p w14:paraId="04A51F69">
      <w:pPr>
        <w:pStyle w:val="7"/>
        <w:keepNext/>
        <w:keepLines/>
        <w:pageBreakBefore w:val="0"/>
        <w:widowControl w:val="0"/>
        <w:kinsoku/>
        <w:wordWrap/>
        <w:overflowPunct/>
        <w:topLinePunct w:val="0"/>
        <w:autoSpaceDE/>
        <w:autoSpaceDN/>
        <w:bidi w:val="0"/>
        <w:adjustRightInd w:val="0"/>
        <w:snapToGrid w:val="0"/>
        <w:spacing w:before="240" w:after="240"/>
        <w:textAlignment w:val="auto"/>
        <w:outlineLvl w:val="2"/>
        <w:rPr>
          <w:rFonts w:hint="eastAsia"/>
        </w:rPr>
      </w:pPr>
      <w:r>
        <w:t>用户权限管理</w:t>
      </w:r>
    </w:p>
    <w:p w14:paraId="4DB2A6EE">
      <w:pPr>
        <w:pStyle w:val="15"/>
      </w:pPr>
      <w:r>
        <w:rPr>
          <w:rFonts w:hint="eastAsia"/>
        </w:rPr>
        <w:t>系统采用分层分级授权管理方式实现对组织机构、用户身份信息，权限，业务系统，</w:t>
      </w:r>
      <w:r>
        <w:t>审计信息的集中管理。基于Web界面，系统管理员通过权限管理中心进行统一的管理，同时支持分层分级授权管理功能，支持总部授权下属单位管理自身的用户，并对其授权，减少总部管理员的负担。</w:t>
      </w:r>
    </w:p>
    <w:p w14:paraId="59BAE39B">
      <w:pPr>
        <w:pStyle w:val="8"/>
        <w:keepNext/>
        <w:keepLines/>
        <w:pageBreakBefore w:val="0"/>
        <w:widowControl w:val="0"/>
        <w:kinsoku/>
        <w:wordWrap/>
        <w:overflowPunct/>
        <w:topLinePunct w:val="0"/>
        <w:autoSpaceDE/>
        <w:autoSpaceDN/>
        <w:bidi w:val="0"/>
        <w:adjustRightInd w:val="0"/>
        <w:snapToGrid w:val="0"/>
        <w:spacing w:line="377" w:lineRule="auto"/>
        <w:ind w:left="0"/>
        <w:textAlignment w:val="auto"/>
        <w:rPr>
          <w:rFonts w:hint="eastAsia"/>
        </w:rPr>
      </w:pPr>
      <w:r>
        <w:t>权限管理资源</w:t>
      </w:r>
    </w:p>
    <w:p w14:paraId="71BAA7C4">
      <w:pPr>
        <w:pStyle w:val="15"/>
      </w:pPr>
      <w:r>
        <w:rPr>
          <w:rFonts w:hint="eastAsia"/>
        </w:rPr>
        <w:t>在应用系统平台权限管理系统，数据资源包括机构数据、用户数据、岗位数据以及受控的权限资源（数据资源和应用资源）。应用资源是</w:t>
      </w:r>
      <w:r>
        <w:t>Web可操作的资源。</w:t>
      </w:r>
    </w:p>
    <w:p w14:paraId="20C31114">
      <w:pPr>
        <w:pStyle w:val="15"/>
      </w:pPr>
      <w:r>
        <w:rPr>
          <w:rFonts w:hint="eastAsia"/>
        </w:rPr>
        <w:t>应用系统的目标就是对各应用系统的所关注的数据资源和应用资源进行权限控制，</w:t>
      </w:r>
      <w:r>
        <w:t>比如功能导航树（菜单）、界面UI控件、表单控件、报表、节点流程、数据列表操作以及各种动态数据的操作。</w:t>
      </w:r>
    </w:p>
    <w:p w14:paraId="7672DDF1">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t>权限管理</w:t>
      </w:r>
    </w:p>
    <w:p w14:paraId="2FB950CD">
      <w:pPr>
        <w:pStyle w:val="15"/>
      </w:pPr>
      <w:r>
        <w:rPr>
          <w:rFonts w:hint="eastAsia"/>
        </w:rPr>
        <w:t>包括对用户、岗位、角色等信息的增删改操作以及权限分配管理。支持多级多路由的分级授权、权限回收、权限等效与权限的集成和过滤，提供统一的访问控制接口。</w:t>
      </w:r>
    </w:p>
    <w:p w14:paraId="735D91D3">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t>机构用户和资源管理</w:t>
      </w:r>
    </w:p>
    <w:p w14:paraId="67B0452F">
      <w:pPr>
        <w:pStyle w:val="15"/>
      </w:pPr>
      <w:r>
        <w:rPr>
          <w:rFonts w:hint="eastAsia"/>
        </w:rPr>
        <w:t>机构用户和资源管理模块所管辖的机构用户信息作为人员信息的权威信息，体现了当前业务真实机构人员构成状态，也是各应用系统的统一参照。</w:t>
      </w:r>
    </w:p>
    <w:p w14:paraId="705B0DE3">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t>管控设置</w:t>
      </w:r>
    </w:p>
    <w:p w14:paraId="7030BA4B">
      <w:pPr>
        <w:pStyle w:val="15"/>
      </w:pPr>
      <w:r>
        <w:rPr>
          <w:rFonts w:hint="eastAsia"/>
        </w:rPr>
        <w:t>管控平台包括，日志管理、审计服务、资源同步和查询服务的功能。（权限管理组件分为权限管理</w:t>
      </w:r>
      <w:r>
        <w:t>UI和应用系统API二部分）</w:t>
      </w:r>
    </w:p>
    <w:p w14:paraId="1867C0C4">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t>访问接口</w:t>
      </w:r>
    </w:p>
    <w:p w14:paraId="5F5AD9DF">
      <w:pPr>
        <w:pStyle w:val="15"/>
      </w:pPr>
      <w:r>
        <w:rPr>
          <w:rFonts w:hint="eastAsia"/>
        </w:rPr>
        <w:t>访问接口提供一系列接口供各应用系统连接，获取权限操作的必备信息。这些信息包括用户对应岗位的信息、岗位对应的角色信息、角色对应的权限信息、权限对应的资源信息以及之间相互关联的信息，其目的是保证统一权限分配策略基础上的统一资源验证的一致性。</w:t>
      </w:r>
    </w:p>
    <w:p w14:paraId="3B652278">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t>CA统一认证接口</w:t>
      </w:r>
    </w:p>
    <w:p w14:paraId="31E822FF">
      <w:pPr>
        <w:pStyle w:val="15"/>
      </w:pPr>
      <w:r>
        <w:rPr>
          <w:rFonts w:hint="eastAsia"/>
        </w:rPr>
        <w:t>权限管理系统的用户通过</w:t>
      </w:r>
      <w:r>
        <w:t>CA统一认证接口获取认证信息，成为合法系统进入用户。</w:t>
      </w:r>
    </w:p>
    <w:p w14:paraId="31935C77">
      <w:pPr>
        <w:pStyle w:val="7"/>
        <w:keepNext/>
        <w:keepLines/>
        <w:pageBreakBefore w:val="0"/>
        <w:widowControl w:val="0"/>
        <w:kinsoku/>
        <w:wordWrap/>
        <w:overflowPunct/>
        <w:topLinePunct w:val="0"/>
        <w:autoSpaceDE/>
        <w:autoSpaceDN/>
        <w:bidi w:val="0"/>
        <w:adjustRightInd w:val="0"/>
        <w:snapToGrid w:val="0"/>
        <w:spacing w:before="240" w:after="240"/>
        <w:textAlignment w:val="auto"/>
        <w:outlineLvl w:val="2"/>
        <w:rPr>
          <w:rFonts w:hint="eastAsia"/>
        </w:rPr>
      </w:pPr>
      <w:r>
        <w:t>组织机构管理</w:t>
      </w:r>
    </w:p>
    <w:p w14:paraId="7D4F142C">
      <w:pPr>
        <w:pStyle w:val="15"/>
      </w:pPr>
      <w:r>
        <w:rPr>
          <w:rFonts w:hint="eastAsia"/>
        </w:rPr>
        <w:t>用来维护系统中的组织结构信息。为了达到体检平台评估平台分级管理目的，系统支持机构定义和部门定义，以图形化的方式为各个机关部门及单位建立树状组织机构图，组织机构图可显示使用者的职责、职称及从属关系等。系统支持机构和部门两种类型的组织，满足不同的业务应用。</w:t>
      </w:r>
    </w:p>
    <w:p w14:paraId="5DC5DF1B">
      <w:pPr>
        <w:pStyle w:val="15"/>
      </w:pPr>
      <w:r>
        <w:rPr>
          <w:rFonts w:hint="eastAsia"/>
        </w:rPr>
        <w:t>组织机构是单位建立的一个基本框架，就是在单位里分成不同的部门，部门下又分为不同的岗位，在每个岗位上对应不同的员工，在组织机构中包含有组织信息、岗位管理、虚拟组织等信息。</w:t>
      </w:r>
    </w:p>
    <w:p w14:paraId="0B0D0A38">
      <w:pPr>
        <w:pStyle w:val="15"/>
      </w:pPr>
      <w:r>
        <w:rPr>
          <w:rFonts w:hint="eastAsia"/>
        </w:rPr>
        <w:t>本模块主要功能有：</w:t>
      </w:r>
    </w:p>
    <w:p w14:paraId="0E4DC00B">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t>组织管理</w:t>
      </w:r>
    </w:p>
    <w:p w14:paraId="57CD143A">
      <w:pPr>
        <w:pStyle w:val="15"/>
      </w:pPr>
      <w:r>
        <w:t>创建、删除、查询、修改组织基本信息。</w:t>
      </w:r>
    </w:p>
    <w:p w14:paraId="718DD1AE">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t>人员管理</w:t>
      </w:r>
    </w:p>
    <w:p w14:paraId="68B1ED87">
      <w:pPr>
        <w:pStyle w:val="15"/>
      </w:pPr>
      <w:r>
        <w:t>对组织人员进行增加和移除，提供查询人员所属组织信息，岗位信息。</w:t>
      </w:r>
    </w:p>
    <w:p w14:paraId="0CF254D9">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t>岗位变动</w:t>
      </w:r>
    </w:p>
    <w:p w14:paraId="47ADC586">
      <w:pPr>
        <w:pStyle w:val="15"/>
      </w:pPr>
      <w:r>
        <w:t>对组织下属的岗位进行管理如创建、删除、查询、修改。</w:t>
      </w:r>
    </w:p>
    <w:p w14:paraId="707F8476">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t>权限关联</w:t>
      </w:r>
    </w:p>
    <w:p w14:paraId="67099A73">
      <w:pPr>
        <w:pStyle w:val="15"/>
      </w:pPr>
      <w:r>
        <w:t>不同岗位可以赋予不同角色，与权限控制模块配合起来达到权限分级配置。</w:t>
      </w:r>
    </w:p>
    <w:p w14:paraId="76772A15">
      <w:pPr>
        <w:pStyle w:val="7"/>
        <w:keepNext/>
        <w:keepLines/>
        <w:pageBreakBefore w:val="0"/>
        <w:widowControl w:val="0"/>
        <w:kinsoku/>
        <w:wordWrap/>
        <w:overflowPunct/>
        <w:topLinePunct w:val="0"/>
        <w:autoSpaceDE/>
        <w:autoSpaceDN/>
        <w:bidi w:val="0"/>
        <w:adjustRightInd w:val="0"/>
        <w:snapToGrid w:val="0"/>
        <w:spacing w:before="240" w:after="240"/>
        <w:textAlignment w:val="auto"/>
        <w:outlineLvl w:val="2"/>
        <w:rPr>
          <w:rFonts w:hint="eastAsia"/>
        </w:rPr>
      </w:pPr>
      <w:r>
        <w:t>统一身份认证</w:t>
      </w:r>
    </w:p>
    <w:p w14:paraId="54964E94">
      <w:pPr>
        <w:pStyle w:val="15"/>
      </w:pPr>
      <w:r>
        <w:rPr>
          <w:rFonts w:hint="eastAsia"/>
        </w:rPr>
        <w:t>本平台集中存储与管理各个应用系统的用户及授权模型，并为各应用系统集中提供统一身份认证、统一授权管理等服务。</w:t>
      </w:r>
    </w:p>
    <w:p w14:paraId="255173C9">
      <w:pPr>
        <w:pStyle w:val="15"/>
      </w:pPr>
      <w:r>
        <w:rPr>
          <w:rFonts w:hint="eastAsia"/>
        </w:rPr>
        <w:t>用户只需要登录一次就可以访问所有相互信任的应用系统，即用户只需要记住一组用户名和密码就可以登录所有有权限的系统。</w:t>
      </w:r>
    </w:p>
    <w:p w14:paraId="40D3AEB3">
      <w:pPr>
        <w:pStyle w:val="15"/>
      </w:pPr>
      <w:r>
        <w:rPr>
          <w:rFonts w:hint="eastAsia"/>
        </w:rPr>
        <w:t>本模块主要由四个部分组成：</w:t>
      </w:r>
    </w:p>
    <w:p w14:paraId="13E1EA36">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t>单点登录</w:t>
      </w:r>
    </w:p>
    <w:p w14:paraId="5CE2E3A5">
      <w:pPr>
        <w:pStyle w:val="15"/>
      </w:pPr>
      <w:r>
        <w:t>采用满足行业及安全规范的最新模拟登录行为技术，实现CS、BS、应用系统的单点登录功能。凭借内嵌的安全场景认证模型、数据安全存储及传输技术、集中审计等核心功能，解决认证安全弱、系统改造难、客户端系统无法接入、应用无法接入等问题。</w:t>
      </w:r>
    </w:p>
    <w:p w14:paraId="07441C78">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t>认证存储</w:t>
      </w:r>
    </w:p>
    <w:p w14:paraId="5B04CDCE">
      <w:pPr>
        <w:pStyle w:val="15"/>
      </w:pPr>
      <w:r>
        <w:t>对认证或信任的系统进行存储，对已授权且在有效期之内的系统免去认证提示，用户也可以随时关闭授权取回授权信息。</w:t>
      </w:r>
    </w:p>
    <w:p w14:paraId="62584A1A">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t>认证审计</w:t>
      </w:r>
    </w:p>
    <w:p w14:paraId="701FA15B">
      <w:pPr>
        <w:pStyle w:val="15"/>
      </w:pPr>
      <w:r>
        <w:t>对授权的系统调用历史进行存储，出现问题时进行溯源。单点登录的机制如下图所示，当用户第一次访问应用系统1的时候，因为</w:t>
      </w:r>
      <w:r>
        <w:rPr>
          <w:rFonts w:hint="eastAsia"/>
        </w:rPr>
        <w:t>还没有登录，会被引导到认证系统中进行登录（</w:t>
      </w:r>
      <w:r>
        <w:t>1）</w:t>
      </w:r>
      <w:r>
        <w:rPr>
          <w:rFonts w:hint="eastAsia"/>
        </w:rPr>
        <w:t>。</w:t>
      </w:r>
      <w:r>
        <w:t>根据用户提供的登录信息，认证系统进行身份</w:t>
      </w:r>
      <w:r>
        <w:rPr>
          <w:rFonts w:hint="eastAsia"/>
          <w:lang w:eastAsia="zh-CN"/>
        </w:rPr>
        <w:t>校验</w:t>
      </w:r>
      <w:r>
        <w:t>，如果通过</w:t>
      </w:r>
      <w:r>
        <w:rPr>
          <w:rFonts w:hint="eastAsia"/>
          <w:lang w:eastAsia="zh-CN"/>
        </w:rPr>
        <w:t>校验</w:t>
      </w:r>
      <w:r>
        <w:t>，应该返回给用户一个认证的凭据－－ticket（2）</w:t>
      </w:r>
      <w:r>
        <w:rPr>
          <w:rFonts w:hint="eastAsia"/>
        </w:rPr>
        <w:t>。</w:t>
      </w:r>
      <w:r>
        <w:t>用户再访问别的应用的时候（3，5）就会将这个ticket带上，作为自己认证的凭据，应用系统</w:t>
      </w:r>
      <w:r>
        <w:rPr>
          <w:rFonts w:hint="eastAsia"/>
          <w:lang w:eastAsia="zh-CN"/>
        </w:rPr>
        <w:t>接收</w:t>
      </w:r>
      <w:r>
        <w:t>到请求之后会把ticket送到认证系统进行</w:t>
      </w:r>
      <w:r>
        <w:rPr>
          <w:rFonts w:hint="eastAsia"/>
          <w:lang w:eastAsia="zh-CN"/>
        </w:rPr>
        <w:t>校验</w:t>
      </w:r>
      <w:r>
        <w:t>，检查ticket的合法性（4，6）。如果通过</w:t>
      </w:r>
      <w:r>
        <w:rPr>
          <w:rFonts w:hint="eastAsia"/>
          <w:lang w:eastAsia="zh-CN"/>
        </w:rPr>
        <w:t>校验</w:t>
      </w:r>
      <w:r>
        <w:t>，用户就可以在不用再次登录的情况下访问应用系统2和应用系统3了。</w:t>
      </w:r>
    </w:p>
    <w:p w14:paraId="087E1F11">
      <w:pPr>
        <w:pStyle w:val="43"/>
      </w:pPr>
      <w:r>
        <w:drawing>
          <wp:inline distT="0" distB="0" distL="0" distR="0">
            <wp:extent cx="3854450" cy="2105025"/>
            <wp:effectExtent l="0" t="0" r="1270" b="13335"/>
            <wp:docPr id="98" name="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45.jpeg"/>
                    <pic:cNvPicPr>
                      <a:picLocks noChangeAspect="1"/>
                    </pic:cNvPicPr>
                  </pic:nvPicPr>
                  <pic:blipFill>
                    <a:blip r:embed="rId5" cstate="print">
                      <a:extLst>
                        <a:ext uri="{28A0092B-C50C-407E-A947-70E740481C1C}">
                          <a14:useLocalDpi xmlns:a14="http://schemas.microsoft.com/office/drawing/2010/main" val="0"/>
                        </a:ext>
                      </a:extLst>
                    </a:blip>
                    <a:stretch>
                      <a:fillRect/>
                    </a:stretch>
                  </pic:blipFill>
                  <pic:spPr>
                    <a:xfrm>
                      <a:off x="0" y="0"/>
                      <a:ext cx="3854748" cy="2105215"/>
                    </a:xfrm>
                    <a:prstGeom prst="rect">
                      <a:avLst/>
                    </a:prstGeom>
                  </pic:spPr>
                </pic:pic>
              </a:graphicData>
            </a:graphic>
          </wp:inline>
        </w:drawing>
      </w:r>
    </w:p>
    <w:p w14:paraId="697A7E27">
      <w:pPr>
        <w:pStyle w:val="44"/>
        <w:spacing w:after="156"/>
      </w:pPr>
      <w:r>
        <w:rPr>
          <w:rFonts w:hint="eastAsia" w:ascii="黑体" w:hAnsi="黑体" w:cs="黑体"/>
        </w:rPr>
        <w:t xml:space="preserve">图 </w:t>
      </w:r>
      <w:r>
        <w:rPr>
          <w:rFonts w:hint="eastAsia" w:ascii="黑体" w:hAnsi="黑体" w:cs="黑体"/>
        </w:rPr>
        <w:fldChar w:fldCharType="begin"/>
      </w:r>
      <w:r>
        <w:rPr>
          <w:rFonts w:hint="eastAsia" w:ascii="黑体" w:hAnsi="黑体" w:cs="黑体"/>
        </w:rPr>
        <w:instrText xml:space="preserve"> STYLEREF 1 \s </w:instrText>
      </w:r>
      <w:r>
        <w:rPr>
          <w:rFonts w:hint="eastAsia" w:ascii="黑体" w:hAnsi="黑体" w:cs="黑体"/>
        </w:rPr>
        <w:fldChar w:fldCharType="separate"/>
      </w:r>
      <w:r>
        <w:rPr>
          <w:rFonts w:hint="eastAsia" w:ascii="黑体" w:hAnsi="黑体" w:cs="黑体"/>
        </w:rPr>
        <w:t>0</w:t>
      </w:r>
      <w:r>
        <w:rPr>
          <w:rFonts w:hint="eastAsia" w:ascii="黑体" w:hAnsi="黑体" w:cs="黑体"/>
        </w:rPr>
        <w:fldChar w:fldCharType="end"/>
      </w:r>
      <w:r>
        <w:rPr>
          <w:rFonts w:hint="eastAsia" w:ascii="黑体" w:hAnsi="黑体" w:cs="黑体"/>
        </w:rPr>
        <w:t>-</w:t>
      </w:r>
      <w:r>
        <w:rPr>
          <w:rFonts w:hint="eastAsia" w:ascii="黑体" w:hAnsi="黑体" w:cs="黑体"/>
        </w:rPr>
        <w:fldChar w:fldCharType="begin"/>
      </w:r>
      <w:r>
        <w:rPr>
          <w:rFonts w:hint="eastAsia" w:ascii="黑体" w:hAnsi="黑体" w:cs="黑体"/>
        </w:rPr>
        <w:instrText xml:space="preserve"> SEQ 图 \* ARABIC \s 1 </w:instrText>
      </w:r>
      <w:r>
        <w:rPr>
          <w:rFonts w:hint="eastAsia" w:ascii="黑体" w:hAnsi="黑体" w:cs="黑体"/>
        </w:rPr>
        <w:fldChar w:fldCharType="separate"/>
      </w:r>
      <w:r>
        <w:rPr>
          <w:rFonts w:hint="eastAsia" w:ascii="黑体" w:hAnsi="黑体" w:cs="黑体"/>
        </w:rPr>
        <w:t>2</w:t>
      </w:r>
      <w:r>
        <w:rPr>
          <w:rFonts w:hint="eastAsia" w:ascii="黑体" w:hAnsi="黑体" w:cs="黑体"/>
        </w:rPr>
        <w:fldChar w:fldCharType="end"/>
      </w:r>
      <w:bookmarkStart w:id="1" w:name="_Toc23949"/>
      <w:r>
        <w:t>单点登录机制示意图</w:t>
      </w:r>
      <w:bookmarkEnd w:id="1"/>
    </w:p>
    <w:p w14:paraId="1B469A1A">
      <w:pPr>
        <w:pStyle w:val="15"/>
      </w:pPr>
      <w:r>
        <w:rPr>
          <w:rFonts w:hint="eastAsia"/>
        </w:rPr>
        <w:t>单点登录是提供支持主流的身份协议</w:t>
      </w:r>
      <w:r>
        <w:t>(如SAML，为第三方应用程序提供SSO功能的OAuth）的身份认证平台。SSO使用户一次登录便可实现跨多个系统访问第三方应用程序。</w:t>
      </w:r>
    </w:p>
    <w:p w14:paraId="7E929B8D">
      <w:pPr>
        <w:pStyle w:val="7"/>
        <w:keepNext/>
        <w:keepLines/>
        <w:pageBreakBefore w:val="0"/>
        <w:widowControl w:val="0"/>
        <w:kinsoku/>
        <w:wordWrap/>
        <w:overflowPunct/>
        <w:topLinePunct w:val="0"/>
        <w:autoSpaceDE/>
        <w:autoSpaceDN/>
        <w:bidi w:val="0"/>
        <w:adjustRightInd w:val="0"/>
        <w:snapToGrid w:val="0"/>
        <w:spacing w:before="240" w:after="240"/>
        <w:textAlignment w:val="auto"/>
        <w:outlineLvl w:val="2"/>
        <w:rPr>
          <w:rFonts w:hint="eastAsia"/>
        </w:rPr>
      </w:pPr>
      <w:r>
        <w:t>日志管理</w:t>
      </w:r>
    </w:p>
    <w:p w14:paraId="596674B2">
      <w:pPr>
        <w:pStyle w:val="15"/>
      </w:pPr>
      <w:r>
        <w:rPr>
          <w:rFonts w:hint="eastAsia"/>
        </w:rPr>
        <w:t>日志管理模块能够对日志信息进行收集，提供非常详尽的日志查询功能，保留用户对系统的每一次操作，且能够自定义日志的生命周期，防止大量的日志文件占用系统空间。日志文件的命名包含用户名称、本地主机名等，当系统出现故障时，确保能够简洁明了的锁定故障原因。能够对日志信息进行收集，提供非常详尽的日志查询功能，保留用户对系统的每一次操作，且能够自定义日志的生命周期，防止大量的日志文件占用系统空间。</w:t>
      </w:r>
    </w:p>
    <w:p w14:paraId="4A97AFE6">
      <w:pPr>
        <w:pStyle w:val="15"/>
      </w:pPr>
      <w:r>
        <w:rPr>
          <w:rFonts w:hint="eastAsia"/>
        </w:rPr>
        <w:t>日志用于记录内容、来源、作者、日期、操作类型等详细的信息，可自定义统计模型并可按照一定的条件进行灵活的查询。日志类别分为系统日志、应用日志、工作日志等。</w:t>
      </w:r>
    </w:p>
    <w:p w14:paraId="3843DF39">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t>系统日志</w:t>
      </w:r>
    </w:p>
    <w:p w14:paraId="1ED7714A">
      <w:pPr>
        <w:pStyle w:val="15"/>
      </w:pPr>
      <w:r>
        <w:t>记录系统中硬件、软件和系统问题的信息，同时还可以监视系统中发生的事件。用户可以通过它来检查错误发生的原因，或者寻找受到攻击时攻击者留下的痕迹。系统日志包括系统日志、应用程序日志和安全日志。</w:t>
      </w:r>
    </w:p>
    <w:p w14:paraId="4A21E6B8">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t>应用日志</w:t>
      </w:r>
    </w:p>
    <w:p w14:paraId="119CFB96">
      <w:pPr>
        <w:pStyle w:val="15"/>
      </w:pPr>
      <w:r>
        <w:t>记录应用程序运行基本情况的日志，包括启动/关闭时间、调用的后台服务、使用应用系统产生的错误信息。</w:t>
      </w:r>
    </w:p>
    <w:p w14:paraId="4E6C5BB2">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t>工作日志</w:t>
      </w:r>
    </w:p>
    <w:p w14:paraId="2E0689F7">
      <w:pPr>
        <w:pStyle w:val="15"/>
      </w:pPr>
      <w:r>
        <w:t>记录用户在使用平台过程中的详细操作、活动信息，包括对系统的登录、退出、使用子系统名称和对数据库的增删改查信息。</w:t>
      </w:r>
    </w:p>
    <w:p w14:paraId="4BE79B73">
      <w:pPr>
        <w:pStyle w:val="6"/>
        <w:keepNext/>
        <w:keepLines/>
        <w:pageBreakBefore w:val="0"/>
        <w:widowControl w:val="0"/>
        <w:kinsoku/>
        <w:wordWrap/>
        <w:overflowPunct/>
        <w:topLinePunct w:val="0"/>
        <w:autoSpaceDE/>
        <w:autoSpaceDN/>
        <w:bidi w:val="0"/>
        <w:adjustRightInd/>
        <w:snapToGrid w:val="0"/>
        <w:spacing w:before="240" w:after="240"/>
        <w:textAlignment w:val="auto"/>
        <w:outlineLvl w:val="1"/>
      </w:pPr>
      <w:r>
        <w:rPr>
          <w:rFonts w:hint="eastAsia"/>
        </w:rPr>
        <w:t>音视频通信调度服务</w:t>
      </w:r>
    </w:p>
    <w:p w14:paraId="0F437900">
      <w:pPr>
        <w:pStyle w:val="7"/>
        <w:keepNext/>
        <w:keepLines/>
        <w:pageBreakBefore w:val="0"/>
        <w:widowControl w:val="0"/>
        <w:kinsoku/>
        <w:wordWrap/>
        <w:overflowPunct/>
        <w:topLinePunct w:val="0"/>
        <w:autoSpaceDE/>
        <w:autoSpaceDN/>
        <w:bidi w:val="0"/>
        <w:adjustRightInd w:val="0"/>
        <w:snapToGrid w:val="0"/>
        <w:spacing w:before="240" w:after="240"/>
        <w:textAlignment w:val="auto"/>
        <w:outlineLvl w:val="2"/>
        <w:rPr>
          <w:rFonts w:hint="eastAsia"/>
        </w:rPr>
      </w:pPr>
      <w:r>
        <w:rPr>
          <w:rFonts w:hint="eastAsia"/>
        </w:rPr>
        <w:t>系统概述</w:t>
      </w:r>
    </w:p>
    <w:p w14:paraId="2A85AFE5">
      <w:pPr>
        <w:pStyle w:val="15"/>
      </w:pPr>
      <w:r>
        <w:rPr>
          <w:rFonts w:hint="eastAsia"/>
        </w:rPr>
        <w:t>系统基于IP网络部署，支持统一通信网络和NGN技术规范的架构，支持SIP协议、H.323协议、GB/T28181协议、ISDNPRI协议等，既可以与程控交换/软交换/IMS互联互通，将有线/无线语音调度、视频调度、短信调度、传真调度等指挥调度于一体，实现了多业务集成，通过强大的融合能力对已建或新建的语音电话、集群通信、视频会议、图像接入、短信、传真等系统进行融合，实现语音调度、视频调度、录音、短信调度及确认功能、多路电子传真调度、GIS调度、广播扩声调度、通话记录、日志查询等多种关键业务功能整合在一个系统上，快速开展语音视频互通、音视频混合会商、可视化指挥等音视频业务的融合交互。</w:t>
      </w:r>
    </w:p>
    <w:p w14:paraId="65B9B530">
      <w:pPr>
        <w:pStyle w:val="7"/>
        <w:keepNext/>
        <w:keepLines/>
        <w:pageBreakBefore w:val="0"/>
        <w:widowControl w:val="0"/>
        <w:kinsoku/>
        <w:wordWrap/>
        <w:overflowPunct/>
        <w:topLinePunct w:val="0"/>
        <w:autoSpaceDE/>
        <w:autoSpaceDN/>
        <w:bidi w:val="0"/>
        <w:adjustRightInd w:val="0"/>
        <w:snapToGrid w:val="0"/>
        <w:spacing w:before="240" w:after="240"/>
        <w:textAlignment w:val="auto"/>
        <w:outlineLvl w:val="2"/>
        <w:rPr>
          <w:rFonts w:hint="eastAsia"/>
        </w:rPr>
      </w:pPr>
      <w:r>
        <w:rPr>
          <w:rFonts w:hint="eastAsia"/>
        </w:rPr>
        <w:t>需求分析</w:t>
      </w:r>
    </w:p>
    <w:p w14:paraId="2068D9D7">
      <w:pPr>
        <w:pStyle w:val="15"/>
      </w:pPr>
      <w:r>
        <w:rPr>
          <w:rFonts w:hint="eastAsia"/>
        </w:rPr>
        <w:t>本项目实现省卫健体系视频会议系统对接、省立医院视频会议系统对接、省立医院国家紧急医学救援队终端设备、21支省级卫生应急队伍通信终端对接、物资仓库监控对接，具体如下：</w:t>
      </w:r>
    </w:p>
    <w:p w14:paraId="7179DA0E">
      <w:pPr>
        <w:keepNext/>
        <w:jc w:val="center"/>
        <w:rPr>
          <w:rFonts w:hint="eastAsia" w:ascii="黑体" w:hAnsi="黑体" w:eastAsia="黑体" w:cs="黑体"/>
          <w:sz w:val="20"/>
          <w:szCs w:val="20"/>
        </w:rPr>
      </w:pPr>
      <w:r>
        <w:rPr>
          <w:rFonts w:hint="eastAsia" w:ascii="黑体" w:hAnsi="黑体" w:eastAsia="黑体" w:cs="黑体"/>
          <w:sz w:val="20"/>
          <w:szCs w:val="20"/>
        </w:rPr>
        <w:t xml:space="preserve">表 </w:t>
      </w:r>
      <w:r>
        <w:rPr>
          <w:rFonts w:hint="eastAsia" w:ascii="黑体" w:hAnsi="黑体" w:eastAsia="黑体" w:cs="黑体"/>
          <w:sz w:val="20"/>
          <w:szCs w:val="20"/>
        </w:rPr>
        <w:fldChar w:fldCharType="begin"/>
      </w:r>
      <w:r>
        <w:rPr>
          <w:rFonts w:hint="eastAsia" w:ascii="黑体" w:hAnsi="黑体" w:eastAsia="黑体" w:cs="黑体"/>
          <w:sz w:val="20"/>
          <w:szCs w:val="20"/>
        </w:rPr>
        <w:instrText xml:space="preserve"> STYLEREF 1 \s </w:instrText>
      </w:r>
      <w:r>
        <w:rPr>
          <w:rFonts w:hint="eastAsia" w:ascii="黑体" w:hAnsi="黑体" w:eastAsia="黑体" w:cs="黑体"/>
          <w:sz w:val="20"/>
          <w:szCs w:val="20"/>
        </w:rPr>
        <w:fldChar w:fldCharType="separate"/>
      </w:r>
      <w:r>
        <w:rPr>
          <w:rFonts w:hint="eastAsia" w:ascii="黑体" w:hAnsi="黑体" w:eastAsia="黑体" w:cs="黑体"/>
          <w:sz w:val="20"/>
          <w:szCs w:val="20"/>
        </w:rPr>
        <w:t>0</w:t>
      </w:r>
      <w:r>
        <w:rPr>
          <w:rFonts w:hint="eastAsia" w:ascii="黑体" w:hAnsi="黑体" w:eastAsia="黑体" w:cs="黑体"/>
          <w:sz w:val="20"/>
          <w:szCs w:val="20"/>
        </w:rPr>
        <w:fldChar w:fldCharType="end"/>
      </w:r>
      <w:r>
        <w:rPr>
          <w:rFonts w:hint="eastAsia" w:ascii="黑体" w:hAnsi="黑体" w:eastAsia="黑体" w:cs="黑体"/>
          <w:sz w:val="20"/>
          <w:szCs w:val="20"/>
        </w:rPr>
        <w:t>-</w:t>
      </w:r>
      <w:r>
        <w:rPr>
          <w:rFonts w:hint="eastAsia" w:ascii="黑体" w:hAnsi="黑体" w:eastAsia="黑体" w:cs="黑体"/>
          <w:sz w:val="20"/>
          <w:szCs w:val="20"/>
        </w:rPr>
        <w:fldChar w:fldCharType="begin"/>
      </w:r>
      <w:r>
        <w:rPr>
          <w:rFonts w:hint="eastAsia" w:ascii="黑体" w:hAnsi="黑体" w:eastAsia="黑体" w:cs="黑体"/>
          <w:sz w:val="20"/>
          <w:szCs w:val="20"/>
        </w:rPr>
        <w:instrText xml:space="preserve"> SEQ 表 \* ARABIC \s 1 </w:instrText>
      </w:r>
      <w:r>
        <w:rPr>
          <w:rFonts w:hint="eastAsia" w:ascii="黑体" w:hAnsi="黑体" w:eastAsia="黑体" w:cs="黑体"/>
          <w:sz w:val="20"/>
          <w:szCs w:val="20"/>
        </w:rPr>
        <w:fldChar w:fldCharType="separate"/>
      </w:r>
      <w:r>
        <w:rPr>
          <w:rFonts w:hint="eastAsia" w:ascii="黑体" w:hAnsi="黑体" w:eastAsia="黑体" w:cs="黑体"/>
          <w:sz w:val="20"/>
          <w:szCs w:val="20"/>
        </w:rPr>
        <w:t>1</w:t>
      </w:r>
      <w:r>
        <w:rPr>
          <w:rFonts w:hint="eastAsia" w:ascii="黑体" w:hAnsi="黑体" w:eastAsia="黑体" w:cs="黑体"/>
          <w:sz w:val="20"/>
          <w:szCs w:val="20"/>
        </w:rPr>
        <w:fldChar w:fldCharType="end"/>
      </w:r>
      <w:bookmarkStart w:id="2" w:name="_Toc21152"/>
      <w:r>
        <w:rPr>
          <w:rFonts w:hint="eastAsia" w:ascii="黑体" w:hAnsi="黑体" w:eastAsia="黑体" w:cs="黑体"/>
          <w:sz w:val="20"/>
          <w:szCs w:val="20"/>
        </w:rPr>
        <w:t>音视频通信调度服务需求分析表</w:t>
      </w:r>
      <w:bookmarkEnd w:id="2"/>
    </w:p>
    <w:tbl>
      <w:tblPr>
        <w:tblStyle w:val="25"/>
        <w:tblW w:w="4998" w:type="pct"/>
        <w:tblInd w:w="0" w:type="dxa"/>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0"/>
        <w:gridCol w:w="696"/>
        <w:gridCol w:w="1060"/>
        <w:gridCol w:w="1177"/>
        <w:gridCol w:w="1499"/>
        <w:gridCol w:w="2302"/>
        <w:gridCol w:w="1582"/>
      </w:tblGrid>
      <w:tr w14:paraId="56724DDA">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blHeader/>
        </w:trPr>
        <w:tc>
          <w:tcPr>
            <w:tcW w:w="411" w:type="pct"/>
            <w:tcBorders>
              <w:tl2br w:val="nil"/>
              <w:tr2bl w:val="nil"/>
            </w:tcBorders>
            <w:shd w:val="clear" w:color="000000" w:fill="BFBFBF"/>
            <w:noWrap/>
            <w:vAlign w:val="center"/>
          </w:tcPr>
          <w:p w14:paraId="6AAF39D4">
            <w:pPr>
              <w:widowControl/>
              <w:jc w:val="center"/>
              <w:rPr>
                <w:rFonts w:hint="eastAsia" w:ascii="宋体" w:hAnsi="宋体" w:eastAsia="宋体" w:cs="宋体"/>
                <w:b/>
                <w:bCs/>
                <w:kern w:val="0"/>
                <w:szCs w:val="21"/>
              </w:rPr>
            </w:pPr>
            <w:r>
              <w:rPr>
                <w:rFonts w:hint="eastAsia" w:ascii="宋体" w:hAnsi="宋体" w:eastAsia="宋体" w:cs="宋体"/>
                <w:b/>
                <w:bCs/>
                <w:kern w:val="0"/>
                <w:szCs w:val="21"/>
              </w:rPr>
              <w:t>序号</w:t>
            </w:r>
          </w:p>
        </w:tc>
        <w:tc>
          <w:tcPr>
            <w:tcW w:w="387" w:type="pct"/>
            <w:tcBorders>
              <w:tl2br w:val="nil"/>
              <w:tr2bl w:val="nil"/>
            </w:tcBorders>
            <w:shd w:val="clear" w:color="000000" w:fill="BFBFBF"/>
            <w:vAlign w:val="center"/>
          </w:tcPr>
          <w:p w14:paraId="5F4A65D6">
            <w:pPr>
              <w:widowControl/>
              <w:jc w:val="center"/>
              <w:rPr>
                <w:rFonts w:hint="eastAsia" w:ascii="宋体" w:hAnsi="宋体" w:eastAsia="宋体" w:cs="宋体"/>
                <w:b/>
                <w:bCs/>
                <w:kern w:val="0"/>
                <w:szCs w:val="21"/>
              </w:rPr>
            </w:pPr>
            <w:r>
              <w:rPr>
                <w:rFonts w:hint="eastAsia" w:ascii="宋体" w:hAnsi="宋体" w:eastAsia="宋体" w:cs="宋体"/>
                <w:b/>
                <w:bCs/>
                <w:kern w:val="0"/>
                <w:szCs w:val="21"/>
              </w:rPr>
              <w:t>类型</w:t>
            </w:r>
          </w:p>
        </w:tc>
        <w:tc>
          <w:tcPr>
            <w:tcW w:w="569" w:type="pct"/>
            <w:tcBorders>
              <w:tl2br w:val="nil"/>
              <w:tr2bl w:val="nil"/>
            </w:tcBorders>
            <w:shd w:val="clear" w:color="000000" w:fill="BFBFBF"/>
            <w:noWrap/>
            <w:vAlign w:val="center"/>
          </w:tcPr>
          <w:p w14:paraId="4431AB31">
            <w:pPr>
              <w:widowControl/>
              <w:jc w:val="center"/>
              <w:rPr>
                <w:rFonts w:hint="eastAsia" w:ascii="宋体" w:hAnsi="宋体" w:eastAsia="宋体" w:cs="宋体"/>
                <w:b/>
                <w:bCs/>
                <w:kern w:val="0"/>
                <w:szCs w:val="21"/>
              </w:rPr>
            </w:pPr>
            <w:r>
              <w:rPr>
                <w:rFonts w:hint="eastAsia" w:ascii="宋体" w:hAnsi="宋体" w:eastAsia="宋体" w:cs="宋体"/>
                <w:b/>
                <w:bCs/>
                <w:kern w:val="0"/>
                <w:szCs w:val="21"/>
              </w:rPr>
              <w:t>部门单位</w:t>
            </w:r>
          </w:p>
        </w:tc>
        <w:tc>
          <w:tcPr>
            <w:tcW w:w="652" w:type="pct"/>
            <w:tcBorders>
              <w:tl2br w:val="nil"/>
              <w:tr2bl w:val="nil"/>
            </w:tcBorders>
            <w:shd w:val="clear" w:color="000000" w:fill="BFBFBF"/>
            <w:vAlign w:val="center"/>
          </w:tcPr>
          <w:p w14:paraId="40815895">
            <w:pPr>
              <w:widowControl/>
              <w:jc w:val="center"/>
              <w:rPr>
                <w:rFonts w:hint="eastAsia" w:ascii="宋体" w:hAnsi="宋体" w:eastAsia="宋体" w:cs="宋体"/>
                <w:b/>
                <w:bCs/>
                <w:kern w:val="0"/>
                <w:szCs w:val="21"/>
              </w:rPr>
            </w:pPr>
            <w:r>
              <w:rPr>
                <w:rFonts w:hint="eastAsia" w:ascii="宋体" w:hAnsi="宋体" w:eastAsia="宋体" w:cs="宋体"/>
                <w:b/>
                <w:bCs/>
                <w:kern w:val="0"/>
                <w:szCs w:val="21"/>
              </w:rPr>
              <w:t>融合接入系统/设备</w:t>
            </w:r>
          </w:p>
        </w:tc>
        <w:tc>
          <w:tcPr>
            <w:tcW w:w="830" w:type="pct"/>
            <w:tcBorders>
              <w:tl2br w:val="nil"/>
              <w:tr2bl w:val="nil"/>
            </w:tcBorders>
            <w:shd w:val="clear" w:color="000000" w:fill="BFBFBF"/>
            <w:vAlign w:val="center"/>
          </w:tcPr>
          <w:p w14:paraId="3D30278B">
            <w:pPr>
              <w:widowControl/>
              <w:jc w:val="center"/>
              <w:rPr>
                <w:rFonts w:hint="eastAsia" w:ascii="宋体" w:hAnsi="宋体" w:eastAsia="宋体" w:cs="宋体"/>
                <w:b/>
                <w:bCs/>
                <w:kern w:val="0"/>
                <w:szCs w:val="21"/>
              </w:rPr>
            </w:pPr>
            <w:r>
              <w:rPr>
                <w:rFonts w:hint="eastAsia" w:ascii="宋体" w:hAnsi="宋体" w:eastAsia="宋体" w:cs="宋体"/>
                <w:b/>
                <w:bCs/>
                <w:kern w:val="0"/>
                <w:szCs w:val="21"/>
              </w:rPr>
              <w:t>系统应用说明</w:t>
            </w:r>
          </w:p>
        </w:tc>
        <w:tc>
          <w:tcPr>
            <w:tcW w:w="1273" w:type="pct"/>
            <w:tcBorders>
              <w:tl2br w:val="nil"/>
              <w:tr2bl w:val="nil"/>
            </w:tcBorders>
            <w:shd w:val="clear" w:color="000000" w:fill="BFBFBF"/>
            <w:vAlign w:val="center"/>
          </w:tcPr>
          <w:p w14:paraId="7B69CA0C">
            <w:pPr>
              <w:widowControl/>
              <w:jc w:val="center"/>
              <w:rPr>
                <w:rFonts w:hint="eastAsia" w:ascii="宋体" w:hAnsi="宋体" w:eastAsia="宋体" w:cs="宋体"/>
                <w:b/>
                <w:bCs/>
                <w:kern w:val="0"/>
                <w:szCs w:val="21"/>
              </w:rPr>
            </w:pPr>
            <w:r>
              <w:rPr>
                <w:rFonts w:hint="eastAsia" w:ascii="宋体" w:hAnsi="宋体" w:eastAsia="宋体" w:cs="宋体"/>
                <w:b/>
                <w:bCs/>
                <w:kern w:val="0"/>
                <w:szCs w:val="21"/>
              </w:rPr>
              <w:t>网络或通信说明</w:t>
            </w:r>
          </w:p>
        </w:tc>
        <w:tc>
          <w:tcPr>
            <w:tcW w:w="875" w:type="pct"/>
            <w:tcBorders>
              <w:tl2br w:val="nil"/>
              <w:tr2bl w:val="nil"/>
            </w:tcBorders>
            <w:shd w:val="clear" w:color="000000" w:fill="BFBFBF"/>
            <w:noWrap/>
            <w:vAlign w:val="center"/>
          </w:tcPr>
          <w:p w14:paraId="2479244C">
            <w:pPr>
              <w:widowControl/>
              <w:jc w:val="center"/>
              <w:rPr>
                <w:rFonts w:hint="eastAsia" w:ascii="宋体" w:hAnsi="宋体" w:eastAsia="宋体" w:cs="宋体"/>
                <w:b/>
                <w:bCs/>
                <w:kern w:val="0"/>
                <w:szCs w:val="21"/>
              </w:rPr>
            </w:pPr>
            <w:r>
              <w:rPr>
                <w:rFonts w:hint="eastAsia" w:ascii="宋体" w:hAnsi="宋体" w:eastAsia="宋体" w:cs="宋体"/>
                <w:b/>
                <w:bCs/>
                <w:kern w:val="0"/>
                <w:szCs w:val="21"/>
              </w:rPr>
              <w:t>备注</w:t>
            </w:r>
          </w:p>
        </w:tc>
      </w:tr>
      <w:tr w14:paraId="3C4009BB">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11" w:type="pct"/>
            <w:tcBorders>
              <w:tl2br w:val="nil"/>
              <w:tr2bl w:val="nil"/>
            </w:tcBorders>
            <w:shd w:val="clear" w:color="000000" w:fill="FFFFFF"/>
            <w:noWrap/>
            <w:vAlign w:val="center"/>
          </w:tcPr>
          <w:p w14:paraId="7A2180A7">
            <w:pPr>
              <w:widowControl/>
              <w:jc w:val="center"/>
              <w:rPr>
                <w:rFonts w:hint="eastAsia" w:ascii="宋体" w:hAnsi="宋体" w:eastAsia="宋体" w:cs="宋体"/>
                <w:kern w:val="0"/>
                <w:szCs w:val="21"/>
              </w:rPr>
            </w:pPr>
            <w:r>
              <w:rPr>
                <w:rFonts w:hint="eastAsia" w:ascii="宋体" w:hAnsi="宋体" w:eastAsia="宋体" w:cs="宋体"/>
                <w:kern w:val="0"/>
                <w:szCs w:val="21"/>
              </w:rPr>
              <w:t>1</w:t>
            </w:r>
          </w:p>
        </w:tc>
        <w:tc>
          <w:tcPr>
            <w:tcW w:w="387" w:type="pct"/>
            <w:vMerge w:val="restart"/>
            <w:tcBorders>
              <w:tl2br w:val="nil"/>
              <w:tr2bl w:val="nil"/>
            </w:tcBorders>
            <w:shd w:val="clear" w:color="000000" w:fill="FFFFFF"/>
            <w:vAlign w:val="center"/>
          </w:tcPr>
          <w:p w14:paraId="72518C6A">
            <w:pPr>
              <w:widowControl/>
              <w:jc w:val="center"/>
              <w:rPr>
                <w:rFonts w:hint="eastAsia" w:ascii="宋体" w:hAnsi="宋体" w:eastAsia="宋体" w:cs="宋体"/>
                <w:kern w:val="0"/>
                <w:szCs w:val="21"/>
              </w:rPr>
            </w:pPr>
            <w:r>
              <w:rPr>
                <w:rFonts w:hint="eastAsia" w:ascii="宋体" w:hAnsi="宋体" w:eastAsia="宋体" w:cs="宋体"/>
                <w:kern w:val="0"/>
                <w:szCs w:val="21"/>
              </w:rPr>
              <w:t>视频会议</w:t>
            </w:r>
          </w:p>
        </w:tc>
        <w:tc>
          <w:tcPr>
            <w:tcW w:w="569" w:type="pct"/>
            <w:tcBorders>
              <w:tl2br w:val="nil"/>
              <w:tr2bl w:val="nil"/>
            </w:tcBorders>
            <w:shd w:val="clear" w:color="000000" w:fill="FFFFFF"/>
            <w:noWrap/>
            <w:vAlign w:val="center"/>
          </w:tcPr>
          <w:p w14:paraId="3D84A130">
            <w:pPr>
              <w:widowControl/>
              <w:jc w:val="center"/>
              <w:rPr>
                <w:rFonts w:hint="eastAsia" w:ascii="宋体" w:hAnsi="宋体" w:eastAsia="宋体" w:cs="宋体"/>
                <w:kern w:val="0"/>
                <w:szCs w:val="21"/>
              </w:rPr>
            </w:pPr>
            <w:r>
              <w:rPr>
                <w:rFonts w:hint="eastAsia" w:ascii="宋体" w:hAnsi="宋体" w:eastAsia="宋体" w:cs="宋体"/>
                <w:kern w:val="0"/>
                <w:szCs w:val="21"/>
              </w:rPr>
              <w:t>省卫健委</w:t>
            </w:r>
          </w:p>
        </w:tc>
        <w:tc>
          <w:tcPr>
            <w:tcW w:w="652" w:type="pct"/>
            <w:tcBorders>
              <w:tl2br w:val="nil"/>
              <w:tr2bl w:val="nil"/>
            </w:tcBorders>
            <w:shd w:val="clear" w:color="000000" w:fill="FFFFFF"/>
            <w:vAlign w:val="center"/>
          </w:tcPr>
          <w:p w14:paraId="242890D2">
            <w:pPr>
              <w:widowControl/>
              <w:jc w:val="left"/>
              <w:rPr>
                <w:rFonts w:hint="eastAsia" w:ascii="宋体" w:hAnsi="宋体" w:eastAsia="宋体" w:cs="宋体"/>
                <w:kern w:val="0"/>
                <w:szCs w:val="21"/>
              </w:rPr>
            </w:pPr>
            <w:r>
              <w:rPr>
                <w:rFonts w:hint="eastAsia" w:ascii="宋体" w:hAnsi="宋体" w:eastAsia="宋体" w:cs="宋体"/>
                <w:kern w:val="0"/>
                <w:szCs w:val="21"/>
              </w:rPr>
              <w:t>省卫健委视频会议系统</w:t>
            </w:r>
          </w:p>
        </w:tc>
        <w:tc>
          <w:tcPr>
            <w:tcW w:w="830" w:type="pct"/>
            <w:tcBorders>
              <w:tl2br w:val="nil"/>
              <w:tr2bl w:val="nil"/>
            </w:tcBorders>
            <w:shd w:val="clear" w:color="000000" w:fill="FFFFFF"/>
            <w:vAlign w:val="center"/>
          </w:tcPr>
          <w:p w14:paraId="43488EB9">
            <w:pPr>
              <w:widowControl/>
              <w:jc w:val="center"/>
              <w:rPr>
                <w:rFonts w:hint="eastAsia" w:ascii="宋体" w:hAnsi="宋体" w:eastAsia="宋体" w:cs="宋体"/>
                <w:kern w:val="0"/>
                <w:szCs w:val="21"/>
              </w:rPr>
            </w:pPr>
            <w:r>
              <w:rPr>
                <w:rFonts w:hint="eastAsia" w:ascii="宋体" w:hAnsi="宋体" w:eastAsia="宋体" w:cs="宋体"/>
                <w:kern w:val="0"/>
                <w:szCs w:val="21"/>
              </w:rPr>
              <w:t>通过省卫健委视频会议接入，指挥调度部署、研判会商等。</w:t>
            </w:r>
          </w:p>
        </w:tc>
        <w:tc>
          <w:tcPr>
            <w:tcW w:w="1273" w:type="pct"/>
            <w:tcBorders>
              <w:tl2br w:val="nil"/>
              <w:tr2bl w:val="nil"/>
            </w:tcBorders>
            <w:shd w:val="clear" w:color="000000" w:fill="FFFFFF"/>
            <w:vAlign w:val="center"/>
          </w:tcPr>
          <w:p w14:paraId="51981F28">
            <w:pPr>
              <w:widowControl/>
              <w:jc w:val="left"/>
              <w:rPr>
                <w:rFonts w:hint="eastAsia" w:ascii="宋体" w:hAnsi="宋体" w:eastAsia="宋体" w:cs="宋体"/>
                <w:kern w:val="0"/>
                <w:szCs w:val="21"/>
              </w:rPr>
            </w:pPr>
            <w:r>
              <w:rPr>
                <w:rFonts w:hint="eastAsia" w:ascii="宋体" w:hAnsi="宋体" w:eastAsia="宋体" w:cs="宋体"/>
                <w:kern w:val="0"/>
                <w:szCs w:val="21"/>
              </w:rPr>
              <w:t>通过政务外网连接</w:t>
            </w:r>
          </w:p>
        </w:tc>
        <w:tc>
          <w:tcPr>
            <w:tcW w:w="875" w:type="pct"/>
            <w:tcBorders>
              <w:tl2br w:val="nil"/>
              <w:tr2bl w:val="nil"/>
            </w:tcBorders>
            <w:shd w:val="clear" w:color="000000" w:fill="FFFFFF"/>
            <w:noWrap/>
            <w:vAlign w:val="center"/>
          </w:tcPr>
          <w:p w14:paraId="53F0141A">
            <w:pPr>
              <w:widowControl/>
              <w:jc w:val="center"/>
              <w:rPr>
                <w:rFonts w:hint="eastAsia" w:ascii="宋体" w:hAnsi="宋体" w:eastAsia="宋体" w:cs="宋体"/>
                <w:kern w:val="0"/>
                <w:szCs w:val="21"/>
              </w:rPr>
            </w:pPr>
            <w:r>
              <w:rPr>
                <w:rFonts w:hint="eastAsia" w:ascii="宋体" w:hAnsi="宋体" w:eastAsia="宋体" w:cs="宋体"/>
                <w:kern w:val="0"/>
                <w:szCs w:val="21"/>
              </w:rPr>
              <w:t>已建设</w:t>
            </w:r>
          </w:p>
        </w:tc>
      </w:tr>
      <w:tr w14:paraId="480EE2DB">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11" w:type="pct"/>
            <w:tcBorders>
              <w:tl2br w:val="nil"/>
              <w:tr2bl w:val="nil"/>
            </w:tcBorders>
            <w:shd w:val="clear" w:color="000000" w:fill="FFFFFF"/>
            <w:noWrap/>
            <w:vAlign w:val="center"/>
          </w:tcPr>
          <w:p w14:paraId="7FC20E11">
            <w:pPr>
              <w:widowControl/>
              <w:jc w:val="center"/>
              <w:rPr>
                <w:rFonts w:hint="eastAsia" w:ascii="宋体" w:hAnsi="宋体" w:eastAsia="宋体" w:cs="宋体"/>
                <w:kern w:val="0"/>
                <w:szCs w:val="21"/>
              </w:rPr>
            </w:pPr>
            <w:r>
              <w:rPr>
                <w:rFonts w:hint="eastAsia" w:ascii="宋体" w:hAnsi="宋体" w:eastAsia="宋体" w:cs="宋体"/>
                <w:kern w:val="0"/>
                <w:szCs w:val="21"/>
              </w:rPr>
              <w:t>2</w:t>
            </w:r>
          </w:p>
        </w:tc>
        <w:tc>
          <w:tcPr>
            <w:tcW w:w="387" w:type="pct"/>
            <w:vMerge w:val="continue"/>
            <w:tcBorders>
              <w:tl2br w:val="nil"/>
              <w:tr2bl w:val="nil"/>
            </w:tcBorders>
            <w:vAlign w:val="center"/>
          </w:tcPr>
          <w:p w14:paraId="52A298C9">
            <w:pPr>
              <w:widowControl/>
              <w:jc w:val="left"/>
              <w:rPr>
                <w:rFonts w:hint="eastAsia" w:ascii="宋体" w:hAnsi="宋体" w:eastAsia="宋体" w:cs="宋体"/>
                <w:kern w:val="0"/>
                <w:szCs w:val="21"/>
              </w:rPr>
            </w:pPr>
          </w:p>
        </w:tc>
        <w:tc>
          <w:tcPr>
            <w:tcW w:w="569" w:type="pct"/>
            <w:tcBorders>
              <w:tl2br w:val="nil"/>
              <w:tr2bl w:val="nil"/>
            </w:tcBorders>
            <w:shd w:val="clear" w:color="000000" w:fill="FFFFFF"/>
            <w:noWrap/>
            <w:vAlign w:val="center"/>
          </w:tcPr>
          <w:p w14:paraId="42CC458A">
            <w:pPr>
              <w:widowControl/>
              <w:jc w:val="center"/>
              <w:rPr>
                <w:rFonts w:hint="eastAsia" w:ascii="宋体" w:hAnsi="宋体" w:eastAsia="宋体" w:cs="宋体"/>
                <w:kern w:val="0"/>
                <w:szCs w:val="21"/>
              </w:rPr>
            </w:pPr>
            <w:r>
              <w:rPr>
                <w:rFonts w:hint="eastAsia" w:ascii="宋体" w:hAnsi="宋体" w:eastAsia="宋体" w:cs="宋体"/>
                <w:kern w:val="0"/>
                <w:szCs w:val="21"/>
              </w:rPr>
              <w:t>省立医院</w:t>
            </w:r>
          </w:p>
        </w:tc>
        <w:tc>
          <w:tcPr>
            <w:tcW w:w="652" w:type="pct"/>
            <w:tcBorders>
              <w:tl2br w:val="nil"/>
              <w:tr2bl w:val="nil"/>
            </w:tcBorders>
            <w:shd w:val="clear" w:color="000000" w:fill="FFFFFF"/>
            <w:vAlign w:val="center"/>
          </w:tcPr>
          <w:p w14:paraId="319495E7">
            <w:pPr>
              <w:widowControl/>
              <w:jc w:val="left"/>
              <w:rPr>
                <w:rFonts w:hint="eastAsia" w:ascii="宋体" w:hAnsi="宋体" w:eastAsia="宋体" w:cs="宋体"/>
                <w:kern w:val="0"/>
                <w:szCs w:val="21"/>
              </w:rPr>
            </w:pPr>
            <w:r>
              <w:rPr>
                <w:rFonts w:hint="eastAsia" w:ascii="宋体" w:hAnsi="宋体" w:eastAsia="宋体" w:cs="宋体"/>
                <w:kern w:val="0"/>
                <w:szCs w:val="21"/>
              </w:rPr>
              <w:t>国家队视频会议系统</w:t>
            </w:r>
          </w:p>
        </w:tc>
        <w:tc>
          <w:tcPr>
            <w:tcW w:w="830" w:type="pct"/>
            <w:tcBorders>
              <w:tl2br w:val="nil"/>
              <w:tr2bl w:val="nil"/>
            </w:tcBorders>
            <w:shd w:val="clear" w:color="000000" w:fill="FFFFFF"/>
            <w:vAlign w:val="center"/>
          </w:tcPr>
          <w:p w14:paraId="2C477F6F">
            <w:pPr>
              <w:widowControl/>
              <w:jc w:val="center"/>
              <w:rPr>
                <w:rFonts w:hint="eastAsia" w:ascii="宋体" w:hAnsi="宋体" w:eastAsia="宋体" w:cs="宋体"/>
                <w:kern w:val="0"/>
                <w:szCs w:val="21"/>
              </w:rPr>
            </w:pPr>
            <w:r>
              <w:rPr>
                <w:rFonts w:hint="eastAsia" w:ascii="宋体" w:hAnsi="宋体" w:eastAsia="宋体" w:cs="宋体"/>
                <w:kern w:val="0"/>
                <w:szCs w:val="21"/>
              </w:rPr>
              <w:t>与指挥车前后方视频会议</w:t>
            </w:r>
          </w:p>
        </w:tc>
        <w:tc>
          <w:tcPr>
            <w:tcW w:w="1273" w:type="pct"/>
            <w:tcBorders>
              <w:tl2br w:val="nil"/>
              <w:tr2bl w:val="nil"/>
            </w:tcBorders>
            <w:shd w:val="clear" w:color="000000" w:fill="FFFFFF"/>
            <w:vAlign w:val="center"/>
          </w:tcPr>
          <w:p w14:paraId="4DF087DC">
            <w:pPr>
              <w:widowControl/>
              <w:jc w:val="left"/>
              <w:rPr>
                <w:rFonts w:hint="eastAsia" w:ascii="宋体" w:hAnsi="宋体" w:eastAsia="宋体" w:cs="宋体"/>
                <w:kern w:val="0"/>
                <w:szCs w:val="21"/>
              </w:rPr>
            </w:pPr>
            <w:r>
              <w:rPr>
                <w:rFonts w:hint="eastAsia" w:ascii="宋体" w:hAnsi="宋体" w:eastAsia="宋体" w:cs="宋体"/>
                <w:kern w:val="0"/>
                <w:szCs w:val="21"/>
              </w:rPr>
              <w:t>视频会议终端通过5G网络（室外wifi基站）与院内互通</w:t>
            </w:r>
          </w:p>
        </w:tc>
        <w:tc>
          <w:tcPr>
            <w:tcW w:w="875" w:type="pct"/>
            <w:tcBorders>
              <w:tl2br w:val="nil"/>
              <w:tr2bl w:val="nil"/>
            </w:tcBorders>
            <w:shd w:val="clear" w:color="000000" w:fill="FFFFFF"/>
            <w:vAlign w:val="center"/>
          </w:tcPr>
          <w:p w14:paraId="1F98E827">
            <w:pPr>
              <w:widowControl/>
              <w:jc w:val="center"/>
              <w:rPr>
                <w:rFonts w:hint="eastAsia" w:ascii="宋体" w:hAnsi="宋体" w:eastAsia="宋体" w:cs="宋体"/>
                <w:kern w:val="0"/>
                <w:szCs w:val="21"/>
              </w:rPr>
            </w:pPr>
            <w:r>
              <w:rPr>
                <w:rFonts w:hint="eastAsia" w:ascii="宋体" w:hAnsi="宋体" w:eastAsia="宋体" w:cs="宋体"/>
                <w:kern w:val="0"/>
                <w:szCs w:val="21"/>
              </w:rPr>
              <w:t>已建设，指挥车配套，宝利通Group550</w:t>
            </w:r>
          </w:p>
        </w:tc>
      </w:tr>
      <w:tr w14:paraId="0625FB4F">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11" w:type="pct"/>
            <w:tcBorders>
              <w:tl2br w:val="nil"/>
              <w:tr2bl w:val="nil"/>
            </w:tcBorders>
            <w:shd w:val="clear" w:color="000000" w:fill="FFFFFF"/>
            <w:noWrap/>
            <w:vAlign w:val="center"/>
          </w:tcPr>
          <w:p w14:paraId="7E21B85B">
            <w:pPr>
              <w:widowControl/>
              <w:jc w:val="center"/>
              <w:rPr>
                <w:rFonts w:hint="eastAsia" w:ascii="宋体" w:hAnsi="宋体" w:eastAsia="宋体" w:cs="宋体"/>
                <w:kern w:val="0"/>
                <w:szCs w:val="21"/>
              </w:rPr>
            </w:pPr>
            <w:r>
              <w:rPr>
                <w:rFonts w:hint="eastAsia" w:ascii="宋体" w:hAnsi="宋体" w:eastAsia="宋体" w:cs="宋体"/>
                <w:kern w:val="0"/>
                <w:szCs w:val="21"/>
              </w:rPr>
              <w:t>3</w:t>
            </w:r>
          </w:p>
        </w:tc>
        <w:tc>
          <w:tcPr>
            <w:tcW w:w="387" w:type="pct"/>
            <w:vMerge w:val="continue"/>
            <w:tcBorders>
              <w:tl2br w:val="nil"/>
              <w:tr2bl w:val="nil"/>
            </w:tcBorders>
            <w:vAlign w:val="center"/>
          </w:tcPr>
          <w:p w14:paraId="6EAA823A">
            <w:pPr>
              <w:widowControl/>
              <w:jc w:val="left"/>
              <w:rPr>
                <w:rFonts w:hint="eastAsia" w:ascii="宋体" w:hAnsi="宋体" w:eastAsia="宋体" w:cs="宋体"/>
                <w:kern w:val="0"/>
                <w:szCs w:val="21"/>
              </w:rPr>
            </w:pPr>
          </w:p>
        </w:tc>
        <w:tc>
          <w:tcPr>
            <w:tcW w:w="569" w:type="pct"/>
            <w:tcBorders>
              <w:tl2br w:val="nil"/>
              <w:tr2bl w:val="nil"/>
            </w:tcBorders>
            <w:shd w:val="clear" w:color="000000" w:fill="FFFFFF"/>
            <w:vAlign w:val="center"/>
          </w:tcPr>
          <w:p w14:paraId="1E52DEFD">
            <w:pPr>
              <w:widowControl/>
              <w:jc w:val="center"/>
              <w:rPr>
                <w:rFonts w:hint="eastAsia" w:ascii="宋体" w:hAnsi="宋体" w:eastAsia="宋体" w:cs="宋体"/>
                <w:kern w:val="0"/>
                <w:szCs w:val="21"/>
              </w:rPr>
            </w:pPr>
            <w:r>
              <w:rPr>
                <w:rFonts w:hint="eastAsia" w:ascii="宋体" w:hAnsi="宋体" w:eastAsia="宋体" w:cs="宋体"/>
                <w:kern w:val="0"/>
                <w:szCs w:val="21"/>
              </w:rPr>
              <w:t>省职防院、省血液中心、省疾控</w:t>
            </w:r>
            <w:r>
              <w:rPr>
                <w:rFonts w:hint="eastAsia" w:ascii="宋体" w:hAnsi="宋体" w:eastAsia="宋体" w:cs="宋体"/>
                <w:kern w:val="0"/>
                <w:szCs w:val="21"/>
                <w:lang w:eastAsia="zh-CN"/>
              </w:rPr>
              <w:t>中心</w:t>
            </w:r>
          </w:p>
        </w:tc>
        <w:tc>
          <w:tcPr>
            <w:tcW w:w="652" w:type="pct"/>
            <w:tcBorders>
              <w:tl2br w:val="nil"/>
              <w:tr2bl w:val="nil"/>
            </w:tcBorders>
            <w:shd w:val="clear" w:color="000000" w:fill="FFFFFF"/>
            <w:vAlign w:val="center"/>
          </w:tcPr>
          <w:p w14:paraId="6C414362">
            <w:pPr>
              <w:widowControl/>
              <w:jc w:val="left"/>
              <w:rPr>
                <w:rFonts w:hint="eastAsia" w:ascii="宋体" w:hAnsi="宋体" w:eastAsia="宋体" w:cs="宋体"/>
                <w:kern w:val="0"/>
                <w:szCs w:val="21"/>
              </w:rPr>
            </w:pPr>
            <w:r>
              <w:rPr>
                <w:rFonts w:hint="eastAsia" w:ascii="宋体" w:hAnsi="宋体" w:eastAsia="宋体" w:cs="宋体"/>
                <w:kern w:val="0"/>
                <w:szCs w:val="21"/>
              </w:rPr>
              <w:t>卫健体系专业机构：视频会议系统</w:t>
            </w:r>
          </w:p>
        </w:tc>
        <w:tc>
          <w:tcPr>
            <w:tcW w:w="830" w:type="pct"/>
            <w:tcBorders>
              <w:tl2br w:val="nil"/>
              <w:tr2bl w:val="nil"/>
            </w:tcBorders>
            <w:shd w:val="clear" w:color="000000" w:fill="FFFFFF"/>
            <w:vAlign w:val="center"/>
          </w:tcPr>
          <w:p w14:paraId="1EC2FEA4">
            <w:pPr>
              <w:widowControl/>
              <w:jc w:val="center"/>
              <w:rPr>
                <w:rFonts w:hint="eastAsia" w:ascii="宋体" w:hAnsi="宋体" w:eastAsia="宋体" w:cs="宋体"/>
                <w:kern w:val="0"/>
                <w:szCs w:val="21"/>
              </w:rPr>
            </w:pPr>
            <w:r>
              <w:rPr>
                <w:rFonts w:hint="eastAsia" w:ascii="宋体" w:hAnsi="宋体" w:eastAsia="宋体" w:cs="宋体"/>
                <w:kern w:val="0"/>
                <w:szCs w:val="21"/>
              </w:rPr>
              <w:t>协同救援视频会商</w:t>
            </w:r>
          </w:p>
        </w:tc>
        <w:tc>
          <w:tcPr>
            <w:tcW w:w="1273" w:type="pct"/>
            <w:tcBorders>
              <w:tl2br w:val="nil"/>
              <w:tr2bl w:val="nil"/>
            </w:tcBorders>
            <w:shd w:val="clear" w:color="000000" w:fill="FFFFFF"/>
            <w:vAlign w:val="center"/>
          </w:tcPr>
          <w:p w14:paraId="39AF8CC1">
            <w:pPr>
              <w:widowControl/>
              <w:jc w:val="left"/>
              <w:rPr>
                <w:rFonts w:hint="eastAsia" w:ascii="宋体" w:hAnsi="宋体" w:eastAsia="宋体" w:cs="宋体"/>
                <w:kern w:val="0"/>
                <w:szCs w:val="21"/>
              </w:rPr>
            </w:pPr>
            <w:r>
              <w:rPr>
                <w:rFonts w:hint="eastAsia" w:ascii="宋体" w:hAnsi="宋体" w:eastAsia="宋体" w:cs="宋体"/>
                <w:kern w:val="0"/>
                <w:szCs w:val="21"/>
              </w:rPr>
              <w:t>通过政务外网连接</w:t>
            </w:r>
          </w:p>
        </w:tc>
        <w:tc>
          <w:tcPr>
            <w:tcW w:w="875" w:type="pct"/>
            <w:tcBorders>
              <w:tl2br w:val="nil"/>
              <w:tr2bl w:val="nil"/>
            </w:tcBorders>
            <w:shd w:val="clear" w:color="000000" w:fill="FFFFFF"/>
            <w:vAlign w:val="center"/>
          </w:tcPr>
          <w:p w14:paraId="1EB7A447">
            <w:pPr>
              <w:widowControl/>
              <w:jc w:val="center"/>
              <w:rPr>
                <w:rFonts w:hint="eastAsia" w:ascii="宋体" w:hAnsi="宋体" w:eastAsia="宋体" w:cs="宋体"/>
                <w:kern w:val="0"/>
                <w:szCs w:val="21"/>
              </w:rPr>
            </w:pPr>
            <w:r>
              <w:rPr>
                <w:rFonts w:hint="eastAsia" w:ascii="宋体" w:hAnsi="宋体" w:eastAsia="宋体" w:cs="宋体"/>
                <w:kern w:val="0"/>
                <w:szCs w:val="21"/>
              </w:rPr>
              <w:t>预留扩展，需省卫生行政部</w:t>
            </w:r>
            <w:r>
              <w:rPr>
                <w:rFonts w:hint="eastAsia" w:ascii="宋体" w:hAnsi="宋体" w:eastAsia="宋体" w:cs="宋体"/>
                <w:kern w:val="0"/>
                <w:szCs w:val="21"/>
                <w:lang w:eastAsia="zh-CN"/>
              </w:rPr>
              <w:t>门协</w:t>
            </w:r>
            <w:r>
              <w:rPr>
                <w:rFonts w:hint="eastAsia" w:ascii="宋体" w:hAnsi="宋体" w:eastAsia="宋体" w:cs="宋体"/>
                <w:kern w:val="0"/>
                <w:szCs w:val="21"/>
              </w:rPr>
              <w:t>调确认。</w:t>
            </w:r>
          </w:p>
        </w:tc>
      </w:tr>
      <w:tr w14:paraId="0B5058C3">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11" w:type="pct"/>
            <w:tcBorders>
              <w:tl2br w:val="nil"/>
              <w:tr2bl w:val="nil"/>
            </w:tcBorders>
            <w:shd w:val="clear" w:color="000000" w:fill="FFFFFF"/>
            <w:noWrap/>
            <w:vAlign w:val="center"/>
          </w:tcPr>
          <w:p w14:paraId="7A26AC0F">
            <w:pPr>
              <w:widowControl/>
              <w:jc w:val="center"/>
              <w:rPr>
                <w:rFonts w:hint="eastAsia" w:ascii="宋体" w:hAnsi="宋体" w:eastAsia="宋体" w:cs="宋体"/>
                <w:kern w:val="0"/>
                <w:szCs w:val="21"/>
              </w:rPr>
            </w:pPr>
            <w:r>
              <w:rPr>
                <w:rFonts w:hint="eastAsia" w:ascii="宋体" w:hAnsi="宋体" w:eastAsia="宋体" w:cs="宋体"/>
                <w:kern w:val="0"/>
                <w:szCs w:val="21"/>
              </w:rPr>
              <w:t>4</w:t>
            </w:r>
          </w:p>
        </w:tc>
        <w:tc>
          <w:tcPr>
            <w:tcW w:w="387" w:type="pct"/>
            <w:vMerge w:val="restart"/>
            <w:tcBorders>
              <w:tl2br w:val="nil"/>
              <w:tr2bl w:val="nil"/>
            </w:tcBorders>
            <w:shd w:val="clear" w:color="000000" w:fill="FFFFFF"/>
            <w:vAlign w:val="center"/>
          </w:tcPr>
          <w:p w14:paraId="38A3BBA7">
            <w:pPr>
              <w:widowControl/>
              <w:jc w:val="center"/>
              <w:rPr>
                <w:rFonts w:hint="eastAsia" w:ascii="宋体" w:hAnsi="宋体" w:eastAsia="宋体" w:cs="宋体"/>
                <w:kern w:val="0"/>
                <w:szCs w:val="21"/>
              </w:rPr>
            </w:pPr>
            <w:r>
              <w:rPr>
                <w:rFonts w:hint="eastAsia" w:ascii="宋体" w:hAnsi="宋体" w:eastAsia="宋体" w:cs="宋体"/>
                <w:kern w:val="0"/>
                <w:szCs w:val="21"/>
              </w:rPr>
              <w:t>视频监控</w:t>
            </w:r>
          </w:p>
        </w:tc>
        <w:tc>
          <w:tcPr>
            <w:tcW w:w="569" w:type="pct"/>
            <w:tcBorders>
              <w:tl2br w:val="nil"/>
              <w:tr2bl w:val="nil"/>
            </w:tcBorders>
            <w:shd w:val="clear" w:color="000000" w:fill="FFFFFF"/>
            <w:vAlign w:val="center"/>
          </w:tcPr>
          <w:p w14:paraId="7C62C769">
            <w:pPr>
              <w:widowControl/>
              <w:jc w:val="center"/>
              <w:rPr>
                <w:rFonts w:hint="eastAsia" w:ascii="宋体" w:hAnsi="宋体" w:eastAsia="宋体" w:cs="宋体"/>
                <w:kern w:val="0"/>
                <w:szCs w:val="21"/>
              </w:rPr>
            </w:pPr>
            <w:r>
              <w:rPr>
                <w:rFonts w:hint="eastAsia" w:ascii="宋体" w:hAnsi="宋体" w:eastAsia="宋体" w:cs="宋体"/>
                <w:kern w:val="0"/>
                <w:szCs w:val="21"/>
              </w:rPr>
              <w:t>9地市急救中心</w:t>
            </w:r>
          </w:p>
        </w:tc>
        <w:tc>
          <w:tcPr>
            <w:tcW w:w="652" w:type="pct"/>
            <w:tcBorders>
              <w:tl2br w:val="nil"/>
              <w:tr2bl w:val="nil"/>
            </w:tcBorders>
            <w:shd w:val="clear" w:color="000000" w:fill="FFFFFF"/>
            <w:vAlign w:val="center"/>
          </w:tcPr>
          <w:p w14:paraId="74890DDD">
            <w:pPr>
              <w:widowControl/>
              <w:jc w:val="left"/>
              <w:rPr>
                <w:rFonts w:hint="eastAsia" w:ascii="宋体" w:hAnsi="宋体" w:eastAsia="宋体" w:cs="宋体"/>
                <w:kern w:val="0"/>
                <w:szCs w:val="21"/>
              </w:rPr>
            </w:pPr>
            <w:r>
              <w:rPr>
                <w:rFonts w:hint="eastAsia" w:ascii="宋体" w:hAnsi="宋体" w:eastAsia="宋体" w:cs="宋体"/>
                <w:kern w:val="0"/>
                <w:szCs w:val="21"/>
              </w:rPr>
              <w:t>急救车载视频监控平台</w:t>
            </w:r>
          </w:p>
        </w:tc>
        <w:tc>
          <w:tcPr>
            <w:tcW w:w="830" w:type="pct"/>
            <w:tcBorders>
              <w:tl2br w:val="nil"/>
              <w:tr2bl w:val="nil"/>
            </w:tcBorders>
            <w:shd w:val="clear" w:color="000000" w:fill="FFFFFF"/>
            <w:vAlign w:val="center"/>
          </w:tcPr>
          <w:p w14:paraId="48E5C7E7">
            <w:pPr>
              <w:widowControl/>
              <w:jc w:val="center"/>
              <w:rPr>
                <w:rFonts w:hint="eastAsia" w:ascii="宋体" w:hAnsi="宋体" w:eastAsia="宋体" w:cs="宋体"/>
                <w:kern w:val="0"/>
                <w:szCs w:val="21"/>
              </w:rPr>
            </w:pPr>
            <w:r>
              <w:rPr>
                <w:rFonts w:hint="eastAsia" w:ascii="宋体" w:hAnsi="宋体" w:eastAsia="宋体" w:cs="宋体"/>
                <w:kern w:val="0"/>
                <w:szCs w:val="21"/>
              </w:rPr>
              <w:t>查看急救车上患者实时抢救视频</w:t>
            </w:r>
          </w:p>
        </w:tc>
        <w:tc>
          <w:tcPr>
            <w:tcW w:w="1273" w:type="pct"/>
            <w:tcBorders>
              <w:tl2br w:val="nil"/>
              <w:tr2bl w:val="nil"/>
            </w:tcBorders>
            <w:shd w:val="clear" w:color="000000" w:fill="FFFFFF"/>
            <w:vAlign w:val="center"/>
          </w:tcPr>
          <w:p w14:paraId="3232C30F">
            <w:pPr>
              <w:widowControl/>
              <w:jc w:val="left"/>
              <w:rPr>
                <w:rFonts w:hint="eastAsia" w:ascii="宋体" w:hAnsi="宋体" w:eastAsia="宋体" w:cs="宋体"/>
                <w:kern w:val="0"/>
                <w:szCs w:val="21"/>
              </w:rPr>
            </w:pPr>
            <w:r>
              <w:rPr>
                <w:rFonts w:hint="eastAsia" w:ascii="宋体" w:hAnsi="宋体" w:eastAsia="宋体" w:cs="宋体"/>
                <w:kern w:val="0"/>
                <w:szCs w:val="21"/>
              </w:rPr>
              <w:t>本地部署</w:t>
            </w:r>
          </w:p>
        </w:tc>
        <w:tc>
          <w:tcPr>
            <w:tcW w:w="875" w:type="pct"/>
            <w:tcBorders>
              <w:tl2br w:val="nil"/>
              <w:tr2bl w:val="nil"/>
            </w:tcBorders>
            <w:shd w:val="clear" w:color="000000" w:fill="FFFFFF"/>
            <w:vAlign w:val="center"/>
          </w:tcPr>
          <w:p w14:paraId="6071DDA1">
            <w:pPr>
              <w:widowControl/>
              <w:jc w:val="center"/>
              <w:rPr>
                <w:rFonts w:hint="eastAsia" w:ascii="宋体" w:hAnsi="宋体" w:eastAsia="宋体" w:cs="宋体"/>
                <w:kern w:val="0"/>
                <w:szCs w:val="21"/>
              </w:rPr>
            </w:pPr>
            <w:r>
              <w:rPr>
                <w:rFonts w:hint="eastAsia" w:ascii="宋体" w:hAnsi="宋体" w:eastAsia="宋体" w:cs="宋体"/>
                <w:kern w:val="0"/>
                <w:szCs w:val="21"/>
              </w:rPr>
              <w:t>预留扩展，需省卫生行政部</w:t>
            </w:r>
            <w:r>
              <w:rPr>
                <w:rFonts w:hint="eastAsia" w:ascii="宋体" w:hAnsi="宋体" w:eastAsia="宋体" w:cs="宋体"/>
                <w:kern w:val="0"/>
                <w:szCs w:val="21"/>
                <w:lang w:eastAsia="zh-CN"/>
              </w:rPr>
              <w:t>门协</w:t>
            </w:r>
            <w:r>
              <w:rPr>
                <w:rFonts w:hint="eastAsia" w:ascii="宋体" w:hAnsi="宋体" w:eastAsia="宋体" w:cs="宋体"/>
                <w:kern w:val="0"/>
                <w:szCs w:val="21"/>
              </w:rPr>
              <w:t>调确认。</w:t>
            </w:r>
          </w:p>
        </w:tc>
      </w:tr>
      <w:tr w14:paraId="1050B66F">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11" w:type="pct"/>
            <w:tcBorders>
              <w:tl2br w:val="nil"/>
              <w:tr2bl w:val="nil"/>
            </w:tcBorders>
            <w:shd w:val="clear" w:color="000000" w:fill="FFFFFF"/>
            <w:noWrap/>
            <w:vAlign w:val="center"/>
          </w:tcPr>
          <w:p w14:paraId="2469DA34">
            <w:pPr>
              <w:widowControl/>
              <w:jc w:val="center"/>
              <w:rPr>
                <w:rFonts w:hint="eastAsia" w:ascii="宋体" w:hAnsi="宋体" w:eastAsia="宋体" w:cs="宋体"/>
                <w:kern w:val="0"/>
                <w:szCs w:val="21"/>
              </w:rPr>
            </w:pPr>
            <w:r>
              <w:rPr>
                <w:rFonts w:hint="eastAsia" w:ascii="宋体" w:hAnsi="宋体" w:eastAsia="宋体" w:cs="宋体"/>
                <w:kern w:val="0"/>
                <w:szCs w:val="21"/>
              </w:rPr>
              <w:t>5</w:t>
            </w:r>
          </w:p>
        </w:tc>
        <w:tc>
          <w:tcPr>
            <w:tcW w:w="387" w:type="pct"/>
            <w:vMerge w:val="continue"/>
            <w:tcBorders>
              <w:tl2br w:val="nil"/>
              <w:tr2bl w:val="nil"/>
            </w:tcBorders>
            <w:vAlign w:val="center"/>
          </w:tcPr>
          <w:p w14:paraId="0BE4BA8F">
            <w:pPr>
              <w:widowControl/>
              <w:jc w:val="left"/>
              <w:rPr>
                <w:rFonts w:hint="eastAsia" w:ascii="宋体" w:hAnsi="宋体" w:eastAsia="宋体" w:cs="宋体"/>
                <w:kern w:val="0"/>
                <w:szCs w:val="21"/>
              </w:rPr>
            </w:pPr>
          </w:p>
        </w:tc>
        <w:tc>
          <w:tcPr>
            <w:tcW w:w="569" w:type="pct"/>
            <w:tcBorders>
              <w:tl2br w:val="nil"/>
              <w:tr2bl w:val="nil"/>
            </w:tcBorders>
            <w:shd w:val="clear" w:color="000000" w:fill="FFFFFF"/>
            <w:vAlign w:val="center"/>
          </w:tcPr>
          <w:p w14:paraId="60D5C63B">
            <w:pPr>
              <w:widowControl/>
              <w:jc w:val="center"/>
              <w:rPr>
                <w:rFonts w:hint="eastAsia" w:ascii="宋体" w:hAnsi="宋体" w:eastAsia="宋体" w:cs="宋体"/>
                <w:kern w:val="0"/>
                <w:szCs w:val="21"/>
              </w:rPr>
            </w:pPr>
            <w:r>
              <w:rPr>
                <w:rFonts w:hint="eastAsia" w:ascii="宋体" w:hAnsi="宋体" w:eastAsia="宋体" w:cs="宋体"/>
                <w:kern w:val="0"/>
                <w:szCs w:val="21"/>
              </w:rPr>
              <w:t>省立医院</w:t>
            </w:r>
          </w:p>
        </w:tc>
        <w:tc>
          <w:tcPr>
            <w:tcW w:w="652" w:type="pct"/>
            <w:tcBorders>
              <w:tl2br w:val="nil"/>
              <w:tr2bl w:val="nil"/>
            </w:tcBorders>
            <w:shd w:val="clear" w:color="000000" w:fill="FFFFFF"/>
            <w:vAlign w:val="center"/>
          </w:tcPr>
          <w:p w14:paraId="0422ADD0">
            <w:pPr>
              <w:widowControl/>
              <w:jc w:val="left"/>
              <w:rPr>
                <w:rFonts w:hint="eastAsia" w:ascii="宋体" w:hAnsi="宋体" w:eastAsia="宋体" w:cs="宋体"/>
                <w:kern w:val="0"/>
                <w:szCs w:val="21"/>
              </w:rPr>
            </w:pPr>
            <w:r>
              <w:rPr>
                <w:rFonts w:hint="eastAsia" w:ascii="宋体" w:hAnsi="宋体" w:eastAsia="宋体" w:cs="宋体"/>
                <w:kern w:val="0"/>
                <w:szCs w:val="21"/>
              </w:rPr>
              <w:t>省急救中心急救车视频监控平台</w:t>
            </w:r>
          </w:p>
        </w:tc>
        <w:tc>
          <w:tcPr>
            <w:tcW w:w="830" w:type="pct"/>
            <w:tcBorders>
              <w:tl2br w:val="nil"/>
              <w:tr2bl w:val="nil"/>
            </w:tcBorders>
            <w:shd w:val="clear" w:color="000000" w:fill="FFFFFF"/>
            <w:vAlign w:val="center"/>
          </w:tcPr>
          <w:p w14:paraId="4172B903">
            <w:pPr>
              <w:widowControl/>
              <w:jc w:val="center"/>
              <w:rPr>
                <w:rFonts w:hint="eastAsia" w:ascii="宋体" w:hAnsi="宋体" w:eastAsia="宋体" w:cs="宋体"/>
                <w:kern w:val="0"/>
                <w:szCs w:val="21"/>
              </w:rPr>
            </w:pPr>
            <w:r>
              <w:rPr>
                <w:rFonts w:hint="eastAsia" w:ascii="宋体" w:hAnsi="宋体" w:eastAsia="宋体" w:cs="宋体"/>
                <w:kern w:val="0"/>
                <w:szCs w:val="21"/>
              </w:rPr>
              <w:t>查看急救车上患者实时抢救视频</w:t>
            </w:r>
          </w:p>
        </w:tc>
        <w:tc>
          <w:tcPr>
            <w:tcW w:w="1273" w:type="pct"/>
            <w:tcBorders>
              <w:tl2br w:val="nil"/>
              <w:tr2bl w:val="nil"/>
            </w:tcBorders>
            <w:shd w:val="clear" w:color="000000" w:fill="FFFFFF"/>
            <w:noWrap/>
            <w:vAlign w:val="center"/>
          </w:tcPr>
          <w:p w14:paraId="6930879F">
            <w:pPr>
              <w:widowControl/>
              <w:jc w:val="left"/>
              <w:rPr>
                <w:rFonts w:hint="eastAsia" w:ascii="宋体" w:hAnsi="宋体" w:eastAsia="宋体" w:cs="宋体"/>
                <w:kern w:val="0"/>
                <w:szCs w:val="21"/>
              </w:rPr>
            </w:pPr>
            <w:r>
              <w:rPr>
                <w:rFonts w:hint="eastAsia" w:ascii="宋体" w:hAnsi="宋体" w:eastAsia="宋体" w:cs="宋体"/>
                <w:kern w:val="0"/>
                <w:szCs w:val="21"/>
              </w:rPr>
              <w:t>5G专网</w:t>
            </w:r>
          </w:p>
        </w:tc>
        <w:tc>
          <w:tcPr>
            <w:tcW w:w="875" w:type="pct"/>
            <w:tcBorders>
              <w:tl2br w:val="nil"/>
              <w:tr2bl w:val="nil"/>
            </w:tcBorders>
            <w:shd w:val="clear" w:color="000000" w:fill="FFFFFF"/>
            <w:noWrap/>
            <w:vAlign w:val="center"/>
          </w:tcPr>
          <w:p w14:paraId="05CFCF4F">
            <w:pPr>
              <w:widowControl/>
              <w:jc w:val="center"/>
              <w:rPr>
                <w:rFonts w:hint="eastAsia" w:ascii="宋体" w:hAnsi="宋体" w:eastAsia="宋体" w:cs="宋体"/>
                <w:kern w:val="0"/>
                <w:szCs w:val="21"/>
              </w:rPr>
            </w:pPr>
            <w:r>
              <w:rPr>
                <w:rFonts w:hint="eastAsia" w:ascii="宋体" w:hAnsi="宋体" w:eastAsia="宋体" w:cs="宋体"/>
                <w:kern w:val="0"/>
                <w:szCs w:val="21"/>
              </w:rPr>
              <w:t>建设中</w:t>
            </w:r>
          </w:p>
        </w:tc>
      </w:tr>
      <w:tr w14:paraId="6BF01A2B">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11" w:type="pct"/>
            <w:tcBorders>
              <w:tl2br w:val="nil"/>
              <w:tr2bl w:val="nil"/>
            </w:tcBorders>
            <w:shd w:val="clear" w:color="000000" w:fill="FFFFFF"/>
            <w:noWrap/>
            <w:vAlign w:val="center"/>
          </w:tcPr>
          <w:p w14:paraId="037384AA">
            <w:pPr>
              <w:widowControl/>
              <w:jc w:val="center"/>
              <w:rPr>
                <w:rFonts w:hint="eastAsia" w:ascii="宋体" w:hAnsi="宋体" w:eastAsia="宋体" w:cs="宋体"/>
                <w:kern w:val="0"/>
                <w:szCs w:val="21"/>
              </w:rPr>
            </w:pPr>
            <w:r>
              <w:rPr>
                <w:rFonts w:hint="eastAsia" w:ascii="宋体" w:hAnsi="宋体" w:eastAsia="宋体" w:cs="宋体"/>
                <w:kern w:val="0"/>
                <w:szCs w:val="21"/>
              </w:rPr>
              <w:t>6</w:t>
            </w:r>
          </w:p>
        </w:tc>
        <w:tc>
          <w:tcPr>
            <w:tcW w:w="387" w:type="pct"/>
            <w:vMerge w:val="continue"/>
            <w:tcBorders>
              <w:tl2br w:val="nil"/>
              <w:tr2bl w:val="nil"/>
            </w:tcBorders>
            <w:vAlign w:val="center"/>
          </w:tcPr>
          <w:p w14:paraId="01B5140D">
            <w:pPr>
              <w:widowControl/>
              <w:jc w:val="left"/>
              <w:rPr>
                <w:rFonts w:hint="eastAsia" w:ascii="宋体" w:hAnsi="宋体" w:eastAsia="宋体" w:cs="宋体"/>
                <w:kern w:val="0"/>
                <w:szCs w:val="21"/>
              </w:rPr>
            </w:pPr>
          </w:p>
        </w:tc>
        <w:tc>
          <w:tcPr>
            <w:tcW w:w="569" w:type="pct"/>
            <w:tcBorders>
              <w:tl2br w:val="nil"/>
              <w:tr2bl w:val="nil"/>
            </w:tcBorders>
            <w:shd w:val="clear" w:color="000000" w:fill="FFFFFF"/>
            <w:noWrap/>
            <w:vAlign w:val="center"/>
          </w:tcPr>
          <w:p w14:paraId="1ACEE33C">
            <w:pPr>
              <w:widowControl/>
              <w:jc w:val="center"/>
              <w:rPr>
                <w:rFonts w:hint="eastAsia" w:ascii="宋体" w:hAnsi="宋体" w:eastAsia="宋体" w:cs="宋体"/>
                <w:kern w:val="0"/>
                <w:szCs w:val="21"/>
              </w:rPr>
            </w:pPr>
            <w:r>
              <w:rPr>
                <w:rFonts w:hint="eastAsia" w:ascii="宋体" w:hAnsi="宋体" w:eastAsia="宋体" w:cs="宋体"/>
                <w:kern w:val="0"/>
                <w:szCs w:val="21"/>
              </w:rPr>
              <w:t>省立医院</w:t>
            </w:r>
          </w:p>
        </w:tc>
        <w:tc>
          <w:tcPr>
            <w:tcW w:w="652" w:type="pct"/>
            <w:tcBorders>
              <w:tl2br w:val="nil"/>
              <w:tr2bl w:val="nil"/>
            </w:tcBorders>
            <w:shd w:val="clear" w:color="000000" w:fill="FFFFFF"/>
            <w:vAlign w:val="center"/>
          </w:tcPr>
          <w:p w14:paraId="0DF0243B">
            <w:pPr>
              <w:widowControl/>
              <w:jc w:val="left"/>
              <w:rPr>
                <w:rFonts w:hint="eastAsia" w:ascii="宋体" w:hAnsi="宋体" w:eastAsia="宋体" w:cs="宋体"/>
                <w:kern w:val="0"/>
                <w:szCs w:val="21"/>
              </w:rPr>
            </w:pPr>
            <w:r>
              <w:rPr>
                <w:rFonts w:hint="eastAsia" w:ascii="宋体" w:hAnsi="宋体" w:eastAsia="宋体" w:cs="宋体"/>
                <w:kern w:val="0"/>
                <w:szCs w:val="21"/>
              </w:rPr>
              <w:t>省立医院监控系统（急诊）</w:t>
            </w:r>
          </w:p>
        </w:tc>
        <w:tc>
          <w:tcPr>
            <w:tcW w:w="830" w:type="pct"/>
            <w:tcBorders>
              <w:tl2br w:val="nil"/>
              <w:tr2bl w:val="nil"/>
            </w:tcBorders>
            <w:shd w:val="clear" w:color="000000" w:fill="FFFFFF"/>
            <w:vAlign w:val="center"/>
          </w:tcPr>
          <w:p w14:paraId="50AAB516">
            <w:pPr>
              <w:widowControl/>
              <w:jc w:val="center"/>
              <w:rPr>
                <w:rFonts w:hint="eastAsia" w:ascii="宋体" w:hAnsi="宋体" w:eastAsia="宋体" w:cs="宋体"/>
                <w:kern w:val="0"/>
                <w:szCs w:val="21"/>
              </w:rPr>
            </w:pPr>
            <w:r>
              <w:rPr>
                <w:rFonts w:hint="eastAsia" w:ascii="宋体" w:hAnsi="宋体" w:eastAsia="宋体" w:cs="宋体"/>
                <w:kern w:val="0"/>
                <w:szCs w:val="21"/>
              </w:rPr>
              <w:t>调看急诊大厅接诊情况，特别是批量伤员收治时。</w:t>
            </w:r>
          </w:p>
        </w:tc>
        <w:tc>
          <w:tcPr>
            <w:tcW w:w="1273" w:type="pct"/>
            <w:tcBorders>
              <w:tl2br w:val="nil"/>
              <w:tr2bl w:val="nil"/>
            </w:tcBorders>
            <w:shd w:val="clear" w:color="000000" w:fill="FFFFFF"/>
            <w:noWrap/>
            <w:vAlign w:val="center"/>
          </w:tcPr>
          <w:p w14:paraId="3FF1FC09">
            <w:pPr>
              <w:widowControl/>
              <w:jc w:val="left"/>
              <w:rPr>
                <w:rFonts w:hint="eastAsia" w:ascii="宋体" w:hAnsi="宋体" w:eastAsia="宋体" w:cs="宋体"/>
                <w:kern w:val="0"/>
                <w:szCs w:val="21"/>
              </w:rPr>
            </w:pPr>
            <w:r>
              <w:rPr>
                <w:rFonts w:hint="eastAsia" w:ascii="宋体" w:hAnsi="宋体" w:eastAsia="宋体" w:cs="宋体"/>
                <w:kern w:val="0"/>
                <w:szCs w:val="21"/>
              </w:rPr>
              <w:t>院内网</w:t>
            </w:r>
          </w:p>
        </w:tc>
        <w:tc>
          <w:tcPr>
            <w:tcW w:w="875" w:type="pct"/>
            <w:tcBorders>
              <w:tl2br w:val="nil"/>
              <w:tr2bl w:val="nil"/>
            </w:tcBorders>
            <w:shd w:val="clear" w:color="000000" w:fill="FFFFFF"/>
            <w:noWrap/>
            <w:vAlign w:val="center"/>
          </w:tcPr>
          <w:p w14:paraId="415EC674">
            <w:pPr>
              <w:widowControl/>
              <w:jc w:val="center"/>
              <w:rPr>
                <w:rFonts w:hint="eastAsia" w:ascii="宋体" w:hAnsi="宋体" w:eastAsia="宋体" w:cs="宋体"/>
                <w:kern w:val="0"/>
                <w:szCs w:val="21"/>
              </w:rPr>
            </w:pPr>
            <w:r>
              <w:rPr>
                <w:rFonts w:hint="eastAsia" w:ascii="宋体" w:hAnsi="宋体" w:eastAsia="宋体" w:cs="宋体"/>
                <w:kern w:val="0"/>
                <w:szCs w:val="21"/>
              </w:rPr>
              <w:t>已建设</w:t>
            </w:r>
          </w:p>
        </w:tc>
      </w:tr>
      <w:tr w14:paraId="1FAD8F00">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11" w:type="pct"/>
            <w:tcBorders>
              <w:tl2br w:val="nil"/>
              <w:tr2bl w:val="nil"/>
            </w:tcBorders>
            <w:shd w:val="clear" w:color="000000" w:fill="FFFFFF"/>
            <w:noWrap/>
            <w:vAlign w:val="center"/>
          </w:tcPr>
          <w:p w14:paraId="7528CF24">
            <w:pPr>
              <w:widowControl/>
              <w:jc w:val="center"/>
              <w:rPr>
                <w:rFonts w:hint="eastAsia" w:ascii="宋体" w:hAnsi="宋体" w:eastAsia="宋体" w:cs="宋体"/>
                <w:kern w:val="0"/>
                <w:szCs w:val="21"/>
              </w:rPr>
            </w:pPr>
            <w:r>
              <w:rPr>
                <w:rFonts w:hint="eastAsia" w:ascii="宋体" w:hAnsi="宋体" w:eastAsia="宋体" w:cs="宋体"/>
                <w:kern w:val="0"/>
                <w:szCs w:val="21"/>
              </w:rPr>
              <w:t>7</w:t>
            </w:r>
          </w:p>
        </w:tc>
        <w:tc>
          <w:tcPr>
            <w:tcW w:w="387" w:type="pct"/>
            <w:vMerge w:val="continue"/>
            <w:tcBorders>
              <w:tl2br w:val="nil"/>
              <w:tr2bl w:val="nil"/>
            </w:tcBorders>
            <w:vAlign w:val="center"/>
          </w:tcPr>
          <w:p w14:paraId="399F8B18">
            <w:pPr>
              <w:widowControl/>
              <w:jc w:val="left"/>
              <w:rPr>
                <w:rFonts w:hint="eastAsia" w:ascii="宋体" w:hAnsi="宋体" w:eastAsia="宋体" w:cs="宋体"/>
                <w:kern w:val="0"/>
                <w:szCs w:val="21"/>
              </w:rPr>
            </w:pPr>
          </w:p>
        </w:tc>
        <w:tc>
          <w:tcPr>
            <w:tcW w:w="569" w:type="pct"/>
            <w:tcBorders>
              <w:tl2br w:val="nil"/>
              <w:tr2bl w:val="nil"/>
            </w:tcBorders>
            <w:shd w:val="clear" w:color="000000" w:fill="FFFFFF"/>
            <w:noWrap/>
            <w:vAlign w:val="center"/>
          </w:tcPr>
          <w:p w14:paraId="38A7EAAA">
            <w:pPr>
              <w:widowControl/>
              <w:jc w:val="center"/>
              <w:rPr>
                <w:rFonts w:hint="eastAsia" w:ascii="宋体" w:hAnsi="宋体" w:eastAsia="宋体" w:cs="宋体"/>
                <w:kern w:val="0"/>
                <w:szCs w:val="21"/>
              </w:rPr>
            </w:pPr>
            <w:r>
              <w:rPr>
                <w:rFonts w:hint="eastAsia" w:ascii="宋体" w:hAnsi="宋体" w:eastAsia="宋体" w:cs="宋体"/>
                <w:kern w:val="0"/>
                <w:szCs w:val="21"/>
              </w:rPr>
              <w:t>省立医院</w:t>
            </w:r>
          </w:p>
        </w:tc>
        <w:tc>
          <w:tcPr>
            <w:tcW w:w="652" w:type="pct"/>
            <w:tcBorders>
              <w:tl2br w:val="nil"/>
              <w:tr2bl w:val="nil"/>
            </w:tcBorders>
            <w:shd w:val="clear" w:color="000000" w:fill="FFFFFF"/>
            <w:vAlign w:val="center"/>
          </w:tcPr>
          <w:p w14:paraId="1CE25886">
            <w:pPr>
              <w:widowControl/>
              <w:jc w:val="left"/>
              <w:rPr>
                <w:rFonts w:hint="eastAsia" w:ascii="宋体" w:hAnsi="宋体" w:eastAsia="宋体" w:cs="宋体"/>
                <w:kern w:val="0"/>
                <w:szCs w:val="21"/>
              </w:rPr>
            </w:pPr>
            <w:r>
              <w:rPr>
                <w:rFonts w:hint="eastAsia" w:ascii="宋体" w:hAnsi="宋体" w:eastAsia="宋体" w:cs="宋体"/>
                <w:kern w:val="0"/>
                <w:szCs w:val="21"/>
              </w:rPr>
              <w:t>物资仓库监控</w:t>
            </w:r>
          </w:p>
        </w:tc>
        <w:tc>
          <w:tcPr>
            <w:tcW w:w="830" w:type="pct"/>
            <w:tcBorders>
              <w:tl2br w:val="nil"/>
              <w:tr2bl w:val="nil"/>
            </w:tcBorders>
            <w:shd w:val="clear" w:color="000000" w:fill="FFFFFF"/>
            <w:vAlign w:val="center"/>
          </w:tcPr>
          <w:p w14:paraId="326ABB36">
            <w:pPr>
              <w:widowControl/>
              <w:jc w:val="center"/>
              <w:rPr>
                <w:rFonts w:hint="eastAsia" w:ascii="宋体" w:hAnsi="宋体" w:eastAsia="宋体" w:cs="宋体"/>
                <w:kern w:val="0"/>
                <w:szCs w:val="21"/>
              </w:rPr>
            </w:pPr>
            <w:r>
              <w:rPr>
                <w:rFonts w:hint="eastAsia" w:ascii="宋体" w:hAnsi="宋体" w:eastAsia="宋体" w:cs="宋体"/>
                <w:kern w:val="0"/>
                <w:szCs w:val="21"/>
              </w:rPr>
              <w:t>查看国家基地物资仓库实况</w:t>
            </w:r>
          </w:p>
        </w:tc>
        <w:tc>
          <w:tcPr>
            <w:tcW w:w="1273" w:type="pct"/>
            <w:tcBorders>
              <w:tl2br w:val="nil"/>
              <w:tr2bl w:val="nil"/>
            </w:tcBorders>
            <w:shd w:val="clear" w:color="000000" w:fill="FFFFFF"/>
            <w:noWrap/>
            <w:vAlign w:val="center"/>
          </w:tcPr>
          <w:p w14:paraId="439CD8BD">
            <w:pPr>
              <w:widowControl/>
              <w:jc w:val="left"/>
              <w:rPr>
                <w:rFonts w:hint="eastAsia" w:ascii="宋体" w:hAnsi="宋体" w:eastAsia="宋体" w:cs="宋体"/>
                <w:kern w:val="0"/>
                <w:szCs w:val="21"/>
              </w:rPr>
            </w:pPr>
            <w:r>
              <w:rPr>
                <w:rFonts w:hint="eastAsia" w:ascii="宋体" w:hAnsi="宋体" w:eastAsia="宋体" w:cs="宋体"/>
                <w:kern w:val="0"/>
                <w:szCs w:val="21"/>
              </w:rPr>
              <w:t>院内网</w:t>
            </w:r>
          </w:p>
        </w:tc>
        <w:tc>
          <w:tcPr>
            <w:tcW w:w="875" w:type="pct"/>
            <w:tcBorders>
              <w:tl2br w:val="nil"/>
              <w:tr2bl w:val="nil"/>
            </w:tcBorders>
            <w:shd w:val="clear" w:color="000000" w:fill="FFFFFF"/>
            <w:noWrap/>
            <w:vAlign w:val="center"/>
          </w:tcPr>
          <w:p w14:paraId="7333A77E">
            <w:pPr>
              <w:widowControl/>
              <w:jc w:val="center"/>
              <w:rPr>
                <w:rFonts w:hint="eastAsia" w:ascii="宋体" w:hAnsi="宋体" w:eastAsia="宋体" w:cs="宋体"/>
                <w:kern w:val="0"/>
                <w:szCs w:val="21"/>
              </w:rPr>
            </w:pPr>
            <w:r>
              <w:rPr>
                <w:rFonts w:hint="eastAsia" w:ascii="宋体" w:hAnsi="宋体" w:eastAsia="宋体" w:cs="宋体"/>
                <w:kern w:val="0"/>
                <w:szCs w:val="21"/>
              </w:rPr>
              <w:t>本项目新建</w:t>
            </w:r>
          </w:p>
        </w:tc>
      </w:tr>
      <w:tr w14:paraId="39F8F40A">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11" w:type="pct"/>
            <w:tcBorders>
              <w:tl2br w:val="nil"/>
              <w:tr2bl w:val="nil"/>
            </w:tcBorders>
            <w:shd w:val="clear" w:color="000000" w:fill="FFFFFF"/>
            <w:noWrap/>
            <w:vAlign w:val="center"/>
          </w:tcPr>
          <w:p w14:paraId="6053C126">
            <w:pPr>
              <w:widowControl/>
              <w:jc w:val="center"/>
              <w:rPr>
                <w:rFonts w:hint="eastAsia" w:ascii="宋体" w:hAnsi="宋体" w:eastAsia="宋体" w:cs="宋体"/>
                <w:kern w:val="0"/>
                <w:szCs w:val="21"/>
              </w:rPr>
            </w:pPr>
            <w:r>
              <w:rPr>
                <w:rFonts w:hint="eastAsia" w:ascii="宋体" w:hAnsi="宋体" w:eastAsia="宋体" w:cs="宋体"/>
                <w:kern w:val="0"/>
                <w:szCs w:val="21"/>
              </w:rPr>
              <w:t>8</w:t>
            </w:r>
          </w:p>
        </w:tc>
        <w:tc>
          <w:tcPr>
            <w:tcW w:w="387" w:type="pct"/>
            <w:vMerge w:val="continue"/>
            <w:tcBorders>
              <w:tl2br w:val="nil"/>
              <w:tr2bl w:val="nil"/>
            </w:tcBorders>
            <w:vAlign w:val="center"/>
          </w:tcPr>
          <w:p w14:paraId="0825B9F5">
            <w:pPr>
              <w:widowControl/>
              <w:jc w:val="left"/>
              <w:rPr>
                <w:rFonts w:hint="eastAsia" w:ascii="宋体" w:hAnsi="宋体" w:eastAsia="宋体" w:cs="宋体"/>
                <w:kern w:val="0"/>
                <w:szCs w:val="21"/>
              </w:rPr>
            </w:pPr>
          </w:p>
        </w:tc>
        <w:tc>
          <w:tcPr>
            <w:tcW w:w="569" w:type="pct"/>
            <w:tcBorders>
              <w:tl2br w:val="nil"/>
              <w:tr2bl w:val="nil"/>
            </w:tcBorders>
            <w:shd w:val="clear" w:color="000000" w:fill="FFFFFF"/>
            <w:noWrap/>
            <w:vAlign w:val="center"/>
          </w:tcPr>
          <w:p w14:paraId="2A5B95BE">
            <w:pPr>
              <w:widowControl/>
              <w:jc w:val="center"/>
              <w:rPr>
                <w:rFonts w:hint="eastAsia" w:ascii="宋体" w:hAnsi="宋体" w:eastAsia="宋体" w:cs="宋体"/>
                <w:kern w:val="0"/>
                <w:szCs w:val="21"/>
              </w:rPr>
            </w:pPr>
            <w:r>
              <w:rPr>
                <w:rFonts w:hint="eastAsia" w:ascii="宋体" w:hAnsi="宋体" w:eastAsia="宋体" w:cs="宋体"/>
                <w:kern w:val="0"/>
                <w:szCs w:val="21"/>
              </w:rPr>
              <w:t>省立医院</w:t>
            </w:r>
          </w:p>
        </w:tc>
        <w:tc>
          <w:tcPr>
            <w:tcW w:w="652" w:type="pct"/>
            <w:tcBorders>
              <w:tl2br w:val="nil"/>
              <w:tr2bl w:val="nil"/>
            </w:tcBorders>
            <w:shd w:val="clear" w:color="000000" w:fill="FFFFFF"/>
            <w:vAlign w:val="center"/>
          </w:tcPr>
          <w:p w14:paraId="168C542C">
            <w:pPr>
              <w:widowControl/>
              <w:jc w:val="left"/>
              <w:rPr>
                <w:rFonts w:hint="eastAsia" w:ascii="宋体" w:hAnsi="宋体" w:eastAsia="宋体" w:cs="宋体"/>
                <w:kern w:val="0"/>
                <w:szCs w:val="21"/>
              </w:rPr>
            </w:pPr>
            <w:r>
              <w:rPr>
                <w:rFonts w:hint="eastAsia" w:ascii="宋体" w:hAnsi="宋体" w:eastAsia="宋体" w:cs="宋体"/>
                <w:kern w:val="0"/>
                <w:szCs w:val="21"/>
              </w:rPr>
              <w:t>国家队车载视频监控</w:t>
            </w:r>
          </w:p>
        </w:tc>
        <w:tc>
          <w:tcPr>
            <w:tcW w:w="830" w:type="pct"/>
            <w:tcBorders>
              <w:tl2br w:val="nil"/>
              <w:tr2bl w:val="nil"/>
            </w:tcBorders>
            <w:shd w:val="clear" w:color="000000" w:fill="FFFFFF"/>
            <w:vAlign w:val="center"/>
          </w:tcPr>
          <w:p w14:paraId="2085CDAA">
            <w:pPr>
              <w:widowControl/>
              <w:jc w:val="center"/>
              <w:rPr>
                <w:rFonts w:hint="eastAsia" w:ascii="宋体" w:hAnsi="宋体" w:eastAsia="宋体" w:cs="宋体"/>
                <w:kern w:val="0"/>
                <w:szCs w:val="21"/>
              </w:rPr>
            </w:pPr>
            <w:r>
              <w:rPr>
                <w:rFonts w:hint="eastAsia" w:ascii="宋体" w:hAnsi="宋体" w:eastAsia="宋体" w:cs="宋体"/>
                <w:kern w:val="0"/>
                <w:szCs w:val="21"/>
              </w:rPr>
              <w:t>调看指挥车内情况，在视频会议可接入摄像头。</w:t>
            </w:r>
          </w:p>
        </w:tc>
        <w:tc>
          <w:tcPr>
            <w:tcW w:w="1273" w:type="pct"/>
            <w:tcBorders>
              <w:tl2br w:val="nil"/>
              <w:tr2bl w:val="nil"/>
            </w:tcBorders>
            <w:shd w:val="clear" w:color="000000" w:fill="FFFFFF"/>
            <w:vAlign w:val="center"/>
          </w:tcPr>
          <w:p w14:paraId="482FB6A5">
            <w:pPr>
              <w:widowControl/>
              <w:jc w:val="left"/>
              <w:rPr>
                <w:rFonts w:hint="eastAsia" w:ascii="宋体" w:hAnsi="宋体" w:eastAsia="宋体" w:cs="宋体"/>
                <w:kern w:val="0"/>
                <w:szCs w:val="21"/>
              </w:rPr>
            </w:pPr>
            <w:r>
              <w:rPr>
                <w:rFonts w:hint="eastAsia" w:ascii="宋体" w:hAnsi="宋体" w:eastAsia="宋体" w:cs="宋体"/>
                <w:kern w:val="0"/>
                <w:szCs w:val="21"/>
              </w:rPr>
              <w:t>指挥车独立部署</w:t>
            </w:r>
          </w:p>
        </w:tc>
        <w:tc>
          <w:tcPr>
            <w:tcW w:w="875" w:type="pct"/>
            <w:tcBorders>
              <w:tl2br w:val="nil"/>
              <w:tr2bl w:val="nil"/>
            </w:tcBorders>
            <w:shd w:val="clear" w:color="000000" w:fill="FFFFFF"/>
            <w:vAlign w:val="center"/>
          </w:tcPr>
          <w:p w14:paraId="697EA125">
            <w:pPr>
              <w:widowControl/>
              <w:jc w:val="center"/>
              <w:rPr>
                <w:rFonts w:hint="eastAsia" w:ascii="宋体" w:hAnsi="宋体" w:eastAsia="宋体" w:cs="宋体"/>
                <w:kern w:val="0"/>
                <w:szCs w:val="21"/>
              </w:rPr>
            </w:pPr>
            <w:r>
              <w:rPr>
                <w:rFonts w:hint="eastAsia" w:ascii="宋体" w:hAnsi="宋体" w:eastAsia="宋体" w:cs="宋体"/>
                <w:kern w:val="0"/>
                <w:szCs w:val="21"/>
              </w:rPr>
              <w:t>已建设，指挥车内监控：高清室内摄像机1台、高清防护罩摄像机1台、网络高清硬盘刻录机一台</w:t>
            </w:r>
            <w:r>
              <w:rPr>
                <w:rFonts w:hint="eastAsia" w:ascii="宋体" w:hAnsi="宋体" w:eastAsia="宋体" w:cs="宋体"/>
                <w:kern w:val="0"/>
                <w:szCs w:val="21"/>
              </w:rPr>
              <w:br w:type="textWrapping"/>
            </w:r>
            <w:r>
              <w:rPr>
                <w:rFonts w:hint="eastAsia" w:ascii="宋体" w:hAnsi="宋体" w:eastAsia="宋体" w:cs="宋体"/>
                <w:kern w:val="0"/>
                <w:szCs w:val="21"/>
              </w:rPr>
              <w:t>预留扩展：其他特种车辆车内视频接入，如手术车。</w:t>
            </w:r>
          </w:p>
        </w:tc>
      </w:tr>
      <w:tr w14:paraId="5A276929">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11" w:type="pct"/>
            <w:tcBorders>
              <w:tl2br w:val="nil"/>
              <w:tr2bl w:val="nil"/>
            </w:tcBorders>
            <w:shd w:val="clear" w:color="000000" w:fill="FFFFFF"/>
            <w:noWrap/>
            <w:vAlign w:val="center"/>
          </w:tcPr>
          <w:p w14:paraId="1EB6F72E">
            <w:pPr>
              <w:widowControl/>
              <w:jc w:val="center"/>
              <w:rPr>
                <w:rFonts w:hint="eastAsia" w:ascii="宋体" w:hAnsi="宋体" w:eastAsia="宋体" w:cs="宋体"/>
                <w:kern w:val="0"/>
                <w:szCs w:val="21"/>
              </w:rPr>
            </w:pPr>
            <w:r>
              <w:rPr>
                <w:rFonts w:hint="eastAsia" w:ascii="宋体" w:hAnsi="宋体" w:eastAsia="宋体" w:cs="宋体"/>
                <w:kern w:val="0"/>
                <w:szCs w:val="21"/>
              </w:rPr>
              <w:t>9</w:t>
            </w:r>
          </w:p>
        </w:tc>
        <w:tc>
          <w:tcPr>
            <w:tcW w:w="387" w:type="pct"/>
            <w:vMerge w:val="continue"/>
            <w:tcBorders>
              <w:tl2br w:val="nil"/>
              <w:tr2bl w:val="nil"/>
            </w:tcBorders>
            <w:vAlign w:val="center"/>
          </w:tcPr>
          <w:p w14:paraId="6C35677D">
            <w:pPr>
              <w:widowControl/>
              <w:jc w:val="left"/>
              <w:rPr>
                <w:rFonts w:hint="eastAsia" w:ascii="宋体" w:hAnsi="宋体" w:eastAsia="宋体" w:cs="宋体"/>
                <w:kern w:val="0"/>
                <w:szCs w:val="21"/>
              </w:rPr>
            </w:pPr>
          </w:p>
        </w:tc>
        <w:tc>
          <w:tcPr>
            <w:tcW w:w="569" w:type="pct"/>
            <w:tcBorders>
              <w:tl2br w:val="nil"/>
              <w:tr2bl w:val="nil"/>
            </w:tcBorders>
            <w:shd w:val="clear" w:color="000000" w:fill="FFFFFF"/>
            <w:noWrap/>
            <w:vAlign w:val="center"/>
          </w:tcPr>
          <w:p w14:paraId="57D02710">
            <w:pPr>
              <w:widowControl/>
              <w:jc w:val="center"/>
              <w:rPr>
                <w:rFonts w:hint="eastAsia" w:ascii="宋体" w:hAnsi="宋体" w:eastAsia="宋体" w:cs="宋体"/>
                <w:kern w:val="0"/>
                <w:szCs w:val="21"/>
              </w:rPr>
            </w:pPr>
            <w:r>
              <w:rPr>
                <w:rFonts w:hint="eastAsia" w:ascii="宋体" w:hAnsi="宋体" w:eastAsia="宋体" w:cs="宋体"/>
                <w:kern w:val="0"/>
                <w:szCs w:val="21"/>
              </w:rPr>
              <w:t>省立医院</w:t>
            </w:r>
          </w:p>
        </w:tc>
        <w:tc>
          <w:tcPr>
            <w:tcW w:w="652" w:type="pct"/>
            <w:tcBorders>
              <w:tl2br w:val="nil"/>
              <w:tr2bl w:val="nil"/>
            </w:tcBorders>
            <w:shd w:val="clear" w:color="000000" w:fill="FFFFFF"/>
            <w:vAlign w:val="center"/>
          </w:tcPr>
          <w:p w14:paraId="67776601">
            <w:pPr>
              <w:widowControl/>
              <w:jc w:val="left"/>
              <w:rPr>
                <w:rFonts w:hint="eastAsia" w:ascii="宋体" w:hAnsi="宋体" w:eastAsia="宋体" w:cs="宋体"/>
                <w:kern w:val="0"/>
                <w:szCs w:val="21"/>
              </w:rPr>
            </w:pPr>
            <w:r>
              <w:rPr>
                <w:rFonts w:hint="eastAsia" w:ascii="宋体" w:hAnsi="宋体" w:eastAsia="宋体" w:cs="宋体"/>
                <w:kern w:val="0"/>
                <w:szCs w:val="21"/>
              </w:rPr>
              <w:t>20家县级医院急诊视频监控系统</w:t>
            </w:r>
          </w:p>
        </w:tc>
        <w:tc>
          <w:tcPr>
            <w:tcW w:w="830" w:type="pct"/>
            <w:tcBorders>
              <w:tl2br w:val="nil"/>
              <w:tr2bl w:val="nil"/>
            </w:tcBorders>
            <w:shd w:val="clear" w:color="000000" w:fill="FFFFFF"/>
            <w:vAlign w:val="center"/>
          </w:tcPr>
          <w:p w14:paraId="6A91225B">
            <w:pPr>
              <w:widowControl/>
              <w:jc w:val="center"/>
              <w:rPr>
                <w:rFonts w:hint="eastAsia" w:ascii="宋体" w:hAnsi="宋体" w:eastAsia="宋体" w:cs="宋体"/>
                <w:kern w:val="0"/>
                <w:szCs w:val="21"/>
              </w:rPr>
            </w:pPr>
            <w:r>
              <w:rPr>
                <w:rFonts w:hint="eastAsia" w:ascii="宋体" w:hAnsi="宋体" w:eastAsia="宋体" w:cs="宋体"/>
                <w:kern w:val="0"/>
                <w:szCs w:val="21"/>
              </w:rPr>
              <w:t>20家急诊能力提升县级医院的急诊视频监控接入</w:t>
            </w:r>
          </w:p>
        </w:tc>
        <w:tc>
          <w:tcPr>
            <w:tcW w:w="1273" w:type="pct"/>
            <w:tcBorders>
              <w:tl2br w:val="nil"/>
              <w:tr2bl w:val="nil"/>
            </w:tcBorders>
            <w:shd w:val="clear" w:color="000000" w:fill="FFFFFF"/>
            <w:vAlign w:val="center"/>
          </w:tcPr>
          <w:p w14:paraId="5CDFEFC6">
            <w:pPr>
              <w:widowControl/>
              <w:jc w:val="left"/>
              <w:rPr>
                <w:rFonts w:hint="eastAsia" w:ascii="宋体" w:hAnsi="宋体" w:eastAsia="宋体" w:cs="宋体"/>
                <w:kern w:val="0"/>
                <w:szCs w:val="21"/>
              </w:rPr>
            </w:pPr>
            <w:r>
              <w:rPr>
                <w:rFonts w:hint="eastAsia" w:ascii="宋体" w:hAnsi="宋体" w:eastAsia="宋体" w:cs="宋体"/>
                <w:kern w:val="0"/>
                <w:szCs w:val="21"/>
              </w:rPr>
              <w:t>5G专网</w:t>
            </w:r>
          </w:p>
        </w:tc>
        <w:tc>
          <w:tcPr>
            <w:tcW w:w="875" w:type="pct"/>
            <w:tcBorders>
              <w:tl2br w:val="nil"/>
              <w:tr2bl w:val="nil"/>
            </w:tcBorders>
            <w:shd w:val="clear" w:color="000000" w:fill="FFFFFF"/>
            <w:vAlign w:val="center"/>
          </w:tcPr>
          <w:p w14:paraId="15FE5C4B">
            <w:pPr>
              <w:widowControl/>
              <w:jc w:val="center"/>
              <w:rPr>
                <w:rFonts w:hint="eastAsia" w:ascii="宋体" w:hAnsi="宋体" w:eastAsia="宋体" w:cs="宋体"/>
                <w:kern w:val="0"/>
                <w:szCs w:val="21"/>
              </w:rPr>
            </w:pPr>
            <w:r>
              <w:rPr>
                <w:rFonts w:hint="eastAsia" w:ascii="宋体" w:hAnsi="宋体" w:eastAsia="宋体" w:cs="宋体"/>
                <w:kern w:val="0"/>
                <w:szCs w:val="21"/>
              </w:rPr>
              <w:t>本项目新建</w:t>
            </w:r>
          </w:p>
        </w:tc>
      </w:tr>
      <w:tr w14:paraId="53D7DDF3">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11" w:type="pct"/>
            <w:tcBorders>
              <w:tl2br w:val="nil"/>
              <w:tr2bl w:val="nil"/>
            </w:tcBorders>
            <w:shd w:val="clear" w:color="000000" w:fill="FFFFFF"/>
            <w:noWrap/>
            <w:vAlign w:val="center"/>
          </w:tcPr>
          <w:p w14:paraId="34FA2169">
            <w:pPr>
              <w:widowControl/>
              <w:jc w:val="center"/>
              <w:rPr>
                <w:rFonts w:hint="eastAsia" w:ascii="宋体" w:hAnsi="宋体" w:eastAsia="宋体" w:cs="宋体"/>
                <w:kern w:val="0"/>
                <w:szCs w:val="21"/>
              </w:rPr>
            </w:pPr>
            <w:r>
              <w:rPr>
                <w:rFonts w:hint="eastAsia" w:ascii="宋体" w:hAnsi="宋体" w:eastAsia="宋体" w:cs="宋体"/>
                <w:kern w:val="0"/>
                <w:szCs w:val="21"/>
              </w:rPr>
              <w:t>10</w:t>
            </w:r>
          </w:p>
        </w:tc>
        <w:tc>
          <w:tcPr>
            <w:tcW w:w="387" w:type="pct"/>
            <w:vMerge w:val="continue"/>
            <w:tcBorders>
              <w:tl2br w:val="nil"/>
              <w:tr2bl w:val="nil"/>
            </w:tcBorders>
            <w:vAlign w:val="center"/>
          </w:tcPr>
          <w:p w14:paraId="7AE098F9">
            <w:pPr>
              <w:widowControl/>
              <w:jc w:val="left"/>
              <w:rPr>
                <w:rFonts w:hint="eastAsia" w:ascii="宋体" w:hAnsi="宋体" w:eastAsia="宋体" w:cs="宋体"/>
                <w:kern w:val="0"/>
                <w:szCs w:val="21"/>
              </w:rPr>
            </w:pPr>
          </w:p>
        </w:tc>
        <w:tc>
          <w:tcPr>
            <w:tcW w:w="569" w:type="pct"/>
            <w:tcBorders>
              <w:tl2br w:val="nil"/>
              <w:tr2bl w:val="nil"/>
            </w:tcBorders>
            <w:shd w:val="clear" w:color="000000" w:fill="FFFFFF"/>
            <w:vAlign w:val="center"/>
          </w:tcPr>
          <w:p w14:paraId="155994E0">
            <w:pPr>
              <w:widowControl/>
              <w:jc w:val="center"/>
              <w:rPr>
                <w:rFonts w:hint="eastAsia" w:ascii="宋体" w:hAnsi="宋体" w:eastAsia="宋体" w:cs="宋体"/>
                <w:kern w:val="0"/>
                <w:szCs w:val="21"/>
              </w:rPr>
            </w:pPr>
            <w:r>
              <w:rPr>
                <w:rFonts w:hint="eastAsia" w:ascii="宋体" w:hAnsi="宋体" w:eastAsia="宋体" w:cs="宋体"/>
                <w:kern w:val="0"/>
                <w:szCs w:val="21"/>
              </w:rPr>
              <w:t>应急、公安、交通</w:t>
            </w:r>
          </w:p>
        </w:tc>
        <w:tc>
          <w:tcPr>
            <w:tcW w:w="652" w:type="pct"/>
            <w:tcBorders>
              <w:tl2br w:val="nil"/>
              <w:tr2bl w:val="nil"/>
            </w:tcBorders>
            <w:shd w:val="clear" w:color="000000" w:fill="FFFFFF"/>
            <w:vAlign w:val="center"/>
          </w:tcPr>
          <w:p w14:paraId="28B11823">
            <w:pPr>
              <w:widowControl/>
              <w:jc w:val="left"/>
              <w:rPr>
                <w:rFonts w:hint="eastAsia" w:ascii="宋体" w:hAnsi="宋体" w:eastAsia="宋体" w:cs="宋体"/>
                <w:kern w:val="0"/>
                <w:szCs w:val="21"/>
              </w:rPr>
            </w:pPr>
            <w:r>
              <w:rPr>
                <w:rFonts w:hint="eastAsia" w:ascii="宋体" w:hAnsi="宋体" w:eastAsia="宋体" w:cs="宋体"/>
                <w:kern w:val="0"/>
                <w:szCs w:val="21"/>
              </w:rPr>
              <w:t>横向联动部门视频监控</w:t>
            </w:r>
          </w:p>
        </w:tc>
        <w:tc>
          <w:tcPr>
            <w:tcW w:w="830" w:type="pct"/>
            <w:tcBorders>
              <w:tl2br w:val="nil"/>
              <w:tr2bl w:val="nil"/>
            </w:tcBorders>
            <w:shd w:val="clear" w:color="000000" w:fill="FFFFFF"/>
            <w:vAlign w:val="center"/>
          </w:tcPr>
          <w:p w14:paraId="2CF7CA7C">
            <w:pPr>
              <w:widowControl/>
              <w:jc w:val="center"/>
              <w:rPr>
                <w:rFonts w:hint="eastAsia" w:ascii="宋体" w:hAnsi="宋体" w:eastAsia="宋体" w:cs="宋体"/>
                <w:kern w:val="0"/>
                <w:szCs w:val="21"/>
              </w:rPr>
            </w:pPr>
            <w:r>
              <w:rPr>
                <w:rFonts w:hint="eastAsia" w:ascii="宋体" w:hAnsi="宋体" w:eastAsia="宋体" w:cs="宋体"/>
                <w:kern w:val="0"/>
                <w:szCs w:val="21"/>
              </w:rPr>
              <w:t>重大突发事件或重大活动保障时期，接入应急、公安、交通相关视频，如公安城市道路监控视频等。</w:t>
            </w:r>
          </w:p>
        </w:tc>
        <w:tc>
          <w:tcPr>
            <w:tcW w:w="1273" w:type="pct"/>
            <w:tcBorders>
              <w:tl2br w:val="nil"/>
              <w:tr2bl w:val="nil"/>
            </w:tcBorders>
            <w:shd w:val="clear" w:color="000000" w:fill="FFFFFF"/>
            <w:vAlign w:val="center"/>
          </w:tcPr>
          <w:p w14:paraId="391FD3BC">
            <w:pPr>
              <w:widowControl/>
              <w:jc w:val="left"/>
              <w:rPr>
                <w:rFonts w:hint="eastAsia" w:ascii="宋体" w:hAnsi="宋体" w:eastAsia="宋体" w:cs="宋体"/>
                <w:kern w:val="0"/>
                <w:szCs w:val="21"/>
              </w:rPr>
            </w:pPr>
            <w:r>
              <w:rPr>
                <w:rFonts w:hint="eastAsia" w:ascii="宋体" w:hAnsi="宋体" w:eastAsia="宋体" w:cs="宋体"/>
                <w:kern w:val="0"/>
                <w:szCs w:val="21"/>
              </w:rPr>
              <w:t>通过接入专网视频平台接入</w:t>
            </w:r>
          </w:p>
        </w:tc>
        <w:tc>
          <w:tcPr>
            <w:tcW w:w="875" w:type="pct"/>
            <w:tcBorders>
              <w:tl2br w:val="nil"/>
              <w:tr2bl w:val="nil"/>
            </w:tcBorders>
            <w:shd w:val="clear" w:color="000000" w:fill="FFFFFF"/>
            <w:vAlign w:val="center"/>
          </w:tcPr>
          <w:p w14:paraId="150AA13A">
            <w:pPr>
              <w:widowControl/>
              <w:jc w:val="center"/>
              <w:rPr>
                <w:rFonts w:hint="eastAsia" w:ascii="宋体" w:hAnsi="宋体" w:eastAsia="宋体" w:cs="宋体"/>
                <w:kern w:val="0"/>
                <w:szCs w:val="21"/>
              </w:rPr>
            </w:pPr>
            <w:r>
              <w:rPr>
                <w:rFonts w:hint="eastAsia" w:ascii="宋体" w:hAnsi="宋体" w:eastAsia="宋体" w:cs="宋体"/>
                <w:kern w:val="0"/>
                <w:szCs w:val="21"/>
              </w:rPr>
              <w:t>预留扩展</w:t>
            </w:r>
          </w:p>
        </w:tc>
      </w:tr>
      <w:tr w14:paraId="1EAAF775">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11" w:type="pct"/>
            <w:tcBorders>
              <w:tl2br w:val="nil"/>
              <w:tr2bl w:val="nil"/>
            </w:tcBorders>
            <w:shd w:val="clear" w:color="000000" w:fill="FFFFFF"/>
            <w:noWrap/>
            <w:vAlign w:val="center"/>
          </w:tcPr>
          <w:p w14:paraId="1B6A8FBE">
            <w:pPr>
              <w:widowControl/>
              <w:jc w:val="center"/>
              <w:rPr>
                <w:rFonts w:hint="eastAsia" w:ascii="宋体" w:hAnsi="宋体" w:eastAsia="宋体" w:cs="宋体"/>
                <w:kern w:val="0"/>
                <w:szCs w:val="21"/>
              </w:rPr>
            </w:pPr>
            <w:r>
              <w:rPr>
                <w:rFonts w:hint="eastAsia" w:ascii="宋体" w:hAnsi="宋体" w:eastAsia="宋体" w:cs="宋体"/>
                <w:kern w:val="0"/>
                <w:szCs w:val="21"/>
              </w:rPr>
              <w:t>11</w:t>
            </w:r>
          </w:p>
        </w:tc>
        <w:tc>
          <w:tcPr>
            <w:tcW w:w="387" w:type="pct"/>
            <w:vMerge w:val="restart"/>
            <w:tcBorders>
              <w:tl2br w:val="nil"/>
              <w:tr2bl w:val="nil"/>
            </w:tcBorders>
            <w:shd w:val="clear" w:color="000000" w:fill="FFFFFF"/>
            <w:vAlign w:val="center"/>
          </w:tcPr>
          <w:p w14:paraId="6219250B">
            <w:pPr>
              <w:widowControl/>
              <w:jc w:val="center"/>
              <w:rPr>
                <w:rFonts w:hint="eastAsia" w:ascii="宋体" w:hAnsi="宋体" w:eastAsia="宋体" w:cs="宋体"/>
                <w:kern w:val="0"/>
                <w:szCs w:val="21"/>
              </w:rPr>
            </w:pPr>
            <w:r>
              <w:rPr>
                <w:rFonts w:hint="eastAsia" w:ascii="宋体" w:hAnsi="宋体" w:eastAsia="宋体" w:cs="宋体"/>
                <w:kern w:val="0"/>
                <w:szCs w:val="21"/>
              </w:rPr>
              <w:t>GIS定位设备</w:t>
            </w:r>
          </w:p>
        </w:tc>
        <w:tc>
          <w:tcPr>
            <w:tcW w:w="569" w:type="pct"/>
            <w:tcBorders>
              <w:tl2br w:val="nil"/>
              <w:tr2bl w:val="nil"/>
            </w:tcBorders>
            <w:shd w:val="clear" w:color="000000" w:fill="FFFFFF"/>
            <w:vAlign w:val="center"/>
          </w:tcPr>
          <w:p w14:paraId="79AEF999">
            <w:pPr>
              <w:widowControl/>
              <w:jc w:val="center"/>
              <w:rPr>
                <w:rFonts w:hint="eastAsia" w:ascii="宋体" w:hAnsi="宋体" w:eastAsia="宋体" w:cs="宋体"/>
                <w:kern w:val="0"/>
                <w:szCs w:val="21"/>
              </w:rPr>
            </w:pPr>
            <w:r>
              <w:rPr>
                <w:rFonts w:hint="eastAsia" w:ascii="宋体" w:hAnsi="宋体" w:eastAsia="宋体" w:cs="宋体"/>
                <w:kern w:val="0"/>
                <w:szCs w:val="21"/>
              </w:rPr>
              <w:t>省急救中心+9地市急救中心</w:t>
            </w:r>
          </w:p>
        </w:tc>
        <w:tc>
          <w:tcPr>
            <w:tcW w:w="652" w:type="pct"/>
            <w:tcBorders>
              <w:tl2br w:val="nil"/>
              <w:tr2bl w:val="nil"/>
            </w:tcBorders>
            <w:shd w:val="clear" w:color="000000" w:fill="FFFFFF"/>
            <w:vAlign w:val="center"/>
          </w:tcPr>
          <w:p w14:paraId="48AA6448">
            <w:pPr>
              <w:widowControl/>
              <w:jc w:val="left"/>
              <w:rPr>
                <w:rFonts w:hint="eastAsia" w:ascii="宋体" w:hAnsi="宋体" w:eastAsia="宋体" w:cs="宋体"/>
                <w:kern w:val="0"/>
                <w:szCs w:val="21"/>
              </w:rPr>
            </w:pPr>
            <w:r>
              <w:rPr>
                <w:rFonts w:hint="eastAsia" w:ascii="宋体" w:hAnsi="宋体" w:eastAsia="宋体" w:cs="宋体"/>
                <w:kern w:val="0"/>
                <w:szCs w:val="21"/>
              </w:rPr>
              <w:t>急救车车载定位（北斗）</w:t>
            </w:r>
          </w:p>
        </w:tc>
        <w:tc>
          <w:tcPr>
            <w:tcW w:w="830" w:type="pct"/>
            <w:tcBorders>
              <w:tl2br w:val="nil"/>
              <w:tr2bl w:val="nil"/>
            </w:tcBorders>
            <w:shd w:val="clear" w:color="000000" w:fill="FFFFFF"/>
            <w:vAlign w:val="center"/>
          </w:tcPr>
          <w:p w14:paraId="4BD6082E">
            <w:pPr>
              <w:widowControl/>
              <w:jc w:val="center"/>
              <w:rPr>
                <w:rFonts w:hint="eastAsia" w:ascii="宋体" w:hAnsi="宋体" w:eastAsia="宋体" w:cs="宋体"/>
                <w:kern w:val="0"/>
                <w:szCs w:val="21"/>
              </w:rPr>
            </w:pPr>
            <w:r>
              <w:rPr>
                <w:rFonts w:hint="eastAsia" w:ascii="宋体" w:hAnsi="宋体" w:eastAsia="宋体" w:cs="宋体"/>
                <w:kern w:val="0"/>
                <w:szCs w:val="21"/>
              </w:rPr>
              <w:t>实时获取急救车位置信息，车辆轨迹信息，全省急救一张图上图展示</w:t>
            </w:r>
          </w:p>
        </w:tc>
        <w:tc>
          <w:tcPr>
            <w:tcW w:w="1273" w:type="pct"/>
            <w:tcBorders>
              <w:tl2br w:val="nil"/>
              <w:tr2bl w:val="nil"/>
            </w:tcBorders>
            <w:shd w:val="clear" w:color="000000" w:fill="FFFFFF"/>
            <w:vAlign w:val="center"/>
          </w:tcPr>
          <w:p w14:paraId="6D04A75F">
            <w:pPr>
              <w:widowControl/>
              <w:jc w:val="left"/>
              <w:rPr>
                <w:rFonts w:hint="eastAsia" w:ascii="宋体" w:hAnsi="宋体" w:eastAsia="宋体" w:cs="宋体"/>
                <w:kern w:val="0"/>
                <w:szCs w:val="21"/>
              </w:rPr>
            </w:pPr>
            <w:r>
              <w:rPr>
                <w:rFonts w:hint="eastAsia" w:ascii="宋体" w:hAnsi="宋体" w:eastAsia="宋体" w:cs="宋体"/>
                <w:kern w:val="0"/>
                <w:szCs w:val="21"/>
              </w:rPr>
              <w:t>本地网，通过政务外网连接。</w:t>
            </w:r>
          </w:p>
        </w:tc>
        <w:tc>
          <w:tcPr>
            <w:tcW w:w="875" w:type="pct"/>
            <w:tcBorders>
              <w:tl2br w:val="nil"/>
              <w:tr2bl w:val="nil"/>
            </w:tcBorders>
            <w:shd w:val="clear" w:color="000000" w:fill="FFFFFF"/>
            <w:noWrap/>
            <w:vAlign w:val="center"/>
          </w:tcPr>
          <w:p w14:paraId="6695DF78">
            <w:pPr>
              <w:widowControl/>
              <w:jc w:val="center"/>
              <w:rPr>
                <w:rFonts w:hint="eastAsia" w:ascii="宋体" w:hAnsi="宋体" w:eastAsia="宋体" w:cs="宋体"/>
                <w:kern w:val="0"/>
                <w:szCs w:val="21"/>
              </w:rPr>
            </w:pPr>
            <w:r>
              <w:rPr>
                <w:rFonts w:hint="eastAsia" w:ascii="宋体" w:hAnsi="宋体" w:eastAsia="宋体" w:cs="宋体"/>
                <w:kern w:val="0"/>
                <w:szCs w:val="21"/>
              </w:rPr>
              <w:t>已建设</w:t>
            </w:r>
          </w:p>
        </w:tc>
      </w:tr>
      <w:tr w14:paraId="73ED2AAE">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11" w:type="pct"/>
            <w:tcBorders>
              <w:tl2br w:val="nil"/>
              <w:tr2bl w:val="nil"/>
            </w:tcBorders>
            <w:shd w:val="clear" w:color="000000" w:fill="FFFFFF"/>
            <w:noWrap/>
            <w:vAlign w:val="center"/>
          </w:tcPr>
          <w:p w14:paraId="1FE3F675">
            <w:pPr>
              <w:widowControl/>
              <w:jc w:val="center"/>
              <w:rPr>
                <w:rFonts w:hint="eastAsia" w:ascii="宋体" w:hAnsi="宋体" w:eastAsia="宋体" w:cs="宋体"/>
                <w:kern w:val="0"/>
                <w:szCs w:val="21"/>
              </w:rPr>
            </w:pPr>
            <w:r>
              <w:rPr>
                <w:rFonts w:hint="eastAsia" w:ascii="宋体" w:hAnsi="宋体" w:eastAsia="宋体" w:cs="宋体"/>
                <w:kern w:val="0"/>
                <w:szCs w:val="21"/>
              </w:rPr>
              <w:t>12</w:t>
            </w:r>
          </w:p>
        </w:tc>
        <w:tc>
          <w:tcPr>
            <w:tcW w:w="387" w:type="pct"/>
            <w:vMerge w:val="continue"/>
            <w:tcBorders>
              <w:tl2br w:val="nil"/>
              <w:tr2bl w:val="nil"/>
            </w:tcBorders>
            <w:vAlign w:val="center"/>
          </w:tcPr>
          <w:p w14:paraId="0772ADC4">
            <w:pPr>
              <w:widowControl/>
              <w:jc w:val="left"/>
              <w:rPr>
                <w:rFonts w:hint="eastAsia" w:ascii="宋体" w:hAnsi="宋体" w:eastAsia="宋体" w:cs="宋体"/>
                <w:kern w:val="0"/>
                <w:szCs w:val="21"/>
              </w:rPr>
            </w:pPr>
          </w:p>
        </w:tc>
        <w:tc>
          <w:tcPr>
            <w:tcW w:w="569" w:type="pct"/>
            <w:tcBorders>
              <w:tl2br w:val="nil"/>
              <w:tr2bl w:val="nil"/>
            </w:tcBorders>
            <w:shd w:val="clear" w:color="000000" w:fill="FFFFFF"/>
            <w:vAlign w:val="center"/>
          </w:tcPr>
          <w:p w14:paraId="5580E1B6">
            <w:pPr>
              <w:widowControl/>
              <w:jc w:val="center"/>
              <w:rPr>
                <w:rFonts w:hint="eastAsia" w:ascii="宋体" w:hAnsi="宋体" w:eastAsia="宋体" w:cs="宋体"/>
                <w:kern w:val="0"/>
                <w:szCs w:val="21"/>
              </w:rPr>
            </w:pPr>
            <w:r>
              <w:rPr>
                <w:rFonts w:hint="eastAsia" w:ascii="宋体" w:hAnsi="宋体" w:eastAsia="宋体" w:cs="宋体"/>
                <w:kern w:val="0"/>
                <w:szCs w:val="21"/>
              </w:rPr>
              <w:t>各队伍</w:t>
            </w:r>
          </w:p>
        </w:tc>
        <w:tc>
          <w:tcPr>
            <w:tcW w:w="652" w:type="pct"/>
            <w:tcBorders>
              <w:tl2br w:val="nil"/>
              <w:tr2bl w:val="nil"/>
            </w:tcBorders>
            <w:shd w:val="clear" w:color="000000" w:fill="FFFFFF"/>
            <w:vAlign w:val="center"/>
          </w:tcPr>
          <w:p w14:paraId="4C5FF515">
            <w:pPr>
              <w:widowControl/>
              <w:jc w:val="left"/>
              <w:rPr>
                <w:rFonts w:hint="eastAsia" w:ascii="宋体" w:hAnsi="宋体" w:eastAsia="宋体" w:cs="宋体"/>
                <w:kern w:val="0"/>
                <w:szCs w:val="21"/>
              </w:rPr>
            </w:pPr>
            <w:r>
              <w:rPr>
                <w:rFonts w:hint="eastAsia" w:ascii="宋体" w:hAnsi="宋体" w:eastAsia="宋体" w:cs="宋体"/>
                <w:kern w:val="0"/>
                <w:szCs w:val="21"/>
              </w:rPr>
              <w:t>特种车辆车载定位（北斗/GPS)</w:t>
            </w:r>
          </w:p>
        </w:tc>
        <w:tc>
          <w:tcPr>
            <w:tcW w:w="830" w:type="pct"/>
            <w:tcBorders>
              <w:tl2br w:val="nil"/>
              <w:tr2bl w:val="nil"/>
            </w:tcBorders>
            <w:shd w:val="clear" w:color="000000" w:fill="FFFFFF"/>
            <w:vAlign w:val="center"/>
          </w:tcPr>
          <w:p w14:paraId="184A0B09">
            <w:pPr>
              <w:widowControl/>
              <w:jc w:val="center"/>
              <w:rPr>
                <w:rFonts w:hint="eastAsia" w:ascii="宋体" w:hAnsi="宋体" w:eastAsia="宋体" w:cs="宋体"/>
                <w:kern w:val="0"/>
                <w:szCs w:val="21"/>
              </w:rPr>
            </w:pPr>
            <w:r>
              <w:rPr>
                <w:rFonts w:hint="eastAsia" w:ascii="宋体" w:hAnsi="宋体" w:eastAsia="宋体" w:cs="宋体"/>
                <w:kern w:val="0"/>
                <w:szCs w:val="21"/>
              </w:rPr>
              <w:t>车辆启动后获取车辆实时位置，掌握车辆实时位置和轨迹。</w:t>
            </w:r>
          </w:p>
        </w:tc>
        <w:tc>
          <w:tcPr>
            <w:tcW w:w="1273" w:type="pct"/>
            <w:tcBorders>
              <w:tl2br w:val="nil"/>
              <w:tr2bl w:val="nil"/>
            </w:tcBorders>
            <w:shd w:val="clear" w:color="000000" w:fill="FFFFFF"/>
            <w:vAlign w:val="center"/>
          </w:tcPr>
          <w:p w14:paraId="6B961B07">
            <w:pPr>
              <w:widowControl/>
              <w:jc w:val="left"/>
              <w:rPr>
                <w:rFonts w:hint="eastAsia" w:ascii="宋体" w:hAnsi="宋体" w:eastAsia="宋体" w:cs="宋体"/>
                <w:kern w:val="0"/>
                <w:szCs w:val="21"/>
              </w:rPr>
            </w:pPr>
            <w:r>
              <w:rPr>
                <w:rFonts w:hint="eastAsia" w:ascii="宋体" w:hAnsi="宋体" w:eastAsia="宋体" w:cs="宋体"/>
                <w:kern w:val="0"/>
                <w:szCs w:val="21"/>
              </w:rPr>
              <w:t>本地网，通过车载定位接收端接入。</w:t>
            </w:r>
          </w:p>
        </w:tc>
        <w:tc>
          <w:tcPr>
            <w:tcW w:w="875" w:type="pct"/>
            <w:tcBorders>
              <w:tl2br w:val="nil"/>
              <w:tr2bl w:val="nil"/>
            </w:tcBorders>
            <w:shd w:val="clear" w:color="000000" w:fill="FFFFFF"/>
            <w:vAlign w:val="center"/>
          </w:tcPr>
          <w:p w14:paraId="7897D5AC">
            <w:pPr>
              <w:widowControl/>
              <w:jc w:val="center"/>
              <w:rPr>
                <w:rFonts w:hint="eastAsia" w:ascii="宋体" w:hAnsi="宋体" w:eastAsia="宋体" w:cs="宋体"/>
                <w:kern w:val="0"/>
                <w:szCs w:val="21"/>
              </w:rPr>
            </w:pPr>
            <w:r>
              <w:rPr>
                <w:rFonts w:hint="eastAsia" w:ascii="宋体" w:hAnsi="宋体" w:eastAsia="宋体" w:cs="宋体"/>
                <w:kern w:val="0"/>
                <w:szCs w:val="21"/>
              </w:rPr>
              <w:t>预留扩展</w:t>
            </w:r>
          </w:p>
        </w:tc>
      </w:tr>
      <w:tr w14:paraId="57323BE6">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11" w:type="pct"/>
            <w:tcBorders>
              <w:tl2br w:val="nil"/>
              <w:tr2bl w:val="nil"/>
            </w:tcBorders>
            <w:shd w:val="clear" w:color="000000" w:fill="FFFFFF"/>
            <w:noWrap/>
            <w:vAlign w:val="center"/>
          </w:tcPr>
          <w:p w14:paraId="6C8B5782">
            <w:pPr>
              <w:widowControl/>
              <w:jc w:val="center"/>
              <w:rPr>
                <w:rFonts w:hint="eastAsia" w:ascii="宋体" w:hAnsi="宋体" w:eastAsia="宋体" w:cs="宋体"/>
                <w:kern w:val="0"/>
                <w:szCs w:val="21"/>
              </w:rPr>
            </w:pPr>
            <w:r>
              <w:rPr>
                <w:rFonts w:hint="eastAsia" w:ascii="宋体" w:hAnsi="宋体" w:eastAsia="宋体" w:cs="宋体"/>
                <w:kern w:val="0"/>
                <w:szCs w:val="21"/>
              </w:rPr>
              <w:t>13</w:t>
            </w:r>
          </w:p>
        </w:tc>
        <w:tc>
          <w:tcPr>
            <w:tcW w:w="387" w:type="pct"/>
            <w:vMerge w:val="continue"/>
            <w:tcBorders>
              <w:tl2br w:val="nil"/>
              <w:tr2bl w:val="nil"/>
            </w:tcBorders>
            <w:vAlign w:val="center"/>
          </w:tcPr>
          <w:p w14:paraId="38A911A2">
            <w:pPr>
              <w:widowControl/>
              <w:jc w:val="left"/>
              <w:rPr>
                <w:rFonts w:hint="eastAsia" w:ascii="宋体" w:hAnsi="宋体" w:eastAsia="宋体" w:cs="宋体"/>
                <w:kern w:val="0"/>
                <w:szCs w:val="21"/>
              </w:rPr>
            </w:pPr>
          </w:p>
        </w:tc>
        <w:tc>
          <w:tcPr>
            <w:tcW w:w="569" w:type="pct"/>
            <w:tcBorders>
              <w:tl2br w:val="nil"/>
              <w:tr2bl w:val="nil"/>
            </w:tcBorders>
            <w:shd w:val="clear" w:color="000000" w:fill="FFFFFF"/>
            <w:vAlign w:val="center"/>
          </w:tcPr>
          <w:p w14:paraId="491653FC">
            <w:pPr>
              <w:widowControl/>
              <w:jc w:val="center"/>
              <w:rPr>
                <w:rFonts w:hint="eastAsia" w:ascii="宋体" w:hAnsi="宋体" w:eastAsia="宋体" w:cs="宋体"/>
                <w:kern w:val="0"/>
                <w:szCs w:val="21"/>
              </w:rPr>
            </w:pPr>
            <w:r>
              <w:rPr>
                <w:rFonts w:hint="eastAsia" w:ascii="宋体" w:hAnsi="宋体" w:eastAsia="宋体" w:cs="宋体"/>
                <w:kern w:val="0"/>
                <w:szCs w:val="21"/>
              </w:rPr>
              <w:t>各队伍</w:t>
            </w:r>
          </w:p>
        </w:tc>
        <w:tc>
          <w:tcPr>
            <w:tcW w:w="652" w:type="pct"/>
            <w:tcBorders>
              <w:tl2br w:val="nil"/>
              <w:tr2bl w:val="nil"/>
            </w:tcBorders>
            <w:shd w:val="clear" w:color="000000" w:fill="FFFFFF"/>
            <w:vAlign w:val="center"/>
          </w:tcPr>
          <w:p w14:paraId="78A0C61B">
            <w:pPr>
              <w:widowControl/>
              <w:jc w:val="left"/>
              <w:rPr>
                <w:rFonts w:hint="eastAsia" w:ascii="宋体" w:hAnsi="宋体" w:eastAsia="宋体" w:cs="宋体"/>
                <w:kern w:val="0"/>
                <w:szCs w:val="21"/>
              </w:rPr>
            </w:pPr>
            <w:r>
              <w:rPr>
                <w:rFonts w:hint="eastAsia" w:ascii="宋体" w:hAnsi="宋体" w:eastAsia="宋体" w:cs="宋体"/>
                <w:kern w:val="0"/>
                <w:szCs w:val="21"/>
              </w:rPr>
              <w:t>队伍人员示位标（北斗）</w:t>
            </w:r>
          </w:p>
        </w:tc>
        <w:tc>
          <w:tcPr>
            <w:tcW w:w="830" w:type="pct"/>
            <w:tcBorders>
              <w:tl2br w:val="nil"/>
              <w:tr2bl w:val="nil"/>
            </w:tcBorders>
            <w:shd w:val="clear" w:color="000000" w:fill="FFFFFF"/>
            <w:vAlign w:val="center"/>
          </w:tcPr>
          <w:p w14:paraId="4ADCF8A9">
            <w:pPr>
              <w:widowControl/>
              <w:jc w:val="center"/>
              <w:rPr>
                <w:rFonts w:hint="eastAsia" w:ascii="宋体" w:hAnsi="宋体" w:eastAsia="宋体" w:cs="宋体"/>
                <w:kern w:val="0"/>
                <w:szCs w:val="21"/>
              </w:rPr>
            </w:pPr>
            <w:r>
              <w:rPr>
                <w:rFonts w:hint="eastAsia" w:ascii="宋体" w:hAnsi="宋体" w:eastAsia="宋体" w:cs="宋体"/>
                <w:kern w:val="0"/>
                <w:szCs w:val="21"/>
              </w:rPr>
              <w:t>47个</w:t>
            </w:r>
          </w:p>
        </w:tc>
        <w:tc>
          <w:tcPr>
            <w:tcW w:w="1273" w:type="pct"/>
            <w:tcBorders>
              <w:tl2br w:val="nil"/>
              <w:tr2bl w:val="nil"/>
            </w:tcBorders>
            <w:shd w:val="clear" w:color="000000" w:fill="FFFFFF"/>
            <w:vAlign w:val="center"/>
          </w:tcPr>
          <w:p w14:paraId="1A3C592B">
            <w:pPr>
              <w:widowControl/>
              <w:jc w:val="left"/>
              <w:rPr>
                <w:rFonts w:hint="eastAsia" w:ascii="宋体" w:hAnsi="宋体" w:eastAsia="宋体" w:cs="宋体"/>
                <w:kern w:val="0"/>
                <w:szCs w:val="21"/>
              </w:rPr>
            </w:pPr>
            <w:r>
              <w:rPr>
                <w:rFonts w:hint="eastAsia" w:ascii="宋体" w:hAnsi="宋体" w:eastAsia="宋体" w:cs="宋体"/>
                <w:kern w:val="0"/>
                <w:szCs w:val="21"/>
              </w:rPr>
              <w:t>设备支持宽带自组网/窄带自组网/4、5G/卫星网一种或多种</w:t>
            </w:r>
          </w:p>
        </w:tc>
        <w:tc>
          <w:tcPr>
            <w:tcW w:w="875" w:type="pct"/>
            <w:tcBorders>
              <w:tl2br w:val="nil"/>
              <w:tr2bl w:val="nil"/>
            </w:tcBorders>
            <w:shd w:val="clear" w:color="000000" w:fill="FFFFFF"/>
            <w:noWrap/>
            <w:vAlign w:val="center"/>
          </w:tcPr>
          <w:p w14:paraId="18357E12">
            <w:pPr>
              <w:widowControl/>
              <w:jc w:val="center"/>
              <w:rPr>
                <w:rFonts w:hint="eastAsia" w:ascii="宋体" w:hAnsi="宋体" w:eastAsia="宋体" w:cs="宋体"/>
                <w:kern w:val="0"/>
                <w:szCs w:val="21"/>
              </w:rPr>
            </w:pPr>
            <w:r>
              <w:rPr>
                <w:rFonts w:hint="eastAsia" w:ascii="宋体" w:hAnsi="宋体" w:eastAsia="宋体" w:cs="宋体"/>
                <w:kern w:val="0"/>
                <w:szCs w:val="21"/>
              </w:rPr>
              <w:t>本项目新建</w:t>
            </w:r>
          </w:p>
        </w:tc>
      </w:tr>
      <w:tr w14:paraId="135A705C">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11" w:type="pct"/>
            <w:tcBorders>
              <w:tl2br w:val="nil"/>
              <w:tr2bl w:val="nil"/>
            </w:tcBorders>
            <w:shd w:val="clear" w:color="000000" w:fill="FFFFFF"/>
            <w:noWrap/>
            <w:vAlign w:val="center"/>
          </w:tcPr>
          <w:p w14:paraId="3D30CBB5">
            <w:pPr>
              <w:widowControl/>
              <w:jc w:val="center"/>
              <w:rPr>
                <w:rFonts w:hint="eastAsia" w:ascii="宋体" w:hAnsi="宋体" w:eastAsia="宋体" w:cs="宋体"/>
                <w:kern w:val="0"/>
                <w:szCs w:val="21"/>
              </w:rPr>
            </w:pPr>
            <w:r>
              <w:rPr>
                <w:rFonts w:hint="eastAsia" w:ascii="宋体" w:hAnsi="宋体" w:eastAsia="宋体" w:cs="宋体"/>
                <w:kern w:val="0"/>
                <w:szCs w:val="21"/>
              </w:rPr>
              <w:t>14</w:t>
            </w:r>
          </w:p>
        </w:tc>
        <w:tc>
          <w:tcPr>
            <w:tcW w:w="387" w:type="pct"/>
            <w:tcBorders>
              <w:tl2br w:val="nil"/>
              <w:tr2bl w:val="nil"/>
            </w:tcBorders>
            <w:shd w:val="clear" w:color="000000" w:fill="FFFFFF"/>
            <w:vAlign w:val="center"/>
          </w:tcPr>
          <w:p w14:paraId="1403C0D7">
            <w:pPr>
              <w:widowControl/>
              <w:jc w:val="center"/>
              <w:rPr>
                <w:rFonts w:hint="eastAsia" w:ascii="宋体" w:hAnsi="宋体" w:eastAsia="宋体" w:cs="宋体"/>
                <w:kern w:val="0"/>
                <w:szCs w:val="21"/>
              </w:rPr>
            </w:pPr>
            <w:r>
              <w:rPr>
                <w:rFonts w:hint="eastAsia" w:ascii="宋体" w:hAnsi="宋体" w:eastAsia="宋体" w:cs="宋体"/>
                <w:kern w:val="0"/>
                <w:szCs w:val="21"/>
              </w:rPr>
              <w:t>音频广播系统</w:t>
            </w:r>
          </w:p>
        </w:tc>
        <w:tc>
          <w:tcPr>
            <w:tcW w:w="569" w:type="pct"/>
            <w:tcBorders>
              <w:tl2br w:val="nil"/>
              <w:tr2bl w:val="nil"/>
            </w:tcBorders>
            <w:shd w:val="clear" w:color="000000" w:fill="FFFFFF"/>
            <w:vAlign w:val="center"/>
          </w:tcPr>
          <w:p w14:paraId="6F09A2AA">
            <w:pPr>
              <w:widowControl/>
              <w:jc w:val="center"/>
              <w:rPr>
                <w:rFonts w:hint="eastAsia" w:ascii="宋体" w:hAnsi="宋体" w:eastAsia="宋体" w:cs="宋体"/>
                <w:kern w:val="0"/>
                <w:szCs w:val="21"/>
              </w:rPr>
            </w:pPr>
            <w:r>
              <w:rPr>
                <w:rFonts w:hint="eastAsia" w:ascii="宋体" w:hAnsi="宋体" w:eastAsia="宋体" w:cs="宋体"/>
                <w:kern w:val="0"/>
                <w:szCs w:val="21"/>
              </w:rPr>
              <w:t>省立医院</w:t>
            </w:r>
          </w:p>
        </w:tc>
        <w:tc>
          <w:tcPr>
            <w:tcW w:w="652" w:type="pct"/>
            <w:tcBorders>
              <w:tl2br w:val="nil"/>
              <w:tr2bl w:val="nil"/>
            </w:tcBorders>
            <w:shd w:val="clear" w:color="000000" w:fill="FFFFFF"/>
            <w:vAlign w:val="center"/>
          </w:tcPr>
          <w:p w14:paraId="5FB23430">
            <w:pPr>
              <w:widowControl/>
              <w:jc w:val="left"/>
              <w:rPr>
                <w:rFonts w:hint="eastAsia" w:ascii="宋体" w:hAnsi="宋体" w:eastAsia="宋体" w:cs="宋体"/>
                <w:kern w:val="0"/>
                <w:szCs w:val="21"/>
              </w:rPr>
            </w:pPr>
            <w:r>
              <w:rPr>
                <w:rFonts w:hint="eastAsia" w:ascii="宋体" w:hAnsi="宋体" w:eastAsia="宋体" w:cs="宋体"/>
                <w:kern w:val="0"/>
                <w:szCs w:val="21"/>
              </w:rPr>
              <w:t>指挥中心音频扩音和广播系统</w:t>
            </w:r>
          </w:p>
        </w:tc>
        <w:tc>
          <w:tcPr>
            <w:tcW w:w="830" w:type="pct"/>
            <w:tcBorders>
              <w:tl2br w:val="nil"/>
              <w:tr2bl w:val="nil"/>
            </w:tcBorders>
            <w:shd w:val="clear" w:color="000000" w:fill="FFFFFF"/>
            <w:vAlign w:val="center"/>
          </w:tcPr>
          <w:p w14:paraId="52890CF3">
            <w:pPr>
              <w:widowControl/>
              <w:jc w:val="center"/>
              <w:rPr>
                <w:rFonts w:hint="eastAsia" w:ascii="宋体" w:hAnsi="宋体" w:eastAsia="宋体" w:cs="宋体"/>
                <w:kern w:val="0"/>
                <w:szCs w:val="21"/>
              </w:rPr>
            </w:pPr>
            <w:r>
              <w:rPr>
                <w:rFonts w:hint="eastAsia" w:ascii="宋体" w:hAnsi="宋体" w:eastAsia="宋体" w:cs="宋体"/>
                <w:kern w:val="0"/>
                <w:szCs w:val="21"/>
              </w:rPr>
              <w:t>接入经过扩音或广播系统处理过的音频信息</w:t>
            </w:r>
          </w:p>
        </w:tc>
        <w:tc>
          <w:tcPr>
            <w:tcW w:w="1273" w:type="pct"/>
            <w:tcBorders>
              <w:tl2br w:val="nil"/>
              <w:tr2bl w:val="nil"/>
            </w:tcBorders>
            <w:shd w:val="clear" w:color="000000" w:fill="FFFFFF"/>
            <w:vAlign w:val="center"/>
          </w:tcPr>
          <w:p w14:paraId="6EC29540">
            <w:pPr>
              <w:widowControl/>
              <w:jc w:val="center"/>
              <w:rPr>
                <w:rFonts w:hint="eastAsia" w:ascii="宋体" w:hAnsi="宋体" w:eastAsia="宋体" w:cs="宋体"/>
                <w:kern w:val="0"/>
                <w:szCs w:val="21"/>
              </w:rPr>
            </w:pPr>
            <w:r>
              <w:rPr>
                <w:rFonts w:hint="eastAsia" w:ascii="宋体" w:hAnsi="宋体" w:eastAsia="宋体" w:cs="宋体"/>
                <w:kern w:val="0"/>
                <w:szCs w:val="21"/>
              </w:rPr>
              <w:t>本地网</w:t>
            </w:r>
          </w:p>
        </w:tc>
        <w:tc>
          <w:tcPr>
            <w:tcW w:w="875" w:type="pct"/>
            <w:tcBorders>
              <w:tl2br w:val="nil"/>
              <w:tr2bl w:val="nil"/>
            </w:tcBorders>
            <w:shd w:val="clear" w:color="000000" w:fill="FFFFFF"/>
            <w:vAlign w:val="center"/>
          </w:tcPr>
          <w:p w14:paraId="39E4A353">
            <w:pPr>
              <w:widowControl/>
              <w:jc w:val="center"/>
              <w:rPr>
                <w:rFonts w:hint="eastAsia" w:ascii="宋体" w:hAnsi="宋体" w:eastAsia="宋体" w:cs="宋体"/>
                <w:kern w:val="0"/>
                <w:szCs w:val="21"/>
              </w:rPr>
            </w:pPr>
            <w:r>
              <w:rPr>
                <w:rFonts w:hint="eastAsia" w:ascii="宋体" w:hAnsi="宋体" w:eastAsia="宋体" w:cs="宋体"/>
                <w:kern w:val="0"/>
                <w:szCs w:val="21"/>
              </w:rPr>
              <w:t>指挥大厅本次新建。</w:t>
            </w:r>
          </w:p>
        </w:tc>
      </w:tr>
      <w:tr w14:paraId="7DCC9BC8">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11" w:type="pct"/>
            <w:tcBorders>
              <w:tl2br w:val="nil"/>
              <w:tr2bl w:val="nil"/>
            </w:tcBorders>
            <w:shd w:val="clear" w:color="000000" w:fill="FFFFFF"/>
            <w:noWrap/>
            <w:vAlign w:val="center"/>
          </w:tcPr>
          <w:p w14:paraId="0F953EA9">
            <w:pPr>
              <w:widowControl/>
              <w:jc w:val="center"/>
              <w:rPr>
                <w:rFonts w:hint="eastAsia" w:ascii="宋体" w:hAnsi="宋体" w:eastAsia="宋体" w:cs="宋体"/>
                <w:kern w:val="0"/>
                <w:szCs w:val="21"/>
              </w:rPr>
            </w:pPr>
            <w:r>
              <w:rPr>
                <w:rFonts w:hint="eastAsia" w:ascii="宋体" w:hAnsi="宋体" w:eastAsia="宋体" w:cs="宋体"/>
                <w:kern w:val="0"/>
                <w:szCs w:val="21"/>
              </w:rPr>
              <w:t>15</w:t>
            </w:r>
          </w:p>
        </w:tc>
        <w:tc>
          <w:tcPr>
            <w:tcW w:w="387" w:type="pct"/>
            <w:vMerge w:val="restart"/>
            <w:tcBorders>
              <w:tl2br w:val="nil"/>
              <w:tr2bl w:val="nil"/>
            </w:tcBorders>
            <w:shd w:val="clear" w:color="000000" w:fill="FFFFFF"/>
            <w:vAlign w:val="center"/>
          </w:tcPr>
          <w:p w14:paraId="6B918693">
            <w:pPr>
              <w:widowControl/>
              <w:jc w:val="center"/>
              <w:rPr>
                <w:rFonts w:hint="eastAsia" w:ascii="宋体" w:hAnsi="宋体" w:eastAsia="宋体" w:cs="宋体"/>
                <w:kern w:val="0"/>
                <w:szCs w:val="21"/>
              </w:rPr>
            </w:pPr>
            <w:r>
              <w:rPr>
                <w:rFonts w:hint="eastAsia" w:ascii="宋体" w:hAnsi="宋体" w:eastAsia="宋体" w:cs="宋体"/>
                <w:kern w:val="0"/>
                <w:szCs w:val="21"/>
              </w:rPr>
              <w:t>队伍终端设备</w:t>
            </w:r>
          </w:p>
        </w:tc>
        <w:tc>
          <w:tcPr>
            <w:tcW w:w="569" w:type="pct"/>
            <w:tcBorders>
              <w:tl2br w:val="nil"/>
              <w:tr2bl w:val="nil"/>
            </w:tcBorders>
            <w:shd w:val="clear" w:color="000000" w:fill="FFFFFF"/>
            <w:vAlign w:val="center"/>
          </w:tcPr>
          <w:p w14:paraId="48E4A38C">
            <w:pPr>
              <w:widowControl/>
              <w:jc w:val="center"/>
              <w:rPr>
                <w:rFonts w:hint="eastAsia" w:ascii="宋体" w:hAnsi="宋体" w:eastAsia="宋体" w:cs="宋体"/>
                <w:kern w:val="0"/>
                <w:szCs w:val="21"/>
              </w:rPr>
            </w:pPr>
            <w:r>
              <w:rPr>
                <w:rFonts w:hint="eastAsia" w:ascii="宋体" w:hAnsi="宋体" w:eastAsia="宋体" w:cs="宋体"/>
                <w:kern w:val="0"/>
                <w:szCs w:val="21"/>
              </w:rPr>
              <w:t>各队伍</w:t>
            </w:r>
          </w:p>
        </w:tc>
        <w:tc>
          <w:tcPr>
            <w:tcW w:w="652" w:type="pct"/>
            <w:tcBorders>
              <w:tl2br w:val="nil"/>
              <w:tr2bl w:val="nil"/>
            </w:tcBorders>
            <w:shd w:val="clear" w:color="000000" w:fill="FFFFFF"/>
            <w:vAlign w:val="center"/>
          </w:tcPr>
          <w:p w14:paraId="06630C4D">
            <w:pPr>
              <w:widowControl/>
              <w:jc w:val="left"/>
              <w:rPr>
                <w:rFonts w:hint="eastAsia" w:ascii="宋体" w:hAnsi="宋体" w:eastAsia="宋体" w:cs="宋体"/>
                <w:kern w:val="0"/>
                <w:szCs w:val="21"/>
              </w:rPr>
            </w:pPr>
            <w:r>
              <w:rPr>
                <w:rFonts w:hint="eastAsia" w:ascii="宋体" w:hAnsi="宋体" w:eastAsia="宋体" w:cs="宋体"/>
                <w:kern w:val="0"/>
                <w:szCs w:val="21"/>
              </w:rPr>
              <w:t>多模终端</w:t>
            </w:r>
          </w:p>
        </w:tc>
        <w:tc>
          <w:tcPr>
            <w:tcW w:w="830" w:type="pct"/>
            <w:tcBorders>
              <w:tl2br w:val="nil"/>
              <w:tr2bl w:val="nil"/>
            </w:tcBorders>
            <w:shd w:val="clear" w:color="000000" w:fill="FFFFFF"/>
            <w:vAlign w:val="center"/>
          </w:tcPr>
          <w:p w14:paraId="20DBA2AB">
            <w:pPr>
              <w:widowControl/>
              <w:jc w:val="center"/>
              <w:rPr>
                <w:rFonts w:hint="eastAsia" w:ascii="宋体" w:hAnsi="宋体" w:eastAsia="宋体" w:cs="宋体"/>
                <w:kern w:val="0"/>
                <w:szCs w:val="21"/>
              </w:rPr>
            </w:pPr>
            <w:r>
              <w:rPr>
                <w:rFonts w:hint="eastAsia" w:ascii="宋体" w:hAnsi="宋体" w:eastAsia="宋体" w:cs="宋体"/>
                <w:kern w:val="0"/>
                <w:szCs w:val="21"/>
              </w:rPr>
              <w:t>220个</w:t>
            </w:r>
          </w:p>
        </w:tc>
        <w:tc>
          <w:tcPr>
            <w:tcW w:w="1273" w:type="pct"/>
            <w:tcBorders>
              <w:tl2br w:val="nil"/>
              <w:tr2bl w:val="nil"/>
            </w:tcBorders>
            <w:shd w:val="clear" w:color="000000" w:fill="FFFFFF"/>
            <w:vAlign w:val="center"/>
          </w:tcPr>
          <w:p w14:paraId="24FC328B">
            <w:pPr>
              <w:widowControl/>
              <w:jc w:val="left"/>
              <w:rPr>
                <w:rFonts w:hint="eastAsia" w:ascii="宋体" w:hAnsi="宋体" w:eastAsia="宋体" w:cs="宋体"/>
                <w:kern w:val="0"/>
                <w:szCs w:val="21"/>
              </w:rPr>
            </w:pPr>
            <w:r>
              <w:rPr>
                <w:rFonts w:hint="eastAsia" w:ascii="宋体" w:hAnsi="宋体" w:eastAsia="宋体" w:cs="宋体"/>
                <w:kern w:val="0"/>
                <w:szCs w:val="21"/>
              </w:rPr>
              <w:t>设备支持宽带自组网/窄带自组网/4、5G/卫星网一种或多种</w:t>
            </w:r>
          </w:p>
        </w:tc>
        <w:tc>
          <w:tcPr>
            <w:tcW w:w="875" w:type="pct"/>
            <w:tcBorders>
              <w:tl2br w:val="nil"/>
              <w:tr2bl w:val="nil"/>
            </w:tcBorders>
            <w:shd w:val="clear" w:color="000000" w:fill="FFFFFF"/>
            <w:vAlign w:val="center"/>
          </w:tcPr>
          <w:p w14:paraId="7A2BCFB7">
            <w:pPr>
              <w:widowControl/>
              <w:jc w:val="left"/>
              <w:rPr>
                <w:rFonts w:hint="eastAsia" w:ascii="宋体" w:hAnsi="宋体" w:eastAsia="宋体" w:cs="宋体"/>
                <w:kern w:val="0"/>
                <w:szCs w:val="21"/>
              </w:rPr>
            </w:pPr>
            <w:r>
              <w:rPr>
                <w:rFonts w:hint="eastAsia" w:ascii="宋体" w:hAnsi="宋体" w:eastAsia="宋体" w:cs="宋体"/>
                <w:kern w:val="0"/>
                <w:szCs w:val="21"/>
              </w:rPr>
              <w:t>国家队：10台</w:t>
            </w:r>
            <w:r>
              <w:rPr>
                <w:rFonts w:hint="eastAsia" w:ascii="宋体" w:hAnsi="宋体" w:eastAsia="宋体" w:cs="宋体"/>
                <w:kern w:val="0"/>
                <w:szCs w:val="21"/>
              </w:rPr>
              <w:br w:type="textWrapping"/>
            </w:r>
            <w:r>
              <w:rPr>
                <w:rFonts w:hint="eastAsia" w:ascii="宋体" w:hAnsi="宋体" w:eastAsia="宋体" w:cs="宋体"/>
                <w:kern w:val="0"/>
                <w:szCs w:val="21"/>
              </w:rPr>
              <w:t>省级队伍：210台</w:t>
            </w:r>
          </w:p>
        </w:tc>
      </w:tr>
      <w:tr w14:paraId="3A939939">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11" w:type="pct"/>
            <w:tcBorders>
              <w:tl2br w:val="nil"/>
              <w:tr2bl w:val="nil"/>
            </w:tcBorders>
            <w:shd w:val="clear" w:color="000000" w:fill="FFFFFF"/>
            <w:noWrap/>
            <w:vAlign w:val="center"/>
          </w:tcPr>
          <w:p w14:paraId="2D81550C">
            <w:pPr>
              <w:widowControl/>
              <w:jc w:val="center"/>
              <w:rPr>
                <w:rFonts w:hint="eastAsia" w:ascii="宋体" w:hAnsi="宋体" w:eastAsia="宋体" w:cs="宋体"/>
                <w:kern w:val="0"/>
                <w:szCs w:val="21"/>
              </w:rPr>
            </w:pPr>
            <w:r>
              <w:rPr>
                <w:rFonts w:hint="eastAsia" w:ascii="宋体" w:hAnsi="宋体" w:eastAsia="宋体" w:cs="宋体"/>
                <w:kern w:val="0"/>
                <w:szCs w:val="21"/>
              </w:rPr>
              <w:t>16</w:t>
            </w:r>
          </w:p>
        </w:tc>
        <w:tc>
          <w:tcPr>
            <w:tcW w:w="387" w:type="pct"/>
            <w:vMerge w:val="continue"/>
            <w:tcBorders>
              <w:tl2br w:val="nil"/>
              <w:tr2bl w:val="nil"/>
            </w:tcBorders>
            <w:vAlign w:val="center"/>
          </w:tcPr>
          <w:p w14:paraId="55A87DE8">
            <w:pPr>
              <w:widowControl/>
              <w:jc w:val="left"/>
              <w:rPr>
                <w:rFonts w:hint="eastAsia" w:ascii="宋体" w:hAnsi="宋体" w:eastAsia="宋体" w:cs="宋体"/>
                <w:kern w:val="0"/>
                <w:szCs w:val="21"/>
              </w:rPr>
            </w:pPr>
          </w:p>
        </w:tc>
        <w:tc>
          <w:tcPr>
            <w:tcW w:w="569" w:type="pct"/>
            <w:tcBorders>
              <w:tl2br w:val="nil"/>
              <w:tr2bl w:val="nil"/>
            </w:tcBorders>
            <w:shd w:val="clear" w:color="000000" w:fill="FFFFFF"/>
            <w:vAlign w:val="center"/>
          </w:tcPr>
          <w:p w14:paraId="3BF3113C">
            <w:pPr>
              <w:widowControl/>
              <w:jc w:val="center"/>
              <w:rPr>
                <w:rFonts w:hint="eastAsia" w:ascii="宋体" w:hAnsi="宋体" w:eastAsia="宋体" w:cs="宋体"/>
                <w:kern w:val="0"/>
                <w:szCs w:val="21"/>
              </w:rPr>
            </w:pPr>
            <w:r>
              <w:rPr>
                <w:rFonts w:hint="eastAsia" w:ascii="宋体" w:hAnsi="宋体" w:eastAsia="宋体" w:cs="宋体"/>
                <w:kern w:val="0"/>
                <w:szCs w:val="21"/>
              </w:rPr>
              <w:t>各队伍</w:t>
            </w:r>
          </w:p>
        </w:tc>
        <w:tc>
          <w:tcPr>
            <w:tcW w:w="652" w:type="pct"/>
            <w:tcBorders>
              <w:tl2br w:val="nil"/>
              <w:tr2bl w:val="nil"/>
            </w:tcBorders>
            <w:shd w:val="clear" w:color="000000" w:fill="FFFFFF"/>
            <w:vAlign w:val="center"/>
          </w:tcPr>
          <w:p w14:paraId="76E91079">
            <w:pPr>
              <w:widowControl/>
              <w:jc w:val="left"/>
              <w:rPr>
                <w:rFonts w:hint="eastAsia" w:ascii="宋体" w:hAnsi="宋体" w:eastAsia="宋体" w:cs="宋体"/>
                <w:kern w:val="0"/>
                <w:szCs w:val="21"/>
              </w:rPr>
            </w:pPr>
            <w:r>
              <w:rPr>
                <w:rFonts w:hint="eastAsia" w:ascii="宋体" w:hAnsi="宋体" w:eastAsia="宋体" w:cs="宋体"/>
                <w:kern w:val="0"/>
                <w:szCs w:val="21"/>
              </w:rPr>
              <w:t>智能头盔</w:t>
            </w:r>
          </w:p>
        </w:tc>
        <w:tc>
          <w:tcPr>
            <w:tcW w:w="830" w:type="pct"/>
            <w:tcBorders>
              <w:tl2br w:val="nil"/>
              <w:tr2bl w:val="nil"/>
            </w:tcBorders>
            <w:shd w:val="clear" w:color="000000" w:fill="FFFFFF"/>
            <w:vAlign w:val="center"/>
          </w:tcPr>
          <w:p w14:paraId="6629DE74">
            <w:pPr>
              <w:widowControl/>
              <w:jc w:val="center"/>
              <w:rPr>
                <w:rFonts w:hint="eastAsia" w:ascii="宋体" w:hAnsi="宋体" w:eastAsia="宋体" w:cs="宋体"/>
                <w:kern w:val="0"/>
                <w:szCs w:val="21"/>
              </w:rPr>
            </w:pPr>
            <w:r>
              <w:rPr>
                <w:rFonts w:hint="eastAsia" w:ascii="宋体" w:hAnsi="宋体" w:eastAsia="宋体" w:cs="宋体"/>
                <w:kern w:val="0"/>
                <w:szCs w:val="21"/>
              </w:rPr>
              <w:t>94个</w:t>
            </w:r>
          </w:p>
        </w:tc>
        <w:tc>
          <w:tcPr>
            <w:tcW w:w="1273" w:type="pct"/>
            <w:tcBorders>
              <w:tl2br w:val="nil"/>
              <w:tr2bl w:val="nil"/>
            </w:tcBorders>
            <w:shd w:val="clear" w:color="000000" w:fill="FFFFFF"/>
            <w:vAlign w:val="center"/>
          </w:tcPr>
          <w:p w14:paraId="6F47E294">
            <w:pPr>
              <w:widowControl/>
              <w:jc w:val="left"/>
              <w:rPr>
                <w:rFonts w:hint="eastAsia" w:ascii="宋体" w:hAnsi="宋体" w:eastAsia="宋体" w:cs="宋体"/>
                <w:kern w:val="0"/>
                <w:szCs w:val="21"/>
              </w:rPr>
            </w:pPr>
            <w:r>
              <w:rPr>
                <w:rFonts w:hint="eastAsia" w:ascii="宋体" w:hAnsi="宋体" w:eastAsia="宋体" w:cs="宋体"/>
                <w:kern w:val="0"/>
                <w:szCs w:val="21"/>
              </w:rPr>
              <w:t>设备支持宽带自组网/窄带自组网/4、5G/卫星网一种或多种</w:t>
            </w:r>
          </w:p>
        </w:tc>
        <w:tc>
          <w:tcPr>
            <w:tcW w:w="875" w:type="pct"/>
            <w:tcBorders>
              <w:tl2br w:val="nil"/>
              <w:tr2bl w:val="nil"/>
            </w:tcBorders>
            <w:shd w:val="clear" w:color="000000" w:fill="FFFFFF"/>
            <w:vAlign w:val="center"/>
          </w:tcPr>
          <w:p w14:paraId="33CC2AD2">
            <w:pPr>
              <w:widowControl/>
              <w:jc w:val="left"/>
              <w:rPr>
                <w:rFonts w:hint="eastAsia" w:ascii="宋体" w:hAnsi="宋体" w:eastAsia="宋体" w:cs="宋体"/>
                <w:kern w:val="0"/>
                <w:szCs w:val="21"/>
              </w:rPr>
            </w:pPr>
            <w:r>
              <w:rPr>
                <w:rFonts w:hint="eastAsia" w:ascii="宋体" w:hAnsi="宋体" w:eastAsia="宋体" w:cs="宋体"/>
                <w:kern w:val="0"/>
                <w:szCs w:val="21"/>
              </w:rPr>
              <w:t>国家队：10</w:t>
            </w:r>
            <w:r>
              <w:rPr>
                <w:rFonts w:hint="eastAsia" w:ascii="宋体" w:hAnsi="宋体" w:eastAsia="宋体" w:cs="宋体"/>
                <w:kern w:val="0"/>
                <w:szCs w:val="21"/>
                <w:lang w:eastAsia="zh-CN"/>
              </w:rPr>
              <w:t>个</w:t>
            </w:r>
            <w:r>
              <w:rPr>
                <w:rFonts w:hint="eastAsia" w:ascii="宋体" w:hAnsi="宋体" w:eastAsia="宋体" w:cs="宋体"/>
                <w:kern w:val="0"/>
                <w:szCs w:val="21"/>
              </w:rPr>
              <w:br w:type="textWrapping"/>
            </w:r>
            <w:r>
              <w:rPr>
                <w:rFonts w:hint="eastAsia" w:ascii="宋体" w:hAnsi="宋体" w:eastAsia="宋体" w:cs="宋体"/>
                <w:kern w:val="0"/>
                <w:szCs w:val="21"/>
              </w:rPr>
              <w:t>省级队伍：84个</w:t>
            </w:r>
          </w:p>
        </w:tc>
      </w:tr>
      <w:tr w14:paraId="40FCCF6E">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11" w:type="pct"/>
            <w:tcBorders>
              <w:tl2br w:val="nil"/>
              <w:tr2bl w:val="nil"/>
            </w:tcBorders>
            <w:shd w:val="clear" w:color="000000" w:fill="FFFFFF"/>
            <w:noWrap/>
            <w:vAlign w:val="center"/>
          </w:tcPr>
          <w:p w14:paraId="4B69FEDE">
            <w:pPr>
              <w:widowControl/>
              <w:jc w:val="center"/>
              <w:rPr>
                <w:rFonts w:hint="eastAsia" w:ascii="宋体" w:hAnsi="宋体" w:eastAsia="宋体" w:cs="宋体"/>
                <w:kern w:val="0"/>
                <w:szCs w:val="21"/>
              </w:rPr>
            </w:pPr>
            <w:r>
              <w:rPr>
                <w:rFonts w:hint="eastAsia" w:ascii="宋体" w:hAnsi="宋体" w:eastAsia="宋体" w:cs="宋体"/>
                <w:kern w:val="0"/>
                <w:szCs w:val="21"/>
              </w:rPr>
              <w:t>7</w:t>
            </w:r>
          </w:p>
        </w:tc>
        <w:tc>
          <w:tcPr>
            <w:tcW w:w="387" w:type="pct"/>
            <w:vMerge w:val="continue"/>
            <w:tcBorders>
              <w:tl2br w:val="nil"/>
              <w:tr2bl w:val="nil"/>
            </w:tcBorders>
            <w:vAlign w:val="center"/>
          </w:tcPr>
          <w:p w14:paraId="3C63585A">
            <w:pPr>
              <w:widowControl/>
              <w:jc w:val="left"/>
              <w:rPr>
                <w:rFonts w:hint="eastAsia" w:ascii="宋体" w:hAnsi="宋体" w:eastAsia="宋体" w:cs="宋体"/>
                <w:kern w:val="0"/>
                <w:szCs w:val="21"/>
              </w:rPr>
            </w:pPr>
          </w:p>
        </w:tc>
        <w:tc>
          <w:tcPr>
            <w:tcW w:w="569" w:type="pct"/>
            <w:tcBorders>
              <w:tl2br w:val="nil"/>
              <w:tr2bl w:val="nil"/>
            </w:tcBorders>
            <w:shd w:val="clear" w:color="000000" w:fill="FFFFFF"/>
            <w:vAlign w:val="center"/>
          </w:tcPr>
          <w:p w14:paraId="4A413608">
            <w:pPr>
              <w:widowControl/>
              <w:jc w:val="center"/>
              <w:rPr>
                <w:rFonts w:hint="eastAsia" w:ascii="宋体" w:hAnsi="宋体" w:eastAsia="宋体" w:cs="宋体"/>
                <w:kern w:val="0"/>
                <w:szCs w:val="21"/>
              </w:rPr>
            </w:pPr>
            <w:r>
              <w:rPr>
                <w:rFonts w:hint="eastAsia" w:ascii="宋体" w:hAnsi="宋体" w:eastAsia="宋体" w:cs="宋体"/>
                <w:kern w:val="0"/>
                <w:szCs w:val="21"/>
              </w:rPr>
              <w:t>各队伍</w:t>
            </w:r>
          </w:p>
        </w:tc>
        <w:tc>
          <w:tcPr>
            <w:tcW w:w="652" w:type="pct"/>
            <w:tcBorders>
              <w:tl2br w:val="nil"/>
              <w:tr2bl w:val="nil"/>
            </w:tcBorders>
            <w:shd w:val="clear" w:color="000000" w:fill="FFFFFF"/>
            <w:vAlign w:val="center"/>
          </w:tcPr>
          <w:p w14:paraId="42C2B9BB">
            <w:pPr>
              <w:widowControl/>
              <w:jc w:val="left"/>
              <w:rPr>
                <w:rFonts w:hint="eastAsia" w:ascii="宋体" w:hAnsi="宋体" w:eastAsia="宋体" w:cs="宋体"/>
                <w:kern w:val="0"/>
                <w:szCs w:val="21"/>
              </w:rPr>
            </w:pPr>
            <w:r>
              <w:rPr>
                <w:rFonts w:hint="eastAsia" w:ascii="宋体" w:hAnsi="宋体" w:eastAsia="宋体" w:cs="宋体"/>
                <w:kern w:val="0"/>
                <w:szCs w:val="21"/>
              </w:rPr>
              <w:t>布控球</w:t>
            </w:r>
          </w:p>
        </w:tc>
        <w:tc>
          <w:tcPr>
            <w:tcW w:w="830" w:type="pct"/>
            <w:tcBorders>
              <w:tl2br w:val="nil"/>
              <w:tr2bl w:val="nil"/>
            </w:tcBorders>
            <w:shd w:val="clear" w:color="000000" w:fill="FFFFFF"/>
            <w:vAlign w:val="center"/>
          </w:tcPr>
          <w:p w14:paraId="435C1932">
            <w:pPr>
              <w:widowControl/>
              <w:jc w:val="center"/>
              <w:rPr>
                <w:rFonts w:hint="eastAsia" w:ascii="宋体" w:hAnsi="宋体" w:eastAsia="宋体" w:cs="宋体"/>
                <w:kern w:val="0"/>
                <w:szCs w:val="21"/>
              </w:rPr>
            </w:pPr>
            <w:r>
              <w:rPr>
                <w:rFonts w:hint="eastAsia" w:ascii="宋体" w:hAnsi="宋体" w:eastAsia="宋体" w:cs="宋体"/>
                <w:kern w:val="0"/>
                <w:szCs w:val="21"/>
              </w:rPr>
              <w:t>48个</w:t>
            </w:r>
          </w:p>
        </w:tc>
        <w:tc>
          <w:tcPr>
            <w:tcW w:w="1273" w:type="pct"/>
            <w:tcBorders>
              <w:tl2br w:val="nil"/>
              <w:tr2bl w:val="nil"/>
            </w:tcBorders>
            <w:shd w:val="clear" w:color="000000" w:fill="FFFFFF"/>
            <w:vAlign w:val="center"/>
          </w:tcPr>
          <w:p w14:paraId="3F3F59F9">
            <w:pPr>
              <w:widowControl/>
              <w:jc w:val="left"/>
              <w:rPr>
                <w:rFonts w:hint="eastAsia" w:ascii="宋体" w:hAnsi="宋体" w:eastAsia="宋体" w:cs="宋体"/>
                <w:kern w:val="0"/>
                <w:szCs w:val="21"/>
              </w:rPr>
            </w:pPr>
            <w:r>
              <w:rPr>
                <w:rFonts w:hint="eastAsia" w:ascii="宋体" w:hAnsi="宋体" w:eastAsia="宋体" w:cs="宋体"/>
                <w:kern w:val="0"/>
                <w:szCs w:val="21"/>
              </w:rPr>
              <w:t>设备支持宽带自组网/窄带自组网/4、5G/卫星网一种或多种</w:t>
            </w:r>
          </w:p>
        </w:tc>
        <w:tc>
          <w:tcPr>
            <w:tcW w:w="875" w:type="pct"/>
            <w:tcBorders>
              <w:tl2br w:val="nil"/>
              <w:tr2bl w:val="nil"/>
            </w:tcBorders>
            <w:shd w:val="clear" w:color="000000" w:fill="FFFFFF"/>
            <w:vAlign w:val="center"/>
          </w:tcPr>
          <w:p w14:paraId="7C6B71E1">
            <w:pPr>
              <w:widowControl/>
              <w:jc w:val="left"/>
              <w:rPr>
                <w:rFonts w:hint="eastAsia" w:ascii="宋体" w:hAnsi="宋体" w:eastAsia="宋体" w:cs="宋体"/>
                <w:kern w:val="0"/>
                <w:szCs w:val="21"/>
              </w:rPr>
            </w:pPr>
            <w:r>
              <w:rPr>
                <w:rFonts w:hint="eastAsia" w:ascii="宋体" w:hAnsi="宋体" w:eastAsia="宋体" w:cs="宋体"/>
                <w:kern w:val="0"/>
                <w:szCs w:val="21"/>
              </w:rPr>
              <w:t>国家队6个：4个新建、2个利旧</w:t>
            </w:r>
            <w:r>
              <w:rPr>
                <w:rFonts w:hint="eastAsia" w:ascii="宋体" w:hAnsi="宋体" w:eastAsia="宋体" w:cs="宋体"/>
                <w:kern w:val="0"/>
                <w:szCs w:val="21"/>
              </w:rPr>
              <w:br w:type="textWrapping"/>
            </w:r>
            <w:r>
              <w:rPr>
                <w:rFonts w:hint="eastAsia" w:ascii="宋体" w:hAnsi="宋体" w:eastAsia="宋体" w:cs="宋体"/>
                <w:kern w:val="0"/>
                <w:szCs w:val="21"/>
              </w:rPr>
              <w:t>省级队伍：42个</w:t>
            </w:r>
          </w:p>
        </w:tc>
      </w:tr>
      <w:tr w14:paraId="61C1782E">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11" w:type="pct"/>
            <w:tcBorders>
              <w:tl2br w:val="nil"/>
              <w:tr2bl w:val="nil"/>
            </w:tcBorders>
            <w:shd w:val="clear" w:color="000000" w:fill="FFFFFF"/>
            <w:noWrap/>
            <w:vAlign w:val="center"/>
          </w:tcPr>
          <w:p w14:paraId="3DAE9131">
            <w:pPr>
              <w:widowControl/>
              <w:jc w:val="center"/>
              <w:rPr>
                <w:rFonts w:hint="eastAsia" w:ascii="宋体" w:hAnsi="宋体" w:eastAsia="宋体" w:cs="宋体"/>
                <w:kern w:val="0"/>
                <w:szCs w:val="21"/>
              </w:rPr>
            </w:pPr>
            <w:r>
              <w:rPr>
                <w:rFonts w:hint="eastAsia" w:ascii="宋体" w:hAnsi="宋体" w:eastAsia="宋体" w:cs="宋体"/>
                <w:kern w:val="0"/>
                <w:szCs w:val="21"/>
              </w:rPr>
              <w:t>18</w:t>
            </w:r>
          </w:p>
        </w:tc>
        <w:tc>
          <w:tcPr>
            <w:tcW w:w="387" w:type="pct"/>
            <w:vMerge w:val="continue"/>
            <w:tcBorders>
              <w:tl2br w:val="nil"/>
              <w:tr2bl w:val="nil"/>
            </w:tcBorders>
            <w:vAlign w:val="center"/>
          </w:tcPr>
          <w:p w14:paraId="6D04E3A8">
            <w:pPr>
              <w:widowControl/>
              <w:jc w:val="left"/>
              <w:rPr>
                <w:rFonts w:hint="eastAsia" w:ascii="宋体" w:hAnsi="宋体" w:eastAsia="宋体" w:cs="宋体"/>
                <w:kern w:val="0"/>
                <w:szCs w:val="21"/>
              </w:rPr>
            </w:pPr>
          </w:p>
        </w:tc>
        <w:tc>
          <w:tcPr>
            <w:tcW w:w="569" w:type="pct"/>
            <w:tcBorders>
              <w:tl2br w:val="nil"/>
              <w:tr2bl w:val="nil"/>
            </w:tcBorders>
            <w:shd w:val="clear" w:color="000000" w:fill="FFFFFF"/>
            <w:vAlign w:val="center"/>
          </w:tcPr>
          <w:p w14:paraId="6F9EA295">
            <w:pPr>
              <w:widowControl/>
              <w:jc w:val="center"/>
              <w:rPr>
                <w:rFonts w:hint="eastAsia" w:ascii="宋体" w:hAnsi="宋体" w:eastAsia="宋体" w:cs="宋体"/>
                <w:kern w:val="0"/>
                <w:szCs w:val="21"/>
              </w:rPr>
            </w:pPr>
            <w:r>
              <w:rPr>
                <w:rFonts w:hint="eastAsia" w:ascii="宋体" w:hAnsi="宋体" w:eastAsia="宋体" w:cs="宋体"/>
                <w:kern w:val="0"/>
                <w:szCs w:val="21"/>
              </w:rPr>
              <w:t>各队伍</w:t>
            </w:r>
          </w:p>
        </w:tc>
        <w:tc>
          <w:tcPr>
            <w:tcW w:w="652" w:type="pct"/>
            <w:tcBorders>
              <w:tl2br w:val="nil"/>
              <w:tr2bl w:val="nil"/>
            </w:tcBorders>
            <w:shd w:val="clear" w:color="000000" w:fill="FFFFFF"/>
            <w:vAlign w:val="center"/>
          </w:tcPr>
          <w:p w14:paraId="33D02664">
            <w:pPr>
              <w:widowControl/>
              <w:jc w:val="left"/>
              <w:rPr>
                <w:rFonts w:hint="eastAsia" w:ascii="宋体" w:hAnsi="宋体" w:eastAsia="宋体" w:cs="宋体"/>
                <w:kern w:val="0"/>
                <w:szCs w:val="21"/>
              </w:rPr>
            </w:pPr>
            <w:r>
              <w:rPr>
                <w:rFonts w:hint="eastAsia" w:ascii="宋体" w:hAnsi="宋体" w:eastAsia="宋体" w:cs="宋体"/>
                <w:kern w:val="0"/>
                <w:szCs w:val="21"/>
              </w:rPr>
              <w:t>通信眼镜</w:t>
            </w:r>
          </w:p>
        </w:tc>
        <w:tc>
          <w:tcPr>
            <w:tcW w:w="830" w:type="pct"/>
            <w:tcBorders>
              <w:tl2br w:val="nil"/>
              <w:tr2bl w:val="nil"/>
            </w:tcBorders>
            <w:shd w:val="clear" w:color="000000" w:fill="FFFFFF"/>
            <w:vAlign w:val="center"/>
          </w:tcPr>
          <w:p w14:paraId="535D9255">
            <w:pPr>
              <w:widowControl/>
              <w:jc w:val="center"/>
              <w:rPr>
                <w:rFonts w:hint="eastAsia" w:ascii="宋体" w:hAnsi="宋体" w:eastAsia="宋体" w:cs="宋体"/>
                <w:kern w:val="0"/>
                <w:szCs w:val="21"/>
              </w:rPr>
            </w:pPr>
            <w:r>
              <w:rPr>
                <w:rFonts w:hint="eastAsia" w:ascii="宋体" w:hAnsi="宋体" w:eastAsia="宋体" w:cs="宋体"/>
                <w:kern w:val="0"/>
                <w:szCs w:val="21"/>
              </w:rPr>
              <w:t>22副</w:t>
            </w:r>
          </w:p>
        </w:tc>
        <w:tc>
          <w:tcPr>
            <w:tcW w:w="1273" w:type="pct"/>
            <w:tcBorders>
              <w:tl2br w:val="nil"/>
              <w:tr2bl w:val="nil"/>
            </w:tcBorders>
            <w:shd w:val="clear" w:color="000000" w:fill="FFFFFF"/>
            <w:vAlign w:val="center"/>
          </w:tcPr>
          <w:p w14:paraId="47C3B613">
            <w:pPr>
              <w:widowControl/>
              <w:jc w:val="left"/>
              <w:rPr>
                <w:rFonts w:hint="eastAsia" w:ascii="宋体" w:hAnsi="宋体" w:eastAsia="宋体" w:cs="宋体"/>
                <w:kern w:val="0"/>
                <w:szCs w:val="21"/>
              </w:rPr>
            </w:pPr>
            <w:r>
              <w:rPr>
                <w:rFonts w:hint="eastAsia" w:ascii="宋体" w:hAnsi="宋体" w:eastAsia="宋体" w:cs="宋体"/>
                <w:kern w:val="0"/>
                <w:szCs w:val="21"/>
              </w:rPr>
              <w:t>设备支持宽带自组网/窄带自组网/4、5G/卫星网一种或多种</w:t>
            </w:r>
          </w:p>
        </w:tc>
        <w:tc>
          <w:tcPr>
            <w:tcW w:w="875" w:type="pct"/>
            <w:tcBorders>
              <w:tl2br w:val="nil"/>
              <w:tr2bl w:val="nil"/>
            </w:tcBorders>
            <w:shd w:val="clear" w:color="000000" w:fill="FFFFFF"/>
            <w:vAlign w:val="center"/>
          </w:tcPr>
          <w:p w14:paraId="3A2CBFA9">
            <w:pPr>
              <w:widowControl/>
              <w:jc w:val="center"/>
              <w:rPr>
                <w:rFonts w:hint="eastAsia" w:ascii="宋体" w:hAnsi="宋体" w:eastAsia="宋体" w:cs="宋体"/>
                <w:kern w:val="0"/>
                <w:szCs w:val="21"/>
              </w:rPr>
            </w:pPr>
            <w:r>
              <w:rPr>
                <w:rFonts w:hint="eastAsia" w:ascii="宋体" w:hAnsi="宋体" w:eastAsia="宋体" w:cs="宋体"/>
                <w:kern w:val="0"/>
                <w:szCs w:val="21"/>
              </w:rPr>
              <w:t>每个队伍1副</w:t>
            </w:r>
          </w:p>
        </w:tc>
      </w:tr>
      <w:tr w14:paraId="0B5C55E6">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11" w:type="pct"/>
            <w:tcBorders>
              <w:tl2br w:val="nil"/>
              <w:tr2bl w:val="nil"/>
            </w:tcBorders>
            <w:shd w:val="clear" w:color="000000" w:fill="FFFFFF"/>
            <w:noWrap/>
            <w:vAlign w:val="center"/>
          </w:tcPr>
          <w:p w14:paraId="562C68FB">
            <w:pPr>
              <w:widowControl/>
              <w:jc w:val="center"/>
              <w:rPr>
                <w:rFonts w:hint="eastAsia" w:ascii="宋体" w:hAnsi="宋体" w:eastAsia="宋体" w:cs="宋体"/>
                <w:kern w:val="0"/>
                <w:szCs w:val="21"/>
              </w:rPr>
            </w:pPr>
            <w:r>
              <w:rPr>
                <w:rFonts w:hint="eastAsia" w:ascii="宋体" w:hAnsi="宋体" w:eastAsia="宋体" w:cs="宋体"/>
                <w:kern w:val="0"/>
                <w:szCs w:val="21"/>
              </w:rPr>
              <w:t>19</w:t>
            </w:r>
          </w:p>
        </w:tc>
        <w:tc>
          <w:tcPr>
            <w:tcW w:w="387" w:type="pct"/>
            <w:vMerge w:val="continue"/>
            <w:tcBorders>
              <w:tl2br w:val="nil"/>
              <w:tr2bl w:val="nil"/>
            </w:tcBorders>
            <w:vAlign w:val="center"/>
          </w:tcPr>
          <w:p w14:paraId="00C45116">
            <w:pPr>
              <w:widowControl/>
              <w:jc w:val="left"/>
              <w:rPr>
                <w:rFonts w:hint="eastAsia" w:ascii="宋体" w:hAnsi="宋体" w:eastAsia="宋体" w:cs="宋体"/>
                <w:kern w:val="0"/>
                <w:szCs w:val="21"/>
              </w:rPr>
            </w:pPr>
          </w:p>
        </w:tc>
        <w:tc>
          <w:tcPr>
            <w:tcW w:w="569" w:type="pct"/>
            <w:tcBorders>
              <w:tl2br w:val="nil"/>
              <w:tr2bl w:val="nil"/>
            </w:tcBorders>
            <w:shd w:val="clear" w:color="000000" w:fill="FFFFFF"/>
            <w:vAlign w:val="center"/>
          </w:tcPr>
          <w:p w14:paraId="06675BB0">
            <w:pPr>
              <w:widowControl/>
              <w:jc w:val="center"/>
              <w:rPr>
                <w:rFonts w:hint="eastAsia" w:ascii="宋体" w:hAnsi="宋体" w:eastAsia="宋体" w:cs="宋体"/>
                <w:kern w:val="0"/>
                <w:szCs w:val="21"/>
              </w:rPr>
            </w:pPr>
            <w:r>
              <w:rPr>
                <w:rFonts w:hint="eastAsia" w:ascii="宋体" w:hAnsi="宋体" w:eastAsia="宋体" w:cs="宋体"/>
                <w:kern w:val="0"/>
                <w:szCs w:val="21"/>
              </w:rPr>
              <w:t>省立医院国家队</w:t>
            </w:r>
          </w:p>
        </w:tc>
        <w:tc>
          <w:tcPr>
            <w:tcW w:w="652" w:type="pct"/>
            <w:tcBorders>
              <w:tl2br w:val="nil"/>
              <w:tr2bl w:val="nil"/>
            </w:tcBorders>
            <w:shd w:val="clear" w:color="000000" w:fill="FFFFFF"/>
            <w:vAlign w:val="center"/>
          </w:tcPr>
          <w:p w14:paraId="4635263C">
            <w:pPr>
              <w:widowControl/>
              <w:jc w:val="left"/>
              <w:rPr>
                <w:rFonts w:hint="eastAsia" w:ascii="宋体" w:hAnsi="宋体" w:eastAsia="宋体" w:cs="宋体"/>
                <w:kern w:val="0"/>
                <w:szCs w:val="21"/>
              </w:rPr>
            </w:pPr>
            <w:r>
              <w:rPr>
                <w:rFonts w:hint="eastAsia" w:ascii="宋体" w:hAnsi="宋体" w:eastAsia="宋体" w:cs="宋体"/>
                <w:kern w:val="0"/>
                <w:szCs w:val="21"/>
              </w:rPr>
              <w:t>无人机</w:t>
            </w:r>
          </w:p>
        </w:tc>
        <w:tc>
          <w:tcPr>
            <w:tcW w:w="830" w:type="pct"/>
            <w:tcBorders>
              <w:tl2br w:val="nil"/>
              <w:tr2bl w:val="nil"/>
            </w:tcBorders>
            <w:shd w:val="clear" w:color="000000" w:fill="FFFFFF"/>
            <w:vAlign w:val="center"/>
          </w:tcPr>
          <w:p w14:paraId="0008B316">
            <w:pPr>
              <w:widowControl/>
              <w:jc w:val="center"/>
              <w:rPr>
                <w:rFonts w:hint="eastAsia" w:ascii="宋体" w:hAnsi="宋体" w:eastAsia="宋体" w:cs="宋体"/>
                <w:kern w:val="0"/>
                <w:szCs w:val="21"/>
              </w:rPr>
            </w:pPr>
            <w:r>
              <w:rPr>
                <w:rFonts w:hint="eastAsia" w:ascii="宋体" w:hAnsi="宋体" w:eastAsia="宋体" w:cs="宋体"/>
                <w:kern w:val="0"/>
                <w:szCs w:val="21"/>
              </w:rPr>
              <w:t>1台</w:t>
            </w:r>
          </w:p>
        </w:tc>
        <w:tc>
          <w:tcPr>
            <w:tcW w:w="1273" w:type="pct"/>
            <w:tcBorders>
              <w:tl2br w:val="nil"/>
              <w:tr2bl w:val="nil"/>
            </w:tcBorders>
            <w:shd w:val="clear" w:color="000000" w:fill="FFFFFF"/>
            <w:vAlign w:val="center"/>
          </w:tcPr>
          <w:p w14:paraId="68CAFAB4">
            <w:pPr>
              <w:widowControl/>
              <w:jc w:val="left"/>
              <w:rPr>
                <w:rFonts w:hint="eastAsia" w:ascii="宋体" w:hAnsi="宋体" w:eastAsia="宋体" w:cs="宋体"/>
                <w:kern w:val="0"/>
                <w:szCs w:val="21"/>
              </w:rPr>
            </w:pPr>
            <w:r>
              <w:rPr>
                <w:rFonts w:hint="eastAsia" w:ascii="宋体" w:hAnsi="宋体" w:eastAsia="宋体" w:cs="宋体"/>
                <w:kern w:val="0"/>
                <w:szCs w:val="21"/>
              </w:rPr>
              <w:t>通过对接无人机平台，融合接入视频和位置信息。</w:t>
            </w:r>
          </w:p>
        </w:tc>
        <w:tc>
          <w:tcPr>
            <w:tcW w:w="875" w:type="pct"/>
            <w:tcBorders>
              <w:tl2br w:val="nil"/>
              <w:tr2bl w:val="nil"/>
            </w:tcBorders>
            <w:shd w:val="clear" w:color="000000" w:fill="FFFFFF"/>
            <w:vAlign w:val="center"/>
          </w:tcPr>
          <w:p w14:paraId="4E00AF92">
            <w:pPr>
              <w:widowControl/>
              <w:jc w:val="left"/>
              <w:rPr>
                <w:rFonts w:hint="eastAsia" w:ascii="宋体" w:hAnsi="宋体" w:eastAsia="宋体" w:cs="宋体"/>
                <w:kern w:val="0"/>
                <w:szCs w:val="21"/>
              </w:rPr>
            </w:pPr>
            <w:r>
              <w:rPr>
                <w:rFonts w:hint="eastAsia" w:ascii="宋体" w:hAnsi="宋体" w:eastAsia="宋体" w:cs="宋体"/>
                <w:kern w:val="0"/>
                <w:szCs w:val="21"/>
              </w:rPr>
              <w:t>国家队已有无人机1台，需用户协调无人机平台对接。</w:t>
            </w:r>
          </w:p>
        </w:tc>
      </w:tr>
      <w:tr w14:paraId="7C7E5A88">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11" w:type="pct"/>
            <w:tcBorders>
              <w:tl2br w:val="nil"/>
              <w:tr2bl w:val="nil"/>
            </w:tcBorders>
            <w:shd w:val="clear" w:color="000000" w:fill="FFFFFF"/>
            <w:noWrap/>
            <w:vAlign w:val="center"/>
          </w:tcPr>
          <w:p w14:paraId="70581492">
            <w:pPr>
              <w:widowControl/>
              <w:jc w:val="center"/>
              <w:rPr>
                <w:rFonts w:hint="eastAsia" w:ascii="宋体" w:hAnsi="宋体" w:eastAsia="宋体" w:cs="宋体"/>
                <w:kern w:val="0"/>
                <w:szCs w:val="21"/>
              </w:rPr>
            </w:pPr>
            <w:r>
              <w:rPr>
                <w:rFonts w:hint="eastAsia" w:ascii="宋体" w:hAnsi="宋体" w:eastAsia="宋体" w:cs="宋体"/>
                <w:kern w:val="0"/>
                <w:szCs w:val="21"/>
              </w:rPr>
              <w:t>20</w:t>
            </w:r>
          </w:p>
        </w:tc>
        <w:tc>
          <w:tcPr>
            <w:tcW w:w="387" w:type="pct"/>
            <w:vMerge w:val="restart"/>
            <w:tcBorders>
              <w:tl2br w:val="nil"/>
              <w:tr2bl w:val="nil"/>
            </w:tcBorders>
            <w:shd w:val="clear" w:color="000000" w:fill="FFFFFF"/>
            <w:vAlign w:val="center"/>
          </w:tcPr>
          <w:p w14:paraId="7E1A11D5">
            <w:pPr>
              <w:widowControl/>
              <w:jc w:val="center"/>
              <w:rPr>
                <w:rFonts w:hint="eastAsia" w:ascii="宋体" w:hAnsi="宋体" w:eastAsia="宋体" w:cs="宋体"/>
                <w:kern w:val="0"/>
                <w:szCs w:val="21"/>
              </w:rPr>
            </w:pPr>
            <w:r>
              <w:rPr>
                <w:rFonts w:hint="eastAsia" w:ascii="宋体" w:hAnsi="宋体" w:eastAsia="宋体" w:cs="宋体"/>
                <w:kern w:val="0"/>
                <w:szCs w:val="21"/>
              </w:rPr>
              <w:t>传统通信系统</w:t>
            </w:r>
          </w:p>
        </w:tc>
        <w:tc>
          <w:tcPr>
            <w:tcW w:w="569" w:type="pct"/>
            <w:tcBorders>
              <w:tl2br w:val="nil"/>
              <w:tr2bl w:val="nil"/>
            </w:tcBorders>
            <w:shd w:val="clear" w:color="000000" w:fill="FFFFFF"/>
            <w:noWrap/>
            <w:vAlign w:val="center"/>
          </w:tcPr>
          <w:p w14:paraId="492B0EB1">
            <w:pPr>
              <w:widowControl/>
              <w:jc w:val="center"/>
              <w:rPr>
                <w:rFonts w:hint="eastAsia" w:ascii="宋体" w:hAnsi="宋体" w:eastAsia="宋体" w:cs="宋体"/>
                <w:kern w:val="0"/>
                <w:szCs w:val="21"/>
              </w:rPr>
            </w:pPr>
            <w:r>
              <w:rPr>
                <w:rFonts w:hint="eastAsia" w:ascii="宋体" w:hAnsi="宋体" w:eastAsia="宋体" w:cs="宋体"/>
                <w:kern w:val="0"/>
                <w:szCs w:val="21"/>
              </w:rPr>
              <w:t>/</w:t>
            </w:r>
          </w:p>
        </w:tc>
        <w:tc>
          <w:tcPr>
            <w:tcW w:w="652" w:type="pct"/>
            <w:tcBorders>
              <w:tl2br w:val="nil"/>
              <w:tr2bl w:val="nil"/>
            </w:tcBorders>
            <w:shd w:val="clear" w:color="000000" w:fill="FFFFFF"/>
            <w:vAlign w:val="center"/>
          </w:tcPr>
          <w:p w14:paraId="13DF6EF3">
            <w:pPr>
              <w:widowControl/>
              <w:jc w:val="left"/>
              <w:rPr>
                <w:rFonts w:hint="eastAsia" w:ascii="宋体" w:hAnsi="宋体" w:eastAsia="宋体" w:cs="宋体"/>
                <w:kern w:val="0"/>
                <w:szCs w:val="21"/>
              </w:rPr>
            </w:pPr>
            <w:r>
              <w:rPr>
                <w:rFonts w:hint="eastAsia" w:ascii="宋体" w:hAnsi="宋体" w:eastAsia="宋体" w:cs="宋体"/>
                <w:kern w:val="0"/>
                <w:szCs w:val="21"/>
              </w:rPr>
              <w:t>电话</w:t>
            </w:r>
          </w:p>
        </w:tc>
        <w:tc>
          <w:tcPr>
            <w:tcW w:w="830" w:type="pct"/>
            <w:tcBorders>
              <w:tl2br w:val="nil"/>
              <w:tr2bl w:val="nil"/>
            </w:tcBorders>
            <w:shd w:val="clear" w:color="000000" w:fill="FFFFFF"/>
            <w:vAlign w:val="center"/>
          </w:tcPr>
          <w:p w14:paraId="7DB02129">
            <w:pPr>
              <w:widowControl/>
              <w:jc w:val="center"/>
              <w:rPr>
                <w:rFonts w:hint="eastAsia" w:ascii="宋体" w:hAnsi="宋体" w:eastAsia="宋体" w:cs="宋体"/>
                <w:kern w:val="0"/>
                <w:szCs w:val="21"/>
              </w:rPr>
            </w:pPr>
            <w:r>
              <w:rPr>
                <w:rFonts w:hint="eastAsia" w:ascii="宋体" w:hAnsi="宋体" w:eastAsia="宋体" w:cs="宋体"/>
                <w:kern w:val="0"/>
                <w:szCs w:val="21"/>
              </w:rPr>
              <w:t>融合接入电话系统，可通过指挥系统通信录直接给坐席、手机打电话，发起多人电话会议。</w:t>
            </w:r>
          </w:p>
        </w:tc>
        <w:tc>
          <w:tcPr>
            <w:tcW w:w="1273" w:type="pct"/>
            <w:tcBorders>
              <w:tl2br w:val="nil"/>
              <w:tr2bl w:val="nil"/>
            </w:tcBorders>
            <w:shd w:val="clear" w:color="000000" w:fill="FFFFFF"/>
            <w:vAlign w:val="center"/>
          </w:tcPr>
          <w:p w14:paraId="68F52DA2">
            <w:pPr>
              <w:widowControl/>
              <w:jc w:val="left"/>
              <w:rPr>
                <w:rFonts w:hint="eastAsia" w:ascii="宋体" w:hAnsi="宋体" w:eastAsia="宋体" w:cs="宋体"/>
                <w:kern w:val="0"/>
                <w:szCs w:val="21"/>
              </w:rPr>
            </w:pPr>
            <w:r>
              <w:rPr>
                <w:rFonts w:hint="eastAsia" w:ascii="宋体" w:hAnsi="宋体" w:eastAsia="宋体" w:cs="宋体"/>
                <w:kern w:val="0"/>
                <w:szCs w:val="21"/>
              </w:rPr>
              <w:t>PSTN网络、GSM、CDMA等公共电信网络，支持电信、联通、移动运营商</w:t>
            </w:r>
          </w:p>
        </w:tc>
        <w:tc>
          <w:tcPr>
            <w:tcW w:w="875" w:type="pct"/>
            <w:tcBorders>
              <w:tl2br w:val="nil"/>
              <w:tr2bl w:val="nil"/>
            </w:tcBorders>
            <w:shd w:val="clear" w:color="000000" w:fill="FFFFFF"/>
            <w:noWrap/>
            <w:vAlign w:val="center"/>
          </w:tcPr>
          <w:p w14:paraId="20E496EA">
            <w:pPr>
              <w:widowControl/>
              <w:jc w:val="left"/>
              <w:rPr>
                <w:rFonts w:hint="eastAsia" w:ascii="宋体" w:hAnsi="宋体" w:eastAsia="宋体" w:cs="宋体"/>
                <w:kern w:val="0"/>
                <w:szCs w:val="21"/>
              </w:rPr>
            </w:pPr>
            <w:r>
              <w:rPr>
                <w:rFonts w:hint="eastAsia" w:ascii="宋体" w:hAnsi="宋体" w:eastAsia="宋体" w:cs="宋体"/>
                <w:kern w:val="0"/>
                <w:szCs w:val="21"/>
              </w:rPr>
              <w:t>　</w:t>
            </w:r>
          </w:p>
        </w:tc>
      </w:tr>
      <w:tr w14:paraId="6A3819AA">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11" w:type="pct"/>
            <w:tcBorders>
              <w:tl2br w:val="nil"/>
              <w:tr2bl w:val="nil"/>
            </w:tcBorders>
            <w:shd w:val="clear" w:color="000000" w:fill="FFFFFF"/>
            <w:noWrap/>
            <w:vAlign w:val="center"/>
          </w:tcPr>
          <w:p w14:paraId="16641735">
            <w:pPr>
              <w:widowControl/>
              <w:jc w:val="center"/>
              <w:rPr>
                <w:rFonts w:hint="eastAsia" w:ascii="宋体" w:hAnsi="宋体" w:eastAsia="宋体" w:cs="宋体"/>
                <w:kern w:val="0"/>
                <w:szCs w:val="21"/>
              </w:rPr>
            </w:pPr>
            <w:r>
              <w:rPr>
                <w:rFonts w:hint="eastAsia" w:ascii="宋体" w:hAnsi="宋体" w:eastAsia="宋体" w:cs="宋体"/>
                <w:kern w:val="0"/>
                <w:szCs w:val="21"/>
              </w:rPr>
              <w:t>21</w:t>
            </w:r>
          </w:p>
        </w:tc>
        <w:tc>
          <w:tcPr>
            <w:tcW w:w="387" w:type="pct"/>
            <w:vMerge w:val="continue"/>
            <w:tcBorders>
              <w:tl2br w:val="nil"/>
              <w:tr2bl w:val="nil"/>
            </w:tcBorders>
            <w:vAlign w:val="center"/>
          </w:tcPr>
          <w:p w14:paraId="18DB1337">
            <w:pPr>
              <w:widowControl/>
              <w:jc w:val="left"/>
              <w:rPr>
                <w:rFonts w:hint="eastAsia" w:ascii="宋体" w:hAnsi="宋体" w:eastAsia="宋体" w:cs="宋体"/>
                <w:kern w:val="0"/>
                <w:szCs w:val="21"/>
              </w:rPr>
            </w:pPr>
          </w:p>
        </w:tc>
        <w:tc>
          <w:tcPr>
            <w:tcW w:w="569" w:type="pct"/>
            <w:tcBorders>
              <w:tl2br w:val="nil"/>
              <w:tr2bl w:val="nil"/>
            </w:tcBorders>
            <w:shd w:val="clear" w:color="000000" w:fill="FFFFFF"/>
            <w:noWrap/>
            <w:vAlign w:val="center"/>
          </w:tcPr>
          <w:p w14:paraId="277CD8FC">
            <w:pPr>
              <w:widowControl/>
              <w:jc w:val="center"/>
              <w:rPr>
                <w:rFonts w:hint="eastAsia" w:ascii="宋体" w:hAnsi="宋体" w:eastAsia="宋体" w:cs="宋体"/>
                <w:kern w:val="0"/>
                <w:szCs w:val="21"/>
              </w:rPr>
            </w:pPr>
            <w:r>
              <w:rPr>
                <w:rFonts w:hint="eastAsia" w:ascii="宋体" w:hAnsi="宋体" w:eastAsia="宋体" w:cs="宋体"/>
                <w:kern w:val="0"/>
                <w:szCs w:val="21"/>
              </w:rPr>
              <w:t>/</w:t>
            </w:r>
          </w:p>
        </w:tc>
        <w:tc>
          <w:tcPr>
            <w:tcW w:w="652" w:type="pct"/>
            <w:tcBorders>
              <w:tl2br w:val="nil"/>
              <w:tr2bl w:val="nil"/>
            </w:tcBorders>
            <w:shd w:val="clear" w:color="000000" w:fill="FFFFFF"/>
            <w:vAlign w:val="center"/>
          </w:tcPr>
          <w:p w14:paraId="7B9CF144">
            <w:pPr>
              <w:widowControl/>
              <w:jc w:val="left"/>
              <w:rPr>
                <w:rFonts w:hint="eastAsia" w:ascii="宋体" w:hAnsi="宋体" w:eastAsia="宋体" w:cs="宋体"/>
                <w:kern w:val="0"/>
                <w:szCs w:val="21"/>
              </w:rPr>
            </w:pPr>
            <w:r>
              <w:rPr>
                <w:rFonts w:hint="eastAsia" w:ascii="宋体" w:hAnsi="宋体" w:eastAsia="宋体" w:cs="宋体"/>
                <w:kern w:val="0"/>
                <w:szCs w:val="21"/>
              </w:rPr>
              <w:t>短信平台</w:t>
            </w:r>
          </w:p>
        </w:tc>
        <w:tc>
          <w:tcPr>
            <w:tcW w:w="830" w:type="pct"/>
            <w:tcBorders>
              <w:tl2br w:val="nil"/>
              <w:tr2bl w:val="nil"/>
            </w:tcBorders>
            <w:shd w:val="clear" w:color="000000" w:fill="FFFFFF"/>
            <w:vAlign w:val="center"/>
          </w:tcPr>
          <w:p w14:paraId="4EE0C6F9">
            <w:pPr>
              <w:widowControl/>
              <w:jc w:val="center"/>
              <w:rPr>
                <w:rFonts w:hint="eastAsia" w:ascii="宋体" w:hAnsi="宋体" w:eastAsia="宋体" w:cs="宋体"/>
                <w:kern w:val="0"/>
                <w:szCs w:val="21"/>
              </w:rPr>
            </w:pPr>
            <w:r>
              <w:rPr>
                <w:rFonts w:hint="eastAsia" w:ascii="宋体" w:hAnsi="宋体" w:eastAsia="宋体" w:cs="宋体"/>
                <w:kern w:val="0"/>
                <w:szCs w:val="21"/>
              </w:rPr>
              <w:t>接入短信平台，实现消息通知、任务通知发送、信息填报连接发送</w:t>
            </w:r>
          </w:p>
        </w:tc>
        <w:tc>
          <w:tcPr>
            <w:tcW w:w="1273" w:type="pct"/>
            <w:tcBorders>
              <w:tl2br w:val="nil"/>
              <w:tr2bl w:val="nil"/>
            </w:tcBorders>
            <w:shd w:val="clear" w:color="000000" w:fill="FFFFFF"/>
            <w:vAlign w:val="center"/>
          </w:tcPr>
          <w:p w14:paraId="203E0F4F">
            <w:pPr>
              <w:widowControl/>
              <w:jc w:val="left"/>
              <w:rPr>
                <w:rFonts w:hint="eastAsia" w:ascii="宋体" w:hAnsi="宋体" w:eastAsia="宋体" w:cs="宋体"/>
                <w:kern w:val="0"/>
                <w:szCs w:val="21"/>
              </w:rPr>
            </w:pPr>
            <w:r>
              <w:rPr>
                <w:rFonts w:hint="eastAsia" w:ascii="宋体" w:hAnsi="宋体" w:eastAsia="宋体" w:cs="宋体"/>
                <w:kern w:val="0"/>
                <w:szCs w:val="21"/>
              </w:rPr>
              <w:t>GSM/CDMA/3G/4G/5G</w:t>
            </w:r>
          </w:p>
        </w:tc>
        <w:tc>
          <w:tcPr>
            <w:tcW w:w="875" w:type="pct"/>
            <w:tcBorders>
              <w:tl2br w:val="nil"/>
              <w:tr2bl w:val="nil"/>
            </w:tcBorders>
            <w:shd w:val="clear" w:color="000000" w:fill="FFFFFF"/>
            <w:noWrap/>
            <w:vAlign w:val="center"/>
          </w:tcPr>
          <w:p w14:paraId="07DDFCCE">
            <w:pPr>
              <w:widowControl/>
              <w:jc w:val="left"/>
              <w:rPr>
                <w:rFonts w:hint="eastAsia" w:ascii="宋体" w:hAnsi="宋体" w:eastAsia="宋体" w:cs="宋体"/>
                <w:kern w:val="0"/>
                <w:szCs w:val="21"/>
              </w:rPr>
            </w:pPr>
            <w:r>
              <w:rPr>
                <w:rFonts w:hint="eastAsia" w:ascii="宋体" w:hAnsi="宋体" w:eastAsia="宋体" w:cs="宋体"/>
                <w:kern w:val="0"/>
                <w:szCs w:val="21"/>
              </w:rPr>
              <w:t>　</w:t>
            </w:r>
          </w:p>
        </w:tc>
      </w:tr>
      <w:tr w14:paraId="6839AD45">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11" w:type="pct"/>
            <w:tcBorders>
              <w:tl2br w:val="nil"/>
              <w:tr2bl w:val="nil"/>
            </w:tcBorders>
            <w:shd w:val="clear" w:color="000000" w:fill="FFFFFF"/>
            <w:noWrap/>
            <w:vAlign w:val="center"/>
          </w:tcPr>
          <w:p w14:paraId="053D7CC2">
            <w:pPr>
              <w:widowControl/>
              <w:jc w:val="center"/>
              <w:rPr>
                <w:rFonts w:hint="eastAsia" w:ascii="宋体" w:hAnsi="宋体" w:eastAsia="宋体" w:cs="宋体"/>
                <w:kern w:val="0"/>
                <w:szCs w:val="21"/>
              </w:rPr>
            </w:pPr>
            <w:r>
              <w:rPr>
                <w:rFonts w:hint="eastAsia" w:ascii="宋体" w:hAnsi="宋体" w:eastAsia="宋体" w:cs="宋体"/>
                <w:kern w:val="0"/>
                <w:szCs w:val="21"/>
              </w:rPr>
              <w:t>22</w:t>
            </w:r>
          </w:p>
        </w:tc>
        <w:tc>
          <w:tcPr>
            <w:tcW w:w="387" w:type="pct"/>
            <w:vMerge w:val="continue"/>
            <w:tcBorders>
              <w:tl2br w:val="nil"/>
              <w:tr2bl w:val="nil"/>
            </w:tcBorders>
            <w:vAlign w:val="center"/>
          </w:tcPr>
          <w:p w14:paraId="22E7C478">
            <w:pPr>
              <w:widowControl/>
              <w:jc w:val="left"/>
              <w:rPr>
                <w:rFonts w:hint="eastAsia" w:ascii="宋体" w:hAnsi="宋体" w:eastAsia="宋体" w:cs="宋体"/>
                <w:kern w:val="0"/>
                <w:szCs w:val="21"/>
              </w:rPr>
            </w:pPr>
          </w:p>
        </w:tc>
        <w:tc>
          <w:tcPr>
            <w:tcW w:w="569" w:type="pct"/>
            <w:tcBorders>
              <w:tl2br w:val="nil"/>
              <w:tr2bl w:val="nil"/>
            </w:tcBorders>
            <w:shd w:val="clear" w:color="000000" w:fill="FFFFFF"/>
            <w:noWrap/>
            <w:vAlign w:val="center"/>
          </w:tcPr>
          <w:p w14:paraId="3068E698">
            <w:pPr>
              <w:widowControl/>
              <w:jc w:val="center"/>
              <w:rPr>
                <w:rFonts w:hint="eastAsia" w:ascii="宋体" w:hAnsi="宋体" w:eastAsia="宋体" w:cs="宋体"/>
                <w:kern w:val="0"/>
                <w:szCs w:val="21"/>
              </w:rPr>
            </w:pPr>
            <w:r>
              <w:rPr>
                <w:rFonts w:hint="eastAsia" w:ascii="宋体" w:hAnsi="宋体" w:eastAsia="宋体" w:cs="宋体"/>
                <w:kern w:val="0"/>
                <w:szCs w:val="21"/>
              </w:rPr>
              <w:t>/</w:t>
            </w:r>
          </w:p>
        </w:tc>
        <w:tc>
          <w:tcPr>
            <w:tcW w:w="652" w:type="pct"/>
            <w:tcBorders>
              <w:tl2br w:val="nil"/>
              <w:tr2bl w:val="nil"/>
            </w:tcBorders>
            <w:shd w:val="clear" w:color="000000" w:fill="FFFFFF"/>
            <w:vAlign w:val="center"/>
          </w:tcPr>
          <w:p w14:paraId="43631522">
            <w:pPr>
              <w:widowControl/>
              <w:jc w:val="left"/>
              <w:rPr>
                <w:rFonts w:hint="eastAsia" w:ascii="宋体" w:hAnsi="宋体" w:eastAsia="宋体" w:cs="宋体"/>
                <w:kern w:val="0"/>
                <w:szCs w:val="21"/>
              </w:rPr>
            </w:pPr>
            <w:r>
              <w:rPr>
                <w:rFonts w:hint="eastAsia" w:ascii="宋体" w:hAnsi="宋体" w:eastAsia="宋体" w:cs="宋体"/>
                <w:kern w:val="0"/>
                <w:szCs w:val="21"/>
              </w:rPr>
              <w:t>传真</w:t>
            </w:r>
          </w:p>
        </w:tc>
        <w:tc>
          <w:tcPr>
            <w:tcW w:w="830" w:type="pct"/>
            <w:tcBorders>
              <w:tl2br w:val="nil"/>
              <w:tr2bl w:val="nil"/>
            </w:tcBorders>
            <w:shd w:val="clear" w:color="000000" w:fill="FFFFFF"/>
            <w:vAlign w:val="center"/>
          </w:tcPr>
          <w:p w14:paraId="4B2E90DE">
            <w:pPr>
              <w:widowControl/>
              <w:jc w:val="center"/>
              <w:rPr>
                <w:rFonts w:hint="eastAsia" w:ascii="宋体" w:hAnsi="宋体" w:eastAsia="宋体" w:cs="宋体"/>
                <w:kern w:val="0"/>
                <w:szCs w:val="21"/>
              </w:rPr>
            </w:pPr>
            <w:r>
              <w:rPr>
                <w:rFonts w:hint="eastAsia" w:ascii="宋体" w:hAnsi="宋体" w:eastAsia="宋体" w:cs="宋体"/>
                <w:kern w:val="0"/>
                <w:szCs w:val="21"/>
              </w:rPr>
              <w:t>融合接入传真，实现传真的接收、群发、转发等。</w:t>
            </w:r>
          </w:p>
        </w:tc>
        <w:tc>
          <w:tcPr>
            <w:tcW w:w="1273" w:type="pct"/>
            <w:tcBorders>
              <w:tl2br w:val="nil"/>
              <w:tr2bl w:val="nil"/>
            </w:tcBorders>
            <w:shd w:val="clear" w:color="000000" w:fill="FFFFFF"/>
            <w:noWrap/>
            <w:vAlign w:val="center"/>
          </w:tcPr>
          <w:p w14:paraId="5478747B">
            <w:pPr>
              <w:widowControl/>
              <w:jc w:val="left"/>
              <w:rPr>
                <w:rFonts w:hint="eastAsia" w:ascii="宋体" w:hAnsi="宋体" w:eastAsia="宋体" w:cs="宋体"/>
                <w:kern w:val="0"/>
                <w:szCs w:val="21"/>
              </w:rPr>
            </w:pPr>
            <w:r>
              <w:rPr>
                <w:rFonts w:hint="eastAsia" w:ascii="宋体" w:hAnsi="宋体" w:eastAsia="宋体" w:cs="宋体"/>
                <w:kern w:val="0"/>
                <w:szCs w:val="21"/>
              </w:rPr>
              <w:t>　</w:t>
            </w:r>
          </w:p>
        </w:tc>
        <w:tc>
          <w:tcPr>
            <w:tcW w:w="875" w:type="pct"/>
            <w:tcBorders>
              <w:tl2br w:val="nil"/>
              <w:tr2bl w:val="nil"/>
            </w:tcBorders>
            <w:shd w:val="clear" w:color="000000" w:fill="FFFFFF"/>
            <w:noWrap/>
            <w:vAlign w:val="center"/>
          </w:tcPr>
          <w:p w14:paraId="2C1978BD">
            <w:pPr>
              <w:widowControl/>
              <w:jc w:val="left"/>
              <w:rPr>
                <w:rFonts w:hint="eastAsia" w:ascii="宋体" w:hAnsi="宋体" w:eastAsia="宋体" w:cs="宋体"/>
                <w:kern w:val="0"/>
                <w:szCs w:val="21"/>
              </w:rPr>
            </w:pPr>
            <w:r>
              <w:rPr>
                <w:rFonts w:hint="eastAsia" w:ascii="宋体" w:hAnsi="宋体" w:eastAsia="宋体" w:cs="宋体"/>
                <w:kern w:val="0"/>
                <w:szCs w:val="21"/>
              </w:rPr>
              <w:t>　</w:t>
            </w:r>
          </w:p>
        </w:tc>
      </w:tr>
    </w:tbl>
    <w:p w14:paraId="07B91C44">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视频会议系统对接需求分析</w:t>
      </w:r>
    </w:p>
    <w:p w14:paraId="637E1B44">
      <w:pPr>
        <w:pStyle w:val="15"/>
      </w:pPr>
      <w:r>
        <w:rPr>
          <w:rFonts w:hint="eastAsia"/>
        </w:rPr>
        <w:t>本项目支持对接省卫健委视频会议系统、国家紧急医学救援（福建）队已有视频会议系统。通过省卫健委全省视频平台可以在应急状态下</w:t>
      </w:r>
      <w:r>
        <w:rPr>
          <w:rFonts w:hint="eastAsia"/>
          <w:lang w:eastAsia="zh-CN"/>
        </w:rPr>
        <w:t>实现</w:t>
      </w:r>
      <w:r>
        <w:rPr>
          <w:rFonts w:hint="eastAsia"/>
        </w:rPr>
        <w:t>省卫健委、属地急救中心、相关救治医院进行视频会议。在重大事件或重大活动保障中，预估应接入应急指挥体系相关成员单位视频会议终端预估为20</w:t>
      </w:r>
      <w:r>
        <w:rPr>
          <w:rFonts w:hint="eastAsia"/>
          <w:lang w:eastAsia="zh-CN"/>
        </w:rPr>
        <w:t>～</w:t>
      </w:r>
      <w:r>
        <w:rPr>
          <w:rFonts w:hint="eastAsia"/>
        </w:rPr>
        <w:t>30个。</w:t>
      </w:r>
    </w:p>
    <w:p w14:paraId="77E8F33D">
      <w:pPr>
        <w:pStyle w:val="15"/>
      </w:pPr>
      <w:r>
        <w:rPr>
          <w:rFonts w:hint="eastAsia"/>
        </w:rPr>
        <w:t>本项目预留与省职防院、省血液中心等视频会议系统接入，预留视频会议接入需要满足网络</w:t>
      </w:r>
      <w:r>
        <w:rPr>
          <w:rFonts w:hint="eastAsia"/>
          <w:lang w:eastAsia="zh-CN"/>
        </w:rPr>
        <w:t>可</w:t>
      </w:r>
      <w:r>
        <w:rPr>
          <w:rFonts w:hint="eastAsia"/>
        </w:rPr>
        <w:t>通过政务外网互通且视频会议系统支持标准H.323协议或开放对接接口。</w:t>
      </w:r>
    </w:p>
    <w:p w14:paraId="3EC86ECF">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视频监控系统对接需求分析</w:t>
      </w:r>
    </w:p>
    <w:p w14:paraId="2A4FDA96">
      <w:pPr>
        <w:pStyle w:val="15"/>
      </w:pPr>
      <w:r>
        <w:rPr>
          <w:rFonts w:hint="eastAsia"/>
        </w:rPr>
        <w:t>本项目对接省急救中心车载视频监控系统、省立医院急诊视频监控系统、物资仓库监控系统、20家县级医院急诊科视频监控系统等以省立医院为依托建设的视频监控系统。通过对接省急救中心救护车车载监控视频，在省急救中心救护车辆执行批量伤员转运任务时省立医院可以实时了解各救护车伤员实时情况，及时调度院内资源响应。接入省立医院各中心相关视频监控，可以关注国家基地各中心的动态情况，为基地运营管理提供支撑，同时在批量伤员应急收治时，快速协同响应，掌握各功能中心的响应情况。</w:t>
      </w:r>
    </w:p>
    <w:p w14:paraId="548168BC">
      <w:pPr>
        <w:pStyle w:val="15"/>
      </w:pPr>
      <w:r>
        <w:rPr>
          <w:rFonts w:hint="eastAsia"/>
        </w:rPr>
        <w:t>预留与公安等部门视频监控对接。在重大活动保障或突发事件时，能够接入公安等政府相关部门的关键视频，为紧急医学救援提供更有利保障，如伤员转运时路线相关视频、重点人群密集场所视频等。与公安对接由卫生行政部门协调对接</w:t>
      </w:r>
      <w:r>
        <w:rPr>
          <w:rFonts w:hint="eastAsia"/>
          <w:lang w:eastAsia="zh-CN"/>
        </w:rPr>
        <w:t>机</w:t>
      </w:r>
      <w:r>
        <w:rPr>
          <w:rFonts w:hint="eastAsia"/>
        </w:rPr>
        <w:t>制，明确在重大活动保障及突发事件场景下可开放对接的视频监控资源，同时需要视频监控支持国标协议，能够通过政务外网对接。</w:t>
      </w:r>
    </w:p>
    <w:p w14:paraId="039BCFA3">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GIS定位对接需求分析</w:t>
      </w:r>
    </w:p>
    <w:p w14:paraId="0B7963CE">
      <w:pPr>
        <w:pStyle w:val="15"/>
      </w:pPr>
      <w:r>
        <w:rPr>
          <w:rFonts w:hint="eastAsia"/>
        </w:rPr>
        <w:t>应急指挥中能够实时掌握转运车辆、队伍人员、物资的</w:t>
      </w:r>
      <w:r>
        <w:rPr>
          <w:rFonts w:hint="eastAsia"/>
          <w:lang w:eastAsia="zh-CN"/>
        </w:rPr>
        <w:t>实时</w:t>
      </w:r>
      <w:r>
        <w:rPr>
          <w:rFonts w:hint="eastAsia"/>
        </w:rPr>
        <w:t>动态位置，对指挥全过程跟踪十分重要。本项目需要对九地市急救车实时位置进行</w:t>
      </w:r>
      <w:r>
        <w:rPr>
          <w:rFonts w:hint="eastAsia"/>
          <w:lang w:eastAsia="zh-CN"/>
        </w:rPr>
        <w:t>融合</w:t>
      </w:r>
      <w:r>
        <w:rPr>
          <w:rFonts w:hint="eastAsia"/>
        </w:rPr>
        <w:t>接入，通过九地市的120急救调度系统整合车载定位数据接入，掌握突发事件应急处置和重大活动保障过程中调度的各地市急救车辆实时位置情况，掌握车辆动态轨迹，了解车辆行程距离并预估转运时间等。通过队伍配置北斗示位标实现队伍任务实时位置融合接入。队伍人员位置信息可以帮助现场指挥官了解队伍动态，根据队伍人员位置信息进行工作部署调度，同时也可以依托位置进行电子围栏设置，保障队伍安全，队伍成员之间的位置共享可以增进队员之间工作协同。</w:t>
      </w:r>
    </w:p>
    <w:p w14:paraId="4AF6832B">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音频广播对接需求</w:t>
      </w:r>
    </w:p>
    <w:p w14:paraId="6E12DE56">
      <w:pPr>
        <w:pStyle w:val="15"/>
      </w:pPr>
      <w:r>
        <w:rPr>
          <w:rFonts w:hint="eastAsia"/>
        </w:rPr>
        <w:t>本项目针对指挥大厅会议音频系统、扩音系统、医院广播系统的接入，可以将指挥大厅音频融合到系统中，将会议发言等声音更</w:t>
      </w:r>
      <w:r>
        <w:rPr>
          <w:rFonts w:hint="eastAsia"/>
          <w:lang w:eastAsia="zh-CN"/>
        </w:rPr>
        <w:t>好地</w:t>
      </w:r>
      <w:r>
        <w:rPr>
          <w:rFonts w:hint="eastAsia"/>
        </w:rPr>
        <w:t>进行录制。同时针对医院应急情况下，可以直接在指挥中心进行广播通知和动员。</w:t>
      </w:r>
    </w:p>
    <w:p w14:paraId="64E881A6">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队伍终端设备对接需求分析</w:t>
      </w:r>
    </w:p>
    <w:p w14:paraId="46C2B99C">
      <w:pPr>
        <w:pStyle w:val="15"/>
      </w:pPr>
      <w:r>
        <w:rPr>
          <w:rFonts w:hint="eastAsia"/>
        </w:rPr>
        <w:t>本项目针对国家紧急医学救援（福建）队和21支省级紧急医学救援队伍分别配置了终端设备，包括多模终端、智能头盔、通信眼镜、布控球、无人机等。需要将所有终端设备整合接入，实现不同设备的音频、视频调度，现场指挥部（车）能够了解一线人员作战动态，同时指挥中心也能直接</w:t>
      </w:r>
      <w:r>
        <w:rPr>
          <w:rFonts w:hint="eastAsia"/>
          <w:lang w:eastAsia="zh-CN"/>
        </w:rPr>
        <w:t>连线</w:t>
      </w:r>
      <w:r>
        <w:rPr>
          <w:rFonts w:hint="eastAsia"/>
        </w:rPr>
        <w:t>到现场进行可视化指挥作战。所配置终端设备的音视频信号可以加入融合视频会议中，为领导和专家在会商研判时提供现场实况参考。</w:t>
      </w:r>
    </w:p>
    <w:p w14:paraId="37577CA0">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传统通信系统对接需求分析</w:t>
      </w:r>
    </w:p>
    <w:p w14:paraId="3254CFA1">
      <w:pPr>
        <w:pStyle w:val="15"/>
      </w:pPr>
      <w:r>
        <w:rPr>
          <w:rFonts w:hint="eastAsia"/>
        </w:rPr>
        <w:t>传统通信系统主要包括电话、短信、传真。在应急值守信息接报、办理，预警通知、应急响应通知反馈、任务派发和反馈等实际工作中发挥着重要作用，本项目需要通过融合通信平台</w:t>
      </w:r>
      <w:r>
        <w:rPr>
          <w:rFonts w:hint="eastAsia"/>
          <w:lang w:eastAsia="zh-CN"/>
        </w:rPr>
        <w:t>集成</w:t>
      </w:r>
      <w:r>
        <w:rPr>
          <w:rFonts w:hint="eastAsia"/>
        </w:rPr>
        <w:t>传染通信系统，在指挥平台各应用环节能够直接电话拨号、电话会议、短信群发、传真集成应用等。</w:t>
      </w:r>
    </w:p>
    <w:p w14:paraId="7AAE3498">
      <w:pPr>
        <w:pStyle w:val="7"/>
        <w:keepNext/>
        <w:keepLines/>
        <w:pageBreakBefore w:val="0"/>
        <w:widowControl w:val="0"/>
        <w:kinsoku/>
        <w:wordWrap/>
        <w:overflowPunct/>
        <w:topLinePunct w:val="0"/>
        <w:autoSpaceDE/>
        <w:autoSpaceDN/>
        <w:bidi w:val="0"/>
        <w:adjustRightInd w:val="0"/>
        <w:snapToGrid w:val="0"/>
        <w:spacing w:before="240" w:after="240"/>
        <w:textAlignment w:val="auto"/>
        <w:outlineLvl w:val="2"/>
        <w:rPr>
          <w:rFonts w:hint="eastAsia"/>
        </w:rPr>
      </w:pPr>
      <w:r>
        <w:rPr>
          <w:rFonts w:hint="eastAsia"/>
        </w:rPr>
        <w:t>系统架构设计</w:t>
      </w:r>
    </w:p>
    <w:p w14:paraId="082494A6">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逻辑架构</w:t>
      </w:r>
    </w:p>
    <w:p w14:paraId="7E67474B">
      <w:pPr>
        <w:pStyle w:val="43"/>
      </w:pPr>
      <w:r>
        <w:drawing>
          <wp:inline distT="0" distB="0" distL="0" distR="0">
            <wp:extent cx="5430520" cy="3052445"/>
            <wp:effectExtent l="0" t="0" r="10160" b="10795"/>
            <wp:docPr id="99" name="图片 99" descr="C:\Users\ThinkPad\Desktop\路网方案\软件系统总体架构.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descr="C:\Users\ThinkPad\Desktop\路网方案\软件系统总体架构.pn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5430520" cy="3052445"/>
                    </a:xfrm>
                    <a:prstGeom prst="rect">
                      <a:avLst/>
                    </a:prstGeom>
                    <a:noFill/>
                    <a:ln>
                      <a:noFill/>
                    </a:ln>
                  </pic:spPr>
                </pic:pic>
              </a:graphicData>
            </a:graphic>
          </wp:inline>
        </w:drawing>
      </w:r>
    </w:p>
    <w:p w14:paraId="5B2701C7">
      <w:pPr>
        <w:pStyle w:val="44"/>
        <w:spacing w:after="156"/>
      </w:pPr>
      <w:r>
        <w:rPr>
          <w:rFonts w:hint="eastAsia"/>
        </w:rPr>
        <w:t xml:space="preserve">图 </w:t>
      </w:r>
      <w:r>
        <w:rPr>
          <w:rFonts w:hint="eastAsia"/>
        </w:rPr>
        <w:fldChar w:fldCharType="begin"/>
      </w:r>
      <w:r>
        <w:rPr>
          <w:rFonts w:hint="eastAsia"/>
        </w:rPr>
        <w:instrText xml:space="preserve"> STYLEREF 1 \s </w:instrText>
      </w:r>
      <w:r>
        <w:rPr>
          <w:rFonts w:hint="eastAsia"/>
        </w:rPr>
        <w:fldChar w:fldCharType="separate"/>
      </w:r>
      <w:r>
        <w:rPr>
          <w:rFonts w:hint="eastAsia"/>
        </w:rPr>
        <w:t>0</w:t>
      </w:r>
      <w:r>
        <w:rPr>
          <w:rFonts w:hint="eastAsia"/>
        </w:rPr>
        <w:fldChar w:fldCharType="end"/>
      </w:r>
      <w:r>
        <w:rPr>
          <w:rFonts w:hint="eastAsia"/>
        </w:rPr>
        <w:t>-</w:t>
      </w:r>
      <w:r>
        <w:rPr>
          <w:rFonts w:hint="eastAsia"/>
        </w:rPr>
        <w:fldChar w:fldCharType="begin"/>
      </w:r>
      <w:r>
        <w:rPr>
          <w:rFonts w:hint="eastAsia"/>
        </w:rPr>
        <w:instrText xml:space="preserve"> SEQ 图 \* ARABIC \s 1 </w:instrText>
      </w:r>
      <w:r>
        <w:rPr>
          <w:rFonts w:hint="eastAsia"/>
        </w:rPr>
        <w:fldChar w:fldCharType="separate"/>
      </w:r>
      <w:r>
        <w:rPr>
          <w:rFonts w:hint="eastAsia"/>
        </w:rPr>
        <w:t>3</w:t>
      </w:r>
      <w:r>
        <w:rPr>
          <w:rFonts w:hint="eastAsia"/>
        </w:rPr>
        <w:fldChar w:fldCharType="end"/>
      </w:r>
      <w:bookmarkStart w:id="3" w:name="_Toc9944"/>
      <w:r>
        <w:rPr>
          <w:rFonts w:hint="eastAsia"/>
        </w:rPr>
        <w:t>音视频通信调度逻辑架构图</w:t>
      </w:r>
      <w:bookmarkEnd w:id="3"/>
    </w:p>
    <w:p w14:paraId="027C211D">
      <w:pPr>
        <w:pStyle w:val="15"/>
      </w:pPr>
      <w:r>
        <w:rPr>
          <w:rFonts w:hint="eastAsia"/>
        </w:rPr>
        <w:t>系统整体架构分为大屏展示层、业务应用层、平台支撑层、数据汇聚层、网络传输层和终端层。</w:t>
      </w:r>
    </w:p>
    <w:p w14:paraId="6F0F05A3">
      <w:pPr>
        <w:pStyle w:val="15"/>
      </w:pPr>
      <w:r>
        <w:rPr>
          <w:rFonts w:hint="eastAsia"/>
        </w:rPr>
        <w:t>大屏展示层主要是通过融合通信平台的调度业务软件把需要显示的数据通过音视频链路或者高清的线缆投放到大屏上，把软件的数据业务展示在指挥中心的大屏幕上。</w:t>
      </w:r>
    </w:p>
    <w:p w14:paraId="2E582F96">
      <w:pPr>
        <w:pStyle w:val="15"/>
      </w:pPr>
      <w:r>
        <w:rPr>
          <w:rFonts w:hint="eastAsia"/>
        </w:rPr>
        <w:t>业务应用层包括调度客户端以及业务应用系统。融合通信服务系统通过通信服务接口为业务应用系统提供语音、视频、数据、位置等通信服务支撑。同时提供客户端软件，实现系统管理、调度通信功能包括：语音调度、视频调度、GIS调度、对讲、视频会商、监控调取、即时消息等模块功能。</w:t>
      </w:r>
    </w:p>
    <w:p w14:paraId="08265128">
      <w:pPr>
        <w:pStyle w:val="15"/>
      </w:pPr>
      <w:r>
        <w:rPr>
          <w:rFonts w:hint="eastAsia"/>
        </w:rPr>
        <w:t>平台支撑层也是平台接入层的能力，接入网关包括视频监控平台接入网关、视频信号接入网关、视频会议接入网关、E1中继网关、集群接入网关、音频接入网关等。支撑业务包括音视频融合调度服务、软交换服务、音视频媒体服务、位置服务、消息服务、电话服务、会议服务、对讲服务、预案服务和其他通信服务支撑组件。音视频融合服务实现视频融合业务的逻辑处理功能，完成调度台管理、通信录管理、接入网关控制等功能。音视频媒体服务实现音视频媒体控制，包括：音视频混合会议、媒体流转发、媒体流分发、媒体转码等。软交换服务实现办公电话、手机，通过SIP协议与视频融合业务软件进行互联，能够将各种IP通话终端接入到平台中。位置服务主要是把接入资源的位置信息进行统一汇总存储，通过业务数据调用接口提供给业务层进行使用。消息服务主要是提供文本、图片、语音、视频、文件等业务功能服务模块。电话服务主要是实现和电话系统的对接，对接完成</w:t>
      </w:r>
      <w:r>
        <w:rPr>
          <w:rFonts w:hint="eastAsia"/>
          <w:lang w:eastAsia="zh-CN"/>
        </w:rPr>
        <w:t>后</w:t>
      </w:r>
      <w:r>
        <w:rPr>
          <w:rFonts w:hint="eastAsia"/>
        </w:rPr>
        <w:t>，融合通信平台上的终端可以通过电话系统拨打外线。会议服务主要是提供音视频会议业务，可以对不同的资源组建音视频会议。对讲服务提供对讲接入的服务能力，可以实现IP和模拟、窄带、广播等其他的音频资源实现对讲的业务。预案服务是解决电子化预案最后一步通信通知的相关事宜，通过电子化预案来执行可执行通信预案的手段、方式、类型、内容等，能够让指挥人员可在高效的时间范围内快速的发起预案。</w:t>
      </w:r>
    </w:p>
    <w:p w14:paraId="41041FD5">
      <w:pPr>
        <w:pStyle w:val="15"/>
      </w:pPr>
      <w:r>
        <w:rPr>
          <w:rFonts w:hint="eastAsia"/>
        </w:rPr>
        <w:t>数据汇聚层也是关键的一层，所有的数据信息都存放在这一层，包括：用户基础信息的维护数据、资源GIS位置数据、基本业务信息数据、会议资源数据、状态字典数据、预案信息维护数据、音视频录制数据等。</w:t>
      </w:r>
    </w:p>
    <w:p w14:paraId="5645FFFA">
      <w:pPr>
        <w:pStyle w:val="15"/>
      </w:pPr>
      <w:r>
        <w:rPr>
          <w:rFonts w:hint="eastAsia"/>
        </w:rPr>
        <w:t>传输网络层主要表达的含义是融合通信平台不挑剔网络，融合通信平台可以融合不同网络设备中的音视频资源。</w:t>
      </w:r>
    </w:p>
    <w:p w14:paraId="5679EC3E">
      <w:pPr>
        <w:pStyle w:val="15"/>
        <w:rPr>
          <w:rFonts w:hint="eastAsia"/>
        </w:rPr>
        <w:sectPr>
          <w:pgSz w:w="11906" w:h="16838"/>
          <w:pgMar w:top="1418" w:right="1531" w:bottom="1418" w:left="1531" w:header="851" w:footer="992" w:gutter="0"/>
          <w:pgBorders>
            <w:top w:val="none" w:sz="0" w:space="0"/>
            <w:left w:val="none" w:sz="0" w:space="0"/>
            <w:bottom w:val="none" w:sz="0" w:space="0"/>
            <w:right w:val="none" w:sz="0" w:space="0"/>
          </w:pgBorders>
          <w:cols w:space="425" w:num="1"/>
          <w:docGrid w:type="lines" w:linePitch="312" w:charSpace="0"/>
        </w:sectPr>
      </w:pPr>
      <w:r>
        <w:rPr>
          <w:rFonts w:hint="eastAsia"/>
        </w:rPr>
        <w:t>终端层主要是接入整合的不同体制通信系统，包括办公电话系统、PSTN、集群系统、视频监控系统、视频会议系统、图传系统和卫星通信系统等。系统将该层各通信系统进行了横向集成和纵向交叉贯通。在不破坏原有系统架构基础上，通过各种类型的接入网关能够与各种通信系统进行对接，终端包括：调度台、移动调度台、手机APP、专业移动布控球、会议终端、桌面视频终端等。</w:t>
      </w:r>
    </w:p>
    <w:p w14:paraId="1E68D8DF">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系统组网</w:t>
      </w:r>
    </w:p>
    <w:p w14:paraId="3754AE64">
      <w:pPr>
        <w:pStyle w:val="43"/>
      </w:pPr>
      <w:r>
        <w:rPr>
          <w:rFonts w:asciiTheme="minorHAnsi" w:hAnsiTheme="minorHAnsi"/>
        </w:rPr>
        <w:drawing>
          <wp:inline distT="0" distB="0" distL="0" distR="0">
            <wp:extent cx="8279130" cy="4686935"/>
            <wp:effectExtent l="0" t="0" r="11430" b="6985"/>
            <wp:docPr id="13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4"/>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8279130" cy="4686935"/>
                    </a:xfrm>
                    <a:prstGeom prst="rect">
                      <a:avLst/>
                    </a:prstGeom>
                  </pic:spPr>
                </pic:pic>
              </a:graphicData>
            </a:graphic>
          </wp:inline>
        </w:drawing>
      </w:r>
    </w:p>
    <w:p w14:paraId="46B301D4">
      <w:pPr>
        <w:pStyle w:val="44"/>
        <w:spacing w:after="156"/>
        <w:rPr>
          <w:rFonts w:hint="eastAsia"/>
        </w:rPr>
        <w:sectPr>
          <w:pgSz w:w="16838" w:h="11906" w:orient="landscape"/>
          <w:pgMar w:top="1531" w:right="1418" w:bottom="1531" w:left="1418" w:header="851" w:footer="992" w:gutter="0"/>
          <w:pgBorders>
            <w:top w:val="none" w:sz="0" w:space="0"/>
            <w:left w:val="none" w:sz="0" w:space="0"/>
            <w:bottom w:val="none" w:sz="0" w:space="0"/>
            <w:right w:val="none" w:sz="0" w:space="0"/>
          </w:pgBorders>
          <w:cols w:space="425" w:num="1"/>
          <w:docGrid w:type="lines" w:linePitch="312" w:charSpace="0"/>
        </w:sectPr>
      </w:pPr>
      <w:r>
        <w:rPr>
          <w:rFonts w:hint="eastAsia"/>
        </w:rPr>
        <w:t xml:space="preserve">图 </w:t>
      </w:r>
      <w:r>
        <w:rPr>
          <w:rFonts w:hint="eastAsia"/>
        </w:rPr>
        <w:fldChar w:fldCharType="begin"/>
      </w:r>
      <w:r>
        <w:rPr>
          <w:rFonts w:hint="eastAsia"/>
        </w:rPr>
        <w:instrText xml:space="preserve"> STYLEREF 1 \s </w:instrText>
      </w:r>
      <w:r>
        <w:rPr>
          <w:rFonts w:hint="eastAsia"/>
        </w:rPr>
        <w:fldChar w:fldCharType="separate"/>
      </w:r>
      <w:r>
        <w:rPr>
          <w:rFonts w:hint="eastAsia"/>
        </w:rPr>
        <w:t>0</w:t>
      </w:r>
      <w:r>
        <w:rPr>
          <w:rFonts w:hint="eastAsia"/>
        </w:rPr>
        <w:fldChar w:fldCharType="end"/>
      </w:r>
      <w:r>
        <w:rPr>
          <w:rFonts w:hint="eastAsia"/>
        </w:rPr>
        <w:t>-</w:t>
      </w:r>
      <w:r>
        <w:rPr>
          <w:rFonts w:hint="eastAsia"/>
        </w:rPr>
        <w:fldChar w:fldCharType="begin"/>
      </w:r>
      <w:r>
        <w:rPr>
          <w:rFonts w:hint="eastAsia"/>
        </w:rPr>
        <w:instrText xml:space="preserve"> SEQ 图 \* ARABIC \s 1 </w:instrText>
      </w:r>
      <w:r>
        <w:rPr>
          <w:rFonts w:hint="eastAsia"/>
        </w:rPr>
        <w:fldChar w:fldCharType="separate"/>
      </w:r>
      <w:r>
        <w:rPr>
          <w:rFonts w:hint="eastAsia"/>
        </w:rPr>
        <w:t>4</w:t>
      </w:r>
      <w:r>
        <w:rPr>
          <w:rFonts w:hint="eastAsia"/>
        </w:rPr>
        <w:fldChar w:fldCharType="end"/>
      </w:r>
      <w:bookmarkStart w:id="4" w:name="_Toc13377"/>
      <w:r>
        <w:rPr>
          <w:rFonts w:hint="eastAsia"/>
        </w:rPr>
        <w:t>音视频通信调度系统组网图</w:t>
      </w:r>
      <w:bookmarkEnd w:id="4"/>
    </w:p>
    <w:p w14:paraId="5C59F123">
      <w:pPr>
        <w:pStyle w:val="15"/>
      </w:pPr>
      <w:r>
        <w:t>如上图所示，</w:t>
      </w:r>
      <w:r>
        <w:rPr>
          <w:rFonts w:hint="eastAsia"/>
          <w:lang w:val="en-US" w:eastAsia="zh-CN"/>
        </w:rPr>
        <w:t>音视频通信调度平台</w:t>
      </w:r>
      <w:r>
        <w:t>以融合通信平台为核心，通过各种的标准协议和网关实现和现有视频监控系统、视频会议系统、办公电话系统、扩音广播系统、音视频矩阵、对讲系统、</w:t>
      </w:r>
      <w:r>
        <w:rPr>
          <w:rFonts w:hint="eastAsia"/>
        </w:rPr>
        <w:t>通信保障平台</w:t>
      </w:r>
      <w:r>
        <w:t>等系统对接，实现互联互通和统一调度，根据岗位职能需求配置调度中心调度台、值班调度话机、移动单兵等各种终端用于日常通信和指挥调度。</w:t>
      </w:r>
    </w:p>
    <w:p w14:paraId="0184C4BA">
      <w:pPr>
        <w:pStyle w:val="15"/>
      </w:pPr>
      <w:r>
        <w:t>系统核心平台基于IP网络部署</w:t>
      </w:r>
      <w:r>
        <w:rPr>
          <w:rFonts w:hint="eastAsia"/>
        </w:rPr>
        <w:t>。</w:t>
      </w:r>
      <w:r>
        <w:t>并通过各种融合接入系统，或音视频网关把非IP化的系统接入到IP网络实现对接互通</w:t>
      </w:r>
      <w:r>
        <w:rPr>
          <w:rFonts w:hint="eastAsia"/>
        </w:rPr>
        <w:t>。</w:t>
      </w:r>
      <w:r>
        <w:t>平台通过运营商的移动通信网络，便于移动单兵终端通过4/5G或WIFI网络接入和通信调度的交互</w:t>
      </w:r>
      <w:r>
        <w:rPr>
          <w:rFonts w:hint="eastAsia"/>
        </w:rPr>
        <w:t>。</w:t>
      </w:r>
      <w:r>
        <w:t>可通过扩展的E1/FXO中继接口，接入PSTN网络/PBX设备，用于和公网电话的互联互通</w:t>
      </w:r>
      <w:r>
        <w:rPr>
          <w:rFonts w:hint="eastAsia"/>
        </w:rPr>
        <w:t>。</w:t>
      </w:r>
      <w:r>
        <w:t>也可通过扩展的短信网关和电子传真服务器，实现PSTN短信收发和传真的电子发送业务，还可以通过音频接入网关，把指挥中心或会议的音响发言系统，接入到融合通信平台，实现传统音频系统在融合通信中的应用，实现传统发言单元的音频指挥通过融合通信平台，把指挥中心的指令，实时下达到更多的通信系统中，实现综合指挥调度通信业务。</w:t>
      </w:r>
    </w:p>
    <w:p w14:paraId="5D7BD475">
      <w:pPr>
        <w:pStyle w:val="15"/>
      </w:pPr>
      <w:r>
        <w:t>可视化的融合通信指挥调度平台，具备高质量的视音频传输特性，可实现传统语音调度系统无可比拟的信息直观性和准确度，让调度指令的传达，如同面对面般直接、有效。</w:t>
      </w:r>
    </w:p>
    <w:p w14:paraId="729271E1">
      <w:pPr>
        <w:pStyle w:val="15"/>
      </w:pPr>
      <w:r>
        <w:t>平台中的主要</w:t>
      </w:r>
      <w:r>
        <w:rPr>
          <w:rFonts w:hint="eastAsia"/>
        </w:rPr>
        <w:t>功能和</w:t>
      </w:r>
      <w:r>
        <w:t>设备角色如下：</w:t>
      </w:r>
    </w:p>
    <w:p w14:paraId="7727C72F">
      <w:pPr>
        <w:pStyle w:val="15"/>
      </w:pPr>
      <w:r>
        <w:rPr>
          <w:rFonts w:hint="eastAsia"/>
        </w:rPr>
        <w:t>平台核心能力包括</w:t>
      </w:r>
      <w:r>
        <w:t>：</w:t>
      </w:r>
      <w:r>
        <w:rPr>
          <w:rFonts w:hint="eastAsia"/>
        </w:rPr>
        <w:t>语音调度、视频调度、GIS调度、对讲调度</w:t>
      </w:r>
      <w:r>
        <w:t>、</w:t>
      </w:r>
      <w:r>
        <w:rPr>
          <w:rFonts w:hint="eastAsia"/>
        </w:rPr>
        <w:t>录音录像、系统整合</w:t>
      </w:r>
      <w:r>
        <w:t>系统服务器、</w:t>
      </w:r>
      <w:r>
        <w:rPr>
          <w:rFonts w:hint="eastAsia"/>
        </w:rPr>
        <w:t>移动应用集成、接口服务等。</w:t>
      </w:r>
    </w:p>
    <w:p w14:paraId="4C115F6B">
      <w:pPr>
        <w:pStyle w:val="15"/>
      </w:pPr>
      <w:r>
        <w:t>接入层网关：包含</w:t>
      </w:r>
      <w:r>
        <w:rPr>
          <w:rFonts w:hint="eastAsia"/>
        </w:rPr>
        <w:t>媒体</w:t>
      </w:r>
      <w:r>
        <w:t>网关，集群网关、</w:t>
      </w:r>
      <w:r>
        <w:rPr>
          <w:rFonts w:hint="eastAsia"/>
        </w:rPr>
        <w:t>音频</w:t>
      </w:r>
      <w:r>
        <w:t>广播网关、</w:t>
      </w:r>
      <w:r>
        <w:rPr>
          <w:rFonts w:hint="eastAsia"/>
        </w:rPr>
        <w:t>视频网关、</w:t>
      </w:r>
      <w:r>
        <w:t>电子传真网关等网关类设备。</w:t>
      </w:r>
    </w:p>
    <w:p w14:paraId="518663C3">
      <w:pPr>
        <w:pStyle w:val="15"/>
      </w:pPr>
      <w:r>
        <w:t>有线通信终端：模拟话机、IP话机、IP广播终端、国标摄像头、可视话机、视频会议终端等等。</w:t>
      </w:r>
    </w:p>
    <w:p w14:paraId="2BAE0C27">
      <w:pPr>
        <w:pStyle w:val="15"/>
      </w:pPr>
      <w:r>
        <w:t>移动通信终端：对讲机/执法仪/单兵、卫星电话终端等。</w:t>
      </w:r>
    </w:p>
    <w:p w14:paraId="4F15059D">
      <w:pPr>
        <w:pStyle w:val="15"/>
      </w:pPr>
      <w:r>
        <w:t>专用调度终端：触摸屏一体化调度台，指挥调度客户端软件，安卓APP调度终端软件、实现语音调度、视频调度、GIS调度等多媒体调度业务。</w:t>
      </w:r>
    </w:p>
    <w:p w14:paraId="748542E1">
      <w:pPr>
        <w:pStyle w:val="8"/>
        <w:keepNext w:val="0"/>
        <w:keepLines w:val="0"/>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平台部署</w:t>
      </w:r>
    </w:p>
    <w:p w14:paraId="3763B2B1">
      <w:pPr>
        <w:pStyle w:val="15"/>
        <w:keepNext w:val="0"/>
        <w:keepLines w:val="0"/>
        <w:pageBreakBefore w:val="0"/>
        <w:widowControl w:val="0"/>
        <w:kinsoku/>
        <w:wordWrap/>
        <w:overflowPunct/>
        <w:topLinePunct w:val="0"/>
        <w:autoSpaceDE/>
        <w:autoSpaceDN/>
        <w:bidi w:val="0"/>
        <w:textAlignment w:val="auto"/>
      </w:pPr>
      <w:r>
        <w:rPr>
          <w:rFonts w:hint="eastAsia"/>
        </w:rPr>
        <w:t>音视频融合系统服务器部署在内网，可以充分利用内网内的音视频资源，完成与视频监控平台、视频会议、PSTN等系统的</w:t>
      </w:r>
      <w:r>
        <w:rPr>
          <w:rFonts w:hint="eastAsia"/>
          <w:lang w:eastAsia="zh-CN"/>
        </w:rPr>
        <w:t>融合</w:t>
      </w:r>
      <w:r>
        <w:rPr>
          <w:rFonts w:hint="eastAsia"/>
        </w:rPr>
        <w:t>互通，中间通过安全接入，使得内网和互联网的终端和系统进行音视频、定位、数据的融合。</w:t>
      </w:r>
    </w:p>
    <w:p w14:paraId="06CAFB02">
      <w:pPr>
        <w:pStyle w:val="15"/>
      </w:pPr>
      <w:r>
        <w:rPr>
          <w:rFonts w:hint="eastAsia"/>
        </w:rPr>
        <w:t>同时在内网部署相应的指挥调度台软件，实现与部署在内网的数据系统、GIS系统等进行融合互通与数据共享。</w:t>
      </w:r>
    </w:p>
    <w:p w14:paraId="340C32E0">
      <w:pPr>
        <w:pStyle w:val="43"/>
      </w:pPr>
      <w:r>
        <w:drawing>
          <wp:inline distT="0" distB="0" distL="0" distR="0">
            <wp:extent cx="5274310" cy="2852420"/>
            <wp:effectExtent l="0" t="0" r="13970" b="12700"/>
            <wp:docPr id="1373337604" name="图片 1373337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337604" name="图片 1373337604"/>
                    <pic:cNvPicPr>
                      <a:picLocks noChangeAspect="1"/>
                    </pic:cNvPicPr>
                  </pic:nvPicPr>
                  <pic:blipFill>
                    <a:blip r:embed="rId8"/>
                    <a:stretch>
                      <a:fillRect/>
                    </a:stretch>
                  </pic:blipFill>
                  <pic:spPr>
                    <a:xfrm>
                      <a:off x="0" y="0"/>
                      <a:ext cx="5274310" cy="2852420"/>
                    </a:xfrm>
                    <a:prstGeom prst="rect">
                      <a:avLst/>
                    </a:prstGeom>
                  </pic:spPr>
                </pic:pic>
              </a:graphicData>
            </a:graphic>
          </wp:inline>
        </w:drawing>
      </w:r>
    </w:p>
    <w:p w14:paraId="5308893A">
      <w:pPr>
        <w:pStyle w:val="44"/>
        <w:spacing w:after="156"/>
      </w:pPr>
      <w:r>
        <w:rPr>
          <w:rFonts w:hint="eastAsia"/>
        </w:rPr>
        <w:t>图</w:t>
      </w:r>
      <w:r>
        <w:rPr>
          <w:rFonts w:hint="eastAsia"/>
        </w:rPr>
        <w:fldChar w:fldCharType="begin"/>
      </w:r>
      <w:r>
        <w:rPr>
          <w:rFonts w:hint="eastAsia"/>
        </w:rPr>
        <w:instrText xml:space="preserve"> STYLEREF 1 \s </w:instrText>
      </w:r>
      <w:r>
        <w:rPr>
          <w:rFonts w:hint="eastAsia"/>
        </w:rPr>
        <w:fldChar w:fldCharType="separate"/>
      </w:r>
      <w:r>
        <w:rPr>
          <w:rFonts w:hint="eastAsia"/>
        </w:rPr>
        <w:t>0</w:t>
      </w:r>
      <w:r>
        <w:rPr>
          <w:rFonts w:hint="eastAsia"/>
        </w:rPr>
        <w:fldChar w:fldCharType="end"/>
      </w:r>
      <w:r>
        <w:rPr>
          <w:rFonts w:hint="eastAsia"/>
        </w:rPr>
        <w:t>-</w:t>
      </w:r>
      <w:r>
        <w:rPr>
          <w:rFonts w:hint="eastAsia"/>
        </w:rPr>
        <w:fldChar w:fldCharType="begin"/>
      </w:r>
      <w:r>
        <w:rPr>
          <w:rFonts w:hint="eastAsia"/>
        </w:rPr>
        <w:instrText xml:space="preserve"> SEQ 图 \* ARABIC \s 1 </w:instrText>
      </w:r>
      <w:r>
        <w:rPr>
          <w:rFonts w:hint="eastAsia"/>
        </w:rPr>
        <w:fldChar w:fldCharType="separate"/>
      </w:r>
      <w:r>
        <w:rPr>
          <w:rFonts w:hint="eastAsia"/>
        </w:rPr>
        <w:t>5</w:t>
      </w:r>
      <w:r>
        <w:rPr>
          <w:rFonts w:hint="eastAsia"/>
        </w:rPr>
        <w:fldChar w:fldCharType="end"/>
      </w:r>
      <w:bookmarkStart w:id="5" w:name="_Toc22330"/>
      <w:r>
        <w:rPr>
          <w:rFonts w:hint="eastAsia"/>
        </w:rPr>
        <w:t>图系统部署架构示意图</w:t>
      </w:r>
      <w:bookmarkEnd w:id="5"/>
    </w:p>
    <w:p w14:paraId="09854559">
      <w:pPr>
        <w:pStyle w:val="7"/>
        <w:keepNext/>
        <w:keepLines/>
        <w:pageBreakBefore w:val="0"/>
        <w:widowControl w:val="0"/>
        <w:kinsoku/>
        <w:wordWrap/>
        <w:overflowPunct/>
        <w:topLinePunct w:val="0"/>
        <w:autoSpaceDE/>
        <w:autoSpaceDN/>
        <w:bidi w:val="0"/>
        <w:adjustRightInd w:val="0"/>
        <w:snapToGrid w:val="0"/>
        <w:spacing w:before="240" w:after="240"/>
        <w:textAlignment w:val="auto"/>
        <w:outlineLvl w:val="2"/>
        <w:rPr>
          <w:rFonts w:hint="eastAsia"/>
        </w:rPr>
      </w:pPr>
      <w:r>
        <w:rPr>
          <w:rFonts w:hint="eastAsia"/>
        </w:rPr>
        <w:t>软件功能</w:t>
      </w:r>
    </w:p>
    <w:p w14:paraId="58C2218D">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语音调度</w:t>
      </w:r>
    </w:p>
    <w:p w14:paraId="2A8DFD3C">
      <w:pPr>
        <w:pStyle w:val="15"/>
      </w:pPr>
      <w:r>
        <w:rPr>
          <w:rFonts w:hint="eastAsia"/>
        </w:rPr>
        <w:t>融合各业务系统的音频通信，包括融合PSTN电话系统、LTE专网通信终端等。实现音频终端的统一调度、统一接入、集中管理。具备：单呼、组呼、对讲、广播、会议、固定组呼、临时组呼、强插、强拆、强断、监听、轮呼、热线、录音等功能。在生产办公调度、应急调度和融合通信中，基于语音的指挥调度，是最基础的调度业务。</w:t>
      </w:r>
    </w:p>
    <w:p w14:paraId="2438A690">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通话保持</w:t>
      </w:r>
    </w:p>
    <w:p w14:paraId="2C5AABE5">
      <w:pPr>
        <w:pStyle w:val="15"/>
      </w:pPr>
      <w:r>
        <w:rPr>
          <w:rFonts w:hint="eastAsia"/>
        </w:rPr>
        <w:t>在两方通话时，一方可执行通话保持操作，此时对方会听到通话保留提示音，当需要继续通话时，可以执行解保持操作。</w:t>
      </w:r>
    </w:p>
    <w:p w14:paraId="2D8131E8">
      <w:pPr>
        <w:pStyle w:val="9"/>
        <w:keepNext w:val="0"/>
        <w:keepLines w:val="0"/>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振铃组/轮询组</w:t>
      </w:r>
    </w:p>
    <w:p w14:paraId="50645038">
      <w:pPr>
        <w:pStyle w:val="15"/>
        <w:keepNext w:val="0"/>
        <w:keepLines w:val="0"/>
        <w:pageBreakBefore w:val="0"/>
        <w:widowControl w:val="0"/>
        <w:kinsoku/>
        <w:wordWrap/>
        <w:overflowPunct/>
        <w:topLinePunct w:val="0"/>
        <w:autoSpaceDE/>
        <w:autoSpaceDN/>
        <w:bidi w:val="0"/>
        <w:textAlignment w:val="auto"/>
      </w:pPr>
      <w:r>
        <w:rPr>
          <w:rFonts w:hint="eastAsia"/>
        </w:rPr>
        <w:t>可以为一组用户设定一个组号码，当有用户呼叫组号码时，组内所有用户同时响铃，任一用户应答后，组内其他用户振铃停止。振铃方式可以设置为同时振铃或循环振铃。</w:t>
      </w:r>
    </w:p>
    <w:p w14:paraId="3366645D">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强插</w:t>
      </w:r>
    </w:p>
    <w:p w14:paraId="7A250C76">
      <w:pPr>
        <w:pStyle w:val="15"/>
      </w:pPr>
      <w:r>
        <w:rPr>
          <w:rFonts w:hint="eastAsia"/>
        </w:rPr>
        <w:t>具有强插权限的终端A在呼叫某分机B，而该分机在与C通话时（或调度台直接选择某一通话线路），执行强插操作，可直接插入该路通话话路进行三方通话，实现强插业务。</w:t>
      </w:r>
    </w:p>
    <w:p w14:paraId="7A5C1269">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强拆</w:t>
      </w:r>
    </w:p>
    <w:p w14:paraId="393B369D">
      <w:pPr>
        <w:pStyle w:val="15"/>
      </w:pPr>
      <w:r>
        <w:rPr>
          <w:rFonts w:hint="eastAsia"/>
        </w:rPr>
        <w:t>具有强拆权限的终端A在呼叫某分机B，而该分机在与C通话时（或调度台直接选择某一个正在通话的用户），执行强拆操作，可以挂断C后建立与B的通话。</w:t>
      </w:r>
    </w:p>
    <w:p w14:paraId="2FAAF13D">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代接</w:t>
      </w:r>
    </w:p>
    <w:p w14:paraId="4BF58095">
      <w:pPr>
        <w:pStyle w:val="15"/>
      </w:pPr>
      <w:r>
        <w:rPr>
          <w:rFonts w:hint="eastAsia"/>
        </w:rPr>
        <w:t>当终端的同组成员中某分机正在振铃，但该分机无人接听，调度台可通过代答操作直接接起该分机的来电。</w:t>
      </w:r>
    </w:p>
    <w:p w14:paraId="2452C2A6">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通话转移</w:t>
      </w:r>
    </w:p>
    <w:p w14:paraId="16023113">
      <w:pPr>
        <w:pStyle w:val="15"/>
      </w:pPr>
      <w:r>
        <w:rPr>
          <w:rFonts w:hint="eastAsia"/>
        </w:rPr>
        <w:t>用户A和B在通话中，A选择转接目标C后执行通话转移功能，将通话转接给目标C，然后A挂机。B被保留听保留音，C振铃响应，C应答后B和C建立通话。</w:t>
      </w:r>
    </w:p>
    <w:p w14:paraId="6D21666A">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通话桥接</w:t>
      </w:r>
    </w:p>
    <w:p w14:paraId="3562D969">
      <w:pPr>
        <w:pStyle w:val="15"/>
      </w:pPr>
      <w:r>
        <w:rPr>
          <w:rFonts w:hint="eastAsia"/>
        </w:rPr>
        <w:t>用户A和B在通话中，A先执行保留，B听保留音，然后A选择桥接目标C并呼叫C，C振铃并应答后A和C建立通话，A执行通话桥接则B和C建立通话，A则可以退出。</w:t>
      </w:r>
    </w:p>
    <w:p w14:paraId="2C3B5003">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监听</w:t>
      </w:r>
    </w:p>
    <w:p w14:paraId="7A7945C6">
      <w:pPr>
        <w:pStyle w:val="15"/>
      </w:pPr>
      <w:r>
        <w:rPr>
          <w:rFonts w:hint="eastAsia"/>
        </w:rPr>
        <w:t>具有监听权限的终端，可直接进入到所选中成员的通话中，在不影响双方通话的情况下进行通话监听。</w:t>
      </w:r>
    </w:p>
    <w:p w14:paraId="1976B019">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通话队列</w:t>
      </w:r>
    </w:p>
    <w:p w14:paraId="794E6999">
      <w:pPr>
        <w:pStyle w:val="15"/>
      </w:pPr>
      <w:r>
        <w:rPr>
          <w:rFonts w:hint="eastAsia"/>
        </w:rPr>
        <w:t>当调度台同时有多个用户呼入时，自动进行来电的排队，调度员可以根据来电自行决定接听顺序。</w:t>
      </w:r>
    </w:p>
    <w:p w14:paraId="50360D77">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联动话机</w:t>
      </w:r>
    </w:p>
    <w:p w14:paraId="44AF63E0">
      <w:pPr>
        <w:pStyle w:val="15"/>
      </w:pPr>
      <w:r>
        <w:rPr>
          <w:rFonts w:hint="eastAsia"/>
        </w:rPr>
        <w:t>调度台用户可将多部IP电话部署在调度台边上，设置为自己的调度台分机帐户的联动话机。当调度台帐户本身未配置耳机或麦克风等语音设备时，可利用已配置的联动话机响应来电或进行对外呼叫。当有呼叫到调度台时，调度台和联动的IP话机同时振铃，不管是调度台本身摘机接听，还是所设置的联动IP话机摘机接听后，该呼叫自动转到接听的那一方进行正常通话流程。</w:t>
      </w:r>
    </w:p>
    <w:p w14:paraId="17975375">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外呼号码</w:t>
      </w:r>
    </w:p>
    <w:p w14:paraId="23696322">
      <w:pPr>
        <w:pStyle w:val="15"/>
      </w:pPr>
      <w:r>
        <w:rPr>
          <w:rFonts w:hint="eastAsia"/>
        </w:rPr>
        <w:t>调度台通信录可以保存内部号码，也可以保存外部号码。可以从通信录上发起外部号码呼叫，实现对其他通信系统（办公电话系统、卫星电话）或PSTN的电话呼叫。</w:t>
      </w:r>
    </w:p>
    <w:p w14:paraId="1D0CC899">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视频联动</w:t>
      </w:r>
    </w:p>
    <w:p w14:paraId="0E7866BC">
      <w:pPr>
        <w:pStyle w:val="15"/>
      </w:pPr>
      <w:r>
        <w:rPr>
          <w:rFonts w:hint="eastAsia"/>
        </w:rPr>
        <w:t>可以将某个用户号码和某个监控摄像头进行绑定，绑定以后，当调度台呼叫该用户或者用户呼叫调度台（如SoS告警），通话建立后，与之绑定的摄像头视频就会在视频监控屏幕上弹出。当通话挂断以后，视频也关闭。</w:t>
      </w:r>
    </w:p>
    <w:p w14:paraId="3C09E2E9">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电话会议</w:t>
      </w:r>
    </w:p>
    <w:p w14:paraId="6252C95A">
      <w:pPr>
        <w:pStyle w:val="15"/>
      </w:pPr>
      <w:r>
        <w:rPr>
          <w:rFonts w:hint="eastAsia"/>
        </w:rPr>
        <w:t>调度员可通过调度台发起固定群组的电话会议或临时选定成员的会议，电话会议中，支持成员添加、踢出、禁言、结束等会议控制操作。</w:t>
      </w:r>
    </w:p>
    <w:p w14:paraId="1D037131">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语音广播</w:t>
      </w:r>
    </w:p>
    <w:p w14:paraId="281A2311">
      <w:pPr>
        <w:pStyle w:val="15"/>
      </w:pPr>
      <w:r>
        <w:rPr>
          <w:rFonts w:hint="eastAsia"/>
        </w:rPr>
        <w:t>调度员可通过调度台发起固定广播组的广播，或临时选定成员的广播，广播可以是实时的语音广播，也可以采用预置语音文件的广播，还可以是文本转语音的广播业务，固定广播组可以设置播放时间等广播管理策略。</w:t>
      </w:r>
    </w:p>
    <w:p w14:paraId="0DC01AD8">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视频调度</w:t>
      </w:r>
    </w:p>
    <w:p w14:paraId="1DD297E1">
      <w:pPr>
        <w:pStyle w:val="15"/>
      </w:pPr>
      <w:r>
        <w:rPr>
          <w:rFonts w:hint="eastAsia"/>
        </w:rPr>
        <w:t>可融合对接：视频监控系统、视频会议终端、LTE专网终端、4G/5G执法仪、4G/5G车载终端、4G/5G单兵、4G/5G布控球等终端。实现视频终端和视频资源的统一调度、统一接入、集中管理。具备：视频通话、视频查看、视频监控、视频回传、视频转发、视频推送、视频会议、视频录制、视频轮询等。视频会议采用SFU技术架构，具备拉人、踢人、禁言、禁听、解码上墙、云控、共享屏幕、主持人会议录制、拍照、会议中播放音频文件等会议控制功能。</w:t>
      </w:r>
    </w:p>
    <w:p w14:paraId="33194A30">
      <w:pPr>
        <w:pStyle w:val="15"/>
      </w:pPr>
      <w:r>
        <w:rPr>
          <w:rFonts w:hint="eastAsia"/>
        </w:rPr>
        <w:t>在综合指挥应急调度中，对于视频的融合指挥调度，是核心的业务需求之一，平台可以调度各种视频资源“视频监控、视频会议、无人机、应急装备、布控球、移动智能单兵、执法仪、可视电话等等”，并在平台上统一展示和融合调度。</w:t>
      </w:r>
    </w:p>
    <w:p w14:paraId="6C3FD6CC">
      <w:pPr>
        <w:pStyle w:val="15"/>
      </w:pPr>
      <w:r>
        <w:rPr>
          <w:rFonts w:hint="eastAsia"/>
        </w:rPr>
        <w:t>在现场应急和移动执法等业务场景，高清视频实时回传是融合通信指挥调度的核心业务，是实现应急通信、现场执法取证、远程辅助决策等重要的业务手段。平台基于4/5G移动网络可以实现720P以上的高清视频实时回传，并实时转分发给其他移动智能终端，或可以在调度台或调度会议中，统一指挥调度应用。</w:t>
      </w:r>
    </w:p>
    <w:p w14:paraId="68203543">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视频通话</w:t>
      </w:r>
    </w:p>
    <w:p w14:paraId="36A82D92">
      <w:pPr>
        <w:pStyle w:val="15"/>
      </w:pPr>
      <w:r>
        <w:rPr>
          <w:rFonts w:hint="eastAsia"/>
        </w:rPr>
        <w:t>具有视频设备的用户或者调度台，都可通过通信录选择任何其他具备视频设备的用户发起一对一视频通话，双方均可看到对方的视频和听到对方的声音。</w:t>
      </w:r>
    </w:p>
    <w:p w14:paraId="6CE918E5">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视频查看</w:t>
      </w:r>
    </w:p>
    <w:p w14:paraId="456D07BF">
      <w:pPr>
        <w:pStyle w:val="15"/>
      </w:pPr>
      <w:r>
        <w:rPr>
          <w:rFonts w:hint="eastAsia"/>
        </w:rPr>
        <w:t>视频查看用于主动</w:t>
      </w:r>
      <w:r>
        <w:rPr>
          <w:rFonts w:hint="eastAsia"/>
          <w:lang w:eastAsia="zh-CN"/>
        </w:rPr>
        <w:t>查看其他</w:t>
      </w:r>
      <w:r>
        <w:rPr>
          <w:rFonts w:hint="eastAsia"/>
        </w:rPr>
        <w:t>用户的视频。发起方用户或调度台，可通过通信录选择任何其他具备视频设备的用户，发起视频查看业务，发起方可看到被叫方的视频，但不向被叫方发送自己的视频。</w:t>
      </w:r>
    </w:p>
    <w:p w14:paraId="02CEFC4A">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视频上传</w:t>
      </w:r>
    </w:p>
    <w:p w14:paraId="59B14473">
      <w:pPr>
        <w:pStyle w:val="15"/>
      </w:pPr>
      <w:r>
        <w:rPr>
          <w:rFonts w:hint="eastAsia"/>
        </w:rPr>
        <w:t>视频上传用于主动向</w:t>
      </w:r>
      <w:r>
        <w:rPr>
          <w:rFonts w:hint="eastAsia"/>
          <w:lang w:eastAsia="zh-CN"/>
        </w:rPr>
        <w:t>其他用户</w:t>
      </w:r>
      <w:r>
        <w:rPr>
          <w:rFonts w:hint="eastAsia"/>
        </w:rPr>
        <w:t>发送本端的视频。具备视频设备的用户可通过通信录选择任何其他用户或调度台发起视频上传业务，被叫方可看到发起方的视频，但不向发起方发送自己的视频。</w:t>
      </w:r>
    </w:p>
    <w:p w14:paraId="009BD802">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视频转分发</w:t>
      </w:r>
    </w:p>
    <w:p w14:paraId="75BA823D">
      <w:pPr>
        <w:pStyle w:val="15"/>
      </w:pPr>
      <w:r>
        <w:rPr>
          <w:rFonts w:hint="eastAsia"/>
        </w:rPr>
        <w:t>调度台可把集中调看到调度台上的任意视频图像，同时转分发给多个手机、4G/5G终端、其他调度台共享预览。</w:t>
      </w:r>
    </w:p>
    <w:p w14:paraId="0F23633D">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视频会商</w:t>
      </w:r>
    </w:p>
    <w:p w14:paraId="5BA2CA97">
      <w:pPr>
        <w:pStyle w:val="15"/>
      </w:pPr>
      <w:r>
        <w:rPr>
          <w:rFonts w:hint="eastAsia"/>
        </w:rPr>
        <w:t>视频会议系统是应急</w:t>
      </w:r>
      <w:r>
        <w:t>融合通信平台的重要业务组件，</w:t>
      </w:r>
      <w:r>
        <w:rPr>
          <w:rFonts w:hint="eastAsia"/>
        </w:rPr>
        <w:t>采用更灵活的</w:t>
      </w:r>
      <w:r>
        <w:t>技术架构，可满足各种应用场景下的视频会商调度应用需求。系统支持Web端或移动APP端发起会议、主持会议，并可</w:t>
      </w:r>
      <w:r>
        <w:rPr>
          <w:rFonts w:hint="eastAsia"/>
        </w:rPr>
        <w:t>以</w:t>
      </w:r>
      <w:r>
        <w:t>通过融合通信平台的融合能力，将GB28181监控摄像头、网络摄像头、无人机</w:t>
      </w:r>
      <w:r>
        <w:rPr>
          <w:rFonts w:hint="eastAsia"/>
        </w:rPr>
        <w:t>视频</w:t>
      </w:r>
      <w:r>
        <w:t>、移动视频记录仪等视频源</w:t>
      </w:r>
      <w:r>
        <w:rPr>
          <w:rFonts w:hint="eastAsia"/>
        </w:rPr>
        <w:t>，</w:t>
      </w:r>
      <w:r>
        <w:t>拉入会议供参会方共享</w:t>
      </w:r>
      <w:r>
        <w:rPr>
          <w:rFonts w:hint="eastAsia"/>
        </w:rPr>
        <w:t>研判。具有拉人、踢人、禁言、焦点视频、共享屏幕等会议控制功能。</w:t>
      </w:r>
    </w:p>
    <w:p w14:paraId="0F42DBE0">
      <w:pPr>
        <w:pStyle w:val="45"/>
      </w:pPr>
      <w:r>
        <w:drawing>
          <wp:inline distT="0" distB="0" distL="0" distR="0">
            <wp:extent cx="4349750" cy="2700655"/>
            <wp:effectExtent l="0" t="0" r="8890" b="12065"/>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4351890" cy="2701787"/>
                    </a:xfrm>
                    <a:prstGeom prst="rect">
                      <a:avLst/>
                    </a:prstGeom>
                    <a:noFill/>
                  </pic:spPr>
                </pic:pic>
              </a:graphicData>
            </a:graphic>
          </wp:inline>
        </w:drawing>
      </w:r>
    </w:p>
    <w:p w14:paraId="12F9CBC3">
      <w:pPr>
        <w:pStyle w:val="15"/>
      </w:pPr>
      <w:r>
        <w:rPr>
          <w:rFonts w:hint="eastAsia"/>
        </w:rPr>
        <w:t>系统可以</w:t>
      </w:r>
      <w:r>
        <w:t>对第三方开放Android和Web客户端SDK接口，可灵活集成到第三方</w:t>
      </w:r>
      <w:r>
        <w:rPr>
          <w:rFonts w:hint="eastAsia"/>
        </w:rPr>
        <w:t>业务平台，提供方</w:t>
      </w:r>
      <w:r>
        <w:t>基于web界面管理，快速便捷，可以远程配置。</w:t>
      </w:r>
    </w:p>
    <w:p w14:paraId="140AB1D6">
      <w:pPr>
        <w:pStyle w:val="15"/>
      </w:pPr>
      <w:r>
        <w:rPr>
          <w:rFonts w:hint="eastAsia"/>
        </w:rPr>
        <w:t>1.PC的Web客户端功能</w:t>
      </w:r>
    </w:p>
    <w:p w14:paraId="795528D8">
      <w:pPr>
        <w:pStyle w:val="15"/>
      </w:pPr>
      <w:r>
        <w:rPr>
          <w:rFonts w:hint="eastAsia"/>
        </w:rPr>
        <w:t>具备创建会议、会议主题、加入会议、会议详情、会议视图、麦克风的开启/关闭、视频摄像头开启/关闭、查看参会成员、邀请成员、会议录制、屏幕共享、设置/取消焦点视频、请求静音、请求解除静音、请求开启/关闭视频、全员静音、解除全员静音、移出成员、离开会议、结束会议、会议记录、录制文件等业务。</w:t>
      </w:r>
    </w:p>
    <w:p w14:paraId="530CD8F5">
      <w:pPr>
        <w:pStyle w:val="15"/>
      </w:pPr>
      <w:r>
        <w:rPr>
          <w:rFonts w:hint="eastAsia"/>
        </w:rPr>
        <w:t>2.安卓APP功能</w:t>
      </w:r>
    </w:p>
    <w:p w14:paraId="2EEC1DD3">
      <w:pPr>
        <w:pStyle w:val="15"/>
      </w:pPr>
      <w:r>
        <w:rPr>
          <w:rFonts w:hint="eastAsia"/>
        </w:rPr>
        <w:t>具备创建会议、会议主题、加入会议、会议详情、麦克风开启/关闭、视频摄像头开启/关闭、查看参会成员、邀请成员、会议录制、屏幕共享、设置/取消焦点视频、请求静音、请求解除静音、请求开启/关闭视频、全员静音、解除全员静音、移出成员、离开会议、结束会议、会议记录等业务。</w:t>
      </w:r>
    </w:p>
    <w:p w14:paraId="3340F3EE">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视频联动</w:t>
      </w:r>
    </w:p>
    <w:p w14:paraId="5DDAC7DA">
      <w:pPr>
        <w:pStyle w:val="15"/>
      </w:pPr>
      <w:r>
        <w:rPr>
          <w:rFonts w:hint="eastAsia"/>
        </w:rPr>
        <w:t>给电话终端绑定一个联动号码，可以是视频监控的号码，调度台选中电话进行呼叫的时候，系统会自动将电话所绑定的监控视频调起来组成多人会议。</w:t>
      </w:r>
    </w:p>
    <w:p w14:paraId="2D31E098">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音视频切换</w:t>
      </w:r>
    </w:p>
    <w:p w14:paraId="6D81FE5C">
      <w:pPr>
        <w:pStyle w:val="15"/>
      </w:pPr>
      <w:r>
        <w:rPr>
          <w:rFonts w:hint="eastAsia"/>
        </w:rPr>
        <w:t>在调度台的视频通信对话框上，增加了“摄像头切换”“音频切换”的按键，调度台在视频通信过程中点击这个按键，就可以由调度台随时切换本地通信摄像头和麦克风的自由切换。</w:t>
      </w:r>
    </w:p>
    <w:p w14:paraId="2F07F2C7">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视频融合</w:t>
      </w:r>
    </w:p>
    <w:p w14:paraId="5EF990BC">
      <w:pPr>
        <w:pStyle w:val="15"/>
      </w:pPr>
      <w:r>
        <w:rPr>
          <w:rFonts w:hint="eastAsia"/>
        </w:rPr>
        <w:t>在配置了视频融合接入系统和流媒体服务器的平台中，平台支持对标准GB/28181视频监控平台或监控终端的综合视频融合调度能力，支持通过标准SIP协议或H.323协议对接入的第三方视频会议系统或视频会议终端的综合视频融合调度，支持通过流媒体协议对接入的无人机等其他视频系统的综合视频融合调度，并且在调度台的视频界面上，能够调看这些已融合接入到平台中的各种视频画面，并支持将所调看的视频画面转分发给其他调度台或移动终端共享。</w:t>
      </w:r>
    </w:p>
    <w:p w14:paraId="27327156">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GIS调度</w:t>
      </w:r>
    </w:p>
    <w:p w14:paraId="5532BF71">
      <w:pPr>
        <w:pStyle w:val="15"/>
      </w:pPr>
      <w:r>
        <w:rPr>
          <w:rFonts w:hint="eastAsia"/>
        </w:rPr>
        <w:t>通过获取LTE专网终端、手机终端、各类摄像头、4G/5G执法仪等设备的GIS地理位置信息，与业务应用平台融合，提供准确的位置信息，支撑上图展示调度。具备终端定位、圈选框选调度、轨迹查询、追踪、电子围栏、状态筛选、点位标记、点选呼叫、切换卫星/街道图层显示等功能。</w:t>
      </w:r>
    </w:p>
    <w:p w14:paraId="16E72BAB">
      <w:pPr>
        <w:pStyle w:val="15"/>
      </w:pPr>
      <w:r>
        <w:rPr>
          <w:rFonts w:hint="eastAsia"/>
        </w:rPr>
        <w:t>基于GPS/北斗定位功能，系统能够提供位置服务。位置业务主要包括终端用户的实时位置查询、终端用户的历史行动轨迹的回放、电子围栏、基于框选或套绳等位置信息的临时组呼、会议等。</w:t>
      </w:r>
    </w:p>
    <w:p w14:paraId="3D82FBE3">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实时定位</w:t>
      </w:r>
    </w:p>
    <w:p w14:paraId="65061937">
      <w:pPr>
        <w:pStyle w:val="15"/>
      </w:pPr>
      <w:r>
        <w:rPr>
          <w:rFonts w:hint="eastAsia"/>
        </w:rPr>
        <w:t>系统可实时采集终端上报的</w:t>
      </w:r>
      <w:r>
        <w:t>GPS/北斗位置信息，支持直接GPS/北斗定位，以及网络（公众移动网和WiFi）辅助的GPS定位，即使在室内无法接收GPS/北斗信号的情况下，接入公网后仍然能够使用定位服务。</w:t>
      </w:r>
    </w:p>
    <w:p w14:paraId="36024672">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t>GIS调度</w:t>
      </w:r>
    </w:p>
    <w:p w14:paraId="105559BC">
      <w:pPr>
        <w:pStyle w:val="15"/>
      </w:pPr>
      <w:r>
        <w:t>基于GIS地图的音/视频调度、会议调度、广播调度、短信调度、轨迹回放、圈选/绳选、路况查询、电子围栏、测距、测面积、视频</w:t>
      </w:r>
      <w:r>
        <w:rPr>
          <w:rFonts w:hint="eastAsia"/>
        </w:rPr>
        <w:t>联动</w:t>
      </w:r>
      <w:r>
        <w:t>等功能。</w:t>
      </w:r>
    </w:p>
    <w:p w14:paraId="35603E5D">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电子围栏</w:t>
      </w:r>
    </w:p>
    <w:p w14:paraId="4845510C">
      <w:pPr>
        <w:pStyle w:val="15"/>
      </w:pPr>
      <w:r>
        <w:rPr>
          <w:rFonts w:hint="eastAsia"/>
        </w:rPr>
        <w:t>调度员可为特定的用户划定活动区域，一旦该用户离开该区域，则向调度台告警。</w:t>
      </w:r>
    </w:p>
    <w:p w14:paraId="26431C57">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轨迹回放</w:t>
      </w:r>
    </w:p>
    <w:p w14:paraId="77A30D6B">
      <w:pPr>
        <w:pStyle w:val="15"/>
      </w:pPr>
      <w:r>
        <w:rPr>
          <w:rFonts w:hint="eastAsia"/>
        </w:rPr>
        <w:t>调度员可以查询某个用户在某个时间段内的移动轨迹，并在</w:t>
      </w:r>
      <w:r>
        <w:t>GIS地图上绘制呈现。</w:t>
      </w:r>
    </w:p>
    <w:p w14:paraId="4546BD94">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圈选</w:t>
      </w:r>
      <w:r>
        <w:t>/套绳</w:t>
      </w:r>
    </w:p>
    <w:p w14:paraId="45E3AC69">
      <w:pPr>
        <w:pStyle w:val="15"/>
      </w:pPr>
      <w:r>
        <w:t>在调度台GIS地图界面选择“圈选”，可以在地图上针对某个区域进行选中，在调度台GIS地图界面选择“套绳”，以点划线，选中画线路线左右各20米（默认值）的区域（区域范围可选）内的用户，都可对选中的用户进行会议的呼叫操作、临时对讲、广播等。</w:t>
      </w:r>
    </w:p>
    <w:p w14:paraId="4A5A0339">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信息标注</w:t>
      </w:r>
    </w:p>
    <w:p w14:paraId="7A3A7BB1">
      <w:pPr>
        <w:pStyle w:val="15"/>
      </w:pPr>
      <w:r>
        <w:rPr>
          <w:rFonts w:hint="eastAsia"/>
        </w:rPr>
        <w:t>调度台</w:t>
      </w:r>
      <w:r>
        <w:t>GIS界面上点击标注，然后点击选中地图某处，出现红色标记点及添加标记提示框，可添加标记的标题及描述，标注确认后显示标注标题，双击可更改描述和删除标记。</w:t>
      </w:r>
    </w:p>
    <w:p w14:paraId="30A83B46">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离线地图</w:t>
      </w:r>
    </w:p>
    <w:p w14:paraId="40F6BD94">
      <w:pPr>
        <w:pStyle w:val="15"/>
      </w:pPr>
      <w:r>
        <w:rPr>
          <w:rFonts w:hint="eastAsia"/>
        </w:rPr>
        <w:t>在系统部署在内网，无法连接到公众互联网的情况下，调度台可支持调用百度离线地图（或者集成用户自有地图）方式，实现离线地图的应用。</w:t>
      </w:r>
    </w:p>
    <w:p w14:paraId="54D3A5BD">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地图及风格</w:t>
      </w:r>
    </w:p>
    <w:p w14:paraId="568A2EBB">
      <w:pPr>
        <w:pStyle w:val="15"/>
      </w:pPr>
      <w:r>
        <w:rPr>
          <w:rFonts w:hint="eastAsia"/>
        </w:rPr>
        <w:t>调度台可支持</w:t>
      </w:r>
      <w:r>
        <w:t>2D、3D、卫星图的展示、平移、缩放、拖拽等操作</w:t>
      </w:r>
      <w:r>
        <w:rPr>
          <w:rFonts w:hint="eastAsia"/>
        </w:rPr>
        <w:t>。</w:t>
      </w:r>
      <w:r>
        <w:t>也能支持选择不同颜色及风格的地图，还可以集成用户提供的其他地图，以匹配更统一的业务界面风格。</w:t>
      </w:r>
    </w:p>
    <w:p w14:paraId="55D0593A">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对讲调度</w:t>
      </w:r>
    </w:p>
    <w:p w14:paraId="34FBDDBD">
      <w:pPr>
        <w:pStyle w:val="15"/>
      </w:pPr>
      <w:r>
        <w:rPr>
          <w:rFonts w:hint="eastAsia"/>
        </w:rPr>
        <w:t>系统支持传统常规对讲和集群系统的所有语音对讲业务，包括：组呼、临时组呼、单呼、迟后进入、动态重组、监听、排队提示、禁言等。</w:t>
      </w:r>
    </w:p>
    <w:p w14:paraId="3D766311">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对讲组呼</w:t>
      </w:r>
    </w:p>
    <w:p w14:paraId="01C360FD">
      <w:pPr>
        <w:pStyle w:val="15"/>
      </w:pPr>
      <w:r>
        <w:rPr>
          <w:rFonts w:hint="eastAsia"/>
        </w:rPr>
        <w:t>群组中任何成员包括普通用户和调度员，都可以按下PTT键发起语音对讲，在对讲业务过程中，具备：话权申请、话权释放、话权抢占等功能。</w:t>
      </w:r>
    </w:p>
    <w:p w14:paraId="3F6C8D45">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固定组对讲</w:t>
      </w:r>
    </w:p>
    <w:p w14:paraId="42747539">
      <w:pPr>
        <w:pStyle w:val="15"/>
      </w:pPr>
      <w:r>
        <w:rPr>
          <w:rFonts w:hint="eastAsia"/>
        </w:rPr>
        <w:t>终端用户可以按PTT键向对讲组申请话权，申请话权成功后，该用户可以讲话，组内其他用户可以听到该用户的讲话内容。调度台可选择对应的对讲组。点击对讲按钮进行讲话。</w:t>
      </w:r>
    </w:p>
    <w:p w14:paraId="08C1DE6E">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自建对讲组</w:t>
      </w:r>
    </w:p>
    <w:p w14:paraId="107EE9D2">
      <w:pPr>
        <w:pStyle w:val="15"/>
      </w:pPr>
      <w:r>
        <w:rPr>
          <w:rFonts w:hint="eastAsia"/>
        </w:rPr>
        <w:t>调度台用户可配置自建对讲组及自建对讲组号码，自建对讲组保存在自建组列表中，组内的所有成员都可以申请话权讲话，也可以释放话权后处于听讲状态接听组内其他成员讲话。</w:t>
      </w:r>
    </w:p>
    <w:p w14:paraId="6FDCD82E">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临时组呼</w:t>
      </w:r>
    </w:p>
    <w:p w14:paraId="065E5413">
      <w:pPr>
        <w:pStyle w:val="15"/>
      </w:pPr>
      <w:r>
        <w:rPr>
          <w:rFonts w:hint="eastAsia"/>
        </w:rPr>
        <w:t>通过在调度台的通信录中勾选用户，或在GIS地图上圈选用户，调度员可以建立临时组并发起对讲、会议或广播。普通用户也可通过通信录勾选用户发起临时对讲。</w:t>
      </w:r>
    </w:p>
    <w:p w14:paraId="6BCC1E03">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临时组/动态重组</w:t>
      </w:r>
    </w:p>
    <w:p w14:paraId="10A85360">
      <w:pPr>
        <w:pStyle w:val="15"/>
      </w:pPr>
      <w:r>
        <w:rPr>
          <w:rFonts w:hint="eastAsia"/>
        </w:rPr>
        <w:t>当需要临时召集若干用户进行语音对讲、会议或广播时，调度员和普通用户可建立临时组，临时组中所有成员的优先级均默认为7且不可修改。系统将为临时组分配临时会话资源，在业务结束后立即释放。</w:t>
      </w:r>
    </w:p>
    <w:p w14:paraId="24934E23">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优先级</w:t>
      </w:r>
    </w:p>
    <w:p w14:paraId="42295A66">
      <w:pPr>
        <w:pStyle w:val="15"/>
      </w:pPr>
      <w:r>
        <w:rPr>
          <w:rFonts w:hint="eastAsia"/>
        </w:rPr>
        <w:t>系统赋予用户优先级属性，当用户同时处于多个群组中，如果多个群组都处于活跃状态，用户将通过比对群组优先级，停留在优先级最高的组听讲。群组间的优先级可以分7个等级。高优先等级的群组发起群组对讲业务时，同时在低优先等级和高优先等级群组中的成员，优先被拉</w:t>
      </w:r>
      <w:r>
        <w:rPr>
          <w:rFonts w:hint="eastAsia"/>
          <w:lang w:eastAsia="zh-CN"/>
        </w:rPr>
        <w:t>入</w:t>
      </w:r>
      <w:r>
        <w:rPr>
          <w:rFonts w:hint="eastAsia"/>
        </w:rPr>
        <w:t>高优先等级群组中进行对讲或接听对讲。可以预设组内成员具备256级优先级划分，高优先级成员优先获取话权。</w:t>
      </w:r>
    </w:p>
    <w:p w14:paraId="477DD20C">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录音录像</w:t>
      </w:r>
    </w:p>
    <w:p w14:paraId="40EFEBC7">
      <w:pPr>
        <w:pStyle w:val="15"/>
      </w:pPr>
      <w:r>
        <w:rPr>
          <w:rFonts w:hint="eastAsia"/>
        </w:rPr>
        <w:t>对于行业用户来说，对于整个融合通信指挥调度过程的追溯，是对日常业务的额外安全保障。对于系统来说，整个调度过程的语音、视频、数据、位置轨迹、操作记录都可以被记录，录制好的媒体文件可被检索，并能够实现语音、视频、轨迹的回放重演。</w:t>
      </w:r>
    </w:p>
    <w:p w14:paraId="4F350DD4">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录音录像</w:t>
      </w:r>
    </w:p>
    <w:p w14:paraId="4160645E">
      <w:pPr>
        <w:pStyle w:val="15"/>
      </w:pPr>
      <w:r>
        <w:rPr>
          <w:rFonts w:hint="eastAsia"/>
        </w:rPr>
        <w:t>系统能够对所有的融合通信指挥调度中产生的音频、视频文件，进行录制并存储。</w:t>
      </w:r>
    </w:p>
    <w:p w14:paraId="29F748A2">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数据储存</w:t>
      </w:r>
    </w:p>
    <w:p w14:paraId="0EAA4A91">
      <w:pPr>
        <w:pStyle w:val="15"/>
      </w:pPr>
      <w:r>
        <w:rPr>
          <w:rFonts w:hint="eastAsia"/>
        </w:rPr>
        <w:t>系统能够对融合通信指挥调度过程中的语音、图片、位置信息、操作记录等数据进行记录存储。</w:t>
      </w:r>
    </w:p>
    <w:p w14:paraId="35FB5CBE">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检索回放</w:t>
      </w:r>
    </w:p>
    <w:p w14:paraId="0721A41E">
      <w:pPr>
        <w:pStyle w:val="15"/>
      </w:pPr>
      <w:r>
        <w:rPr>
          <w:rFonts w:hint="eastAsia"/>
        </w:rPr>
        <w:t>通过调度台，可以对录音录像文件或存储的数据，进行检索，并可以回放追溯。</w:t>
      </w:r>
    </w:p>
    <w:p w14:paraId="30A1C421">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统一装备管理</w:t>
      </w:r>
    </w:p>
    <w:p w14:paraId="48EDE66D">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用户管理</w:t>
      </w:r>
    </w:p>
    <w:p w14:paraId="69ADC587">
      <w:pPr>
        <w:pStyle w:val="15"/>
      </w:pPr>
      <w:r>
        <w:rPr>
          <w:rFonts w:hint="eastAsia"/>
        </w:rPr>
        <w:t>包括装备设备所属的组织结构分配和组织结构配置功能。</w:t>
      </w:r>
    </w:p>
    <w:p w14:paraId="4A7FB564">
      <w:pPr>
        <w:pStyle w:val="15"/>
      </w:pPr>
      <w:r>
        <w:rPr>
          <w:rFonts w:hint="eastAsia"/>
        </w:rPr>
        <w:t>组织机构分配。实现统一分配各个管理账户所属及管辖组织机构。</w:t>
      </w:r>
    </w:p>
    <w:p w14:paraId="205EA601">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权限管理</w:t>
      </w:r>
    </w:p>
    <w:p w14:paraId="6A1344AF">
      <w:pPr>
        <w:pStyle w:val="15"/>
      </w:pPr>
      <w:r>
        <w:rPr>
          <w:rFonts w:hint="eastAsia"/>
        </w:rPr>
        <w:t>包括资源权限分配管理和资源归属部门管理功能。</w:t>
      </w:r>
    </w:p>
    <w:p w14:paraId="003EE2FE">
      <w:pPr>
        <w:pStyle w:val="15"/>
      </w:pPr>
      <w:r>
        <w:rPr>
          <w:rFonts w:hint="eastAsia"/>
        </w:rPr>
        <w:t>（1）资源权限分配管理</w:t>
      </w:r>
    </w:p>
    <w:p w14:paraId="0796CF97">
      <w:pPr>
        <w:pStyle w:val="15"/>
      </w:pPr>
      <w:r>
        <w:rPr>
          <w:rFonts w:hint="eastAsia"/>
        </w:rPr>
        <w:t>对现有通信资源权限进行有效管理，按照各部门，各部门人员以及装备进行设置相关权限。并且给各级部门分配不同的呼叫权限，资源权限的分配管理使一线人员使用通讯资源规范化，组织结构化，管理明确化，提高工作效率。</w:t>
      </w:r>
    </w:p>
    <w:p w14:paraId="3FA698DE">
      <w:pPr>
        <w:pStyle w:val="15"/>
      </w:pPr>
      <w:r>
        <w:rPr>
          <w:rFonts w:hint="eastAsia"/>
        </w:rPr>
        <w:t>（2）资源部门归属管理</w:t>
      </w:r>
    </w:p>
    <w:p w14:paraId="754349AA">
      <w:pPr>
        <w:pStyle w:val="15"/>
      </w:pPr>
      <w:r>
        <w:rPr>
          <w:rFonts w:hint="eastAsia"/>
        </w:rPr>
        <w:t>对现有通讯资源归属部门进行有效管理，包含通信资源所属部门，通信资源使用部门，通信资源部门分配等。对通信资源部门归属统一管理，按需分配，发挥资源的有效利用。</w:t>
      </w:r>
    </w:p>
    <w:p w14:paraId="316DE530">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属性管理</w:t>
      </w:r>
    </w:p>
    <w:p w14:paraId="5FFE219A">
      <w:pPr>
        <w:pStyle w:val="15"/>
      </w:pPr>
      <w:r>
        <w:rPr>
          <w:rFonts w:hint="eastAsia"/>
        </w:rPr>
        <w:t>包括资源自定义管理和视频资源属性管理功能。</w:t>
      </w:r>
    </w:p>
    <w:p w14:paraId="335BEF82">
      <w:pPr>
        <w:pStyle w:val="15"/>
      </w:pPr>
      <w:r>
        <w:rPr>
          <w:rFonts w:hint="eastAsia"/>
        </w:rPr>
        <w:t>（1）资源自定义管理</w:t>
      </w:r>
    </w:p>
    <w:p w14:paraId="69000A8B">
      <w:pPr>
        <w:pStyle w:val="15"/>
      </w:pPr>
      <w:r>
        <w:rPr>
          <w:rFonts w:hint="eastAsia"/>
        </w:rPr>
        <w:t>支持资源种类自定义管理，可以将一张图上的所有资源进行自定义设置图标，并且可以将资源进行分类，分为视频资源、音频资源、音视频资源。</w:t>
      </w:r>
    </w:p>
    <w:p w14:paraId="41A158CD">
      <w:pPr>
        <w:pStyle w:val="15"/>
      </w:pPr>
      <w:r>
        <w:rPr>
          <w:rFonts w:hint="eastAsia"/>
        </w:rPr>
        <w:t>（2）视频资源属性管理</w:t>
      </w:r>
    </w:p>
    <w:p w14:paraId="65D8964C">
      <w:pPr>
        <w:pStyle w:val="15"/>
      </w:pPr>
      <w:r>
        <w:rPr>
          <w:rFonts w:hint="eastAsia"/>
        </w:rPr>
        <w:t>实现对固定点监控视频资源数量、组织单位、视频呼号等统一管理及导入。具备基本的增加、删除、修改、查询功能。</w:t>
      </w:r>
    </w:p>
    <w:p w14:paraId="410ADC0B">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系统管理</w:t>
      </w:r>
    </w:p>
    <w:p w14:paraId="58A86431">
      <w:pPr>
        <w:pStyle w:val="15"/>
      </w:pPr>
      <w:r>
        <w:rPr>
          <w:rFonts w:hint="eastAsia"/>
        </w:rPr>
        <w:t>动态监测系统的基本情况，包含且不仅限于对CPU、内存、磁盘、网络、服务的实时使用情况，用图形化的方式进行展示，支持磁盘存储告警配置，可实现对服务器磁盘情况的实时检测，超过阈值进行预警提醒。支持服务运行管理：可查看当前后台服务名称、运行状态，支持对服务进行重启、停止等相关的操作。实现对用户、用户组、对讲频道的增删改查管理。包括，用户号码、名称、等级、类型、经度、纬度、是否录音、是否录像，可对用户进行编辑与删除操作。可输入用户号码、名称、类型进行组合模糊查询。</w:t>
      </w:r>
    </w:p>
    <w:p w14:paraId="4F188F9B">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移动应用集成</w:t>
      </w:r>
    </w:p>
    <w:p w14:paraId="7C4A050C">
      <w:pPr>
        <w:pStyle w:val="15"/>
      </w:pPr>
      <w:r>
        <w:rPr>
          <w:rFonts w:hint="eastAsia"/>
        </w:rPr>
        <w:t>为移动指挥终端APP提供：通讯录、音视频呼叫、群组对讲、音视频会议、视频回传、拍传、GPS定位等多媒体指挥调度功能集成服务。</w:t>
      </w:r>
    </w:p>
    <w:p w14:paraId="3EB09219">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通信录</w:t>
      </w:r>
    </w:p>
    <w:p w14:paraId="16E1A2ED">
      <w:pPr>
        <w:pStyle w:val="15"/>
      </w:pPr>
      <w:r>
        <w:rPr>
          <w:rFonts w:hint="eastAsia"/>
        </w:rPr>
        <w:t>根据组织机构显示辖区部门人员通信录，点击人员获取人员详细信息，可一键发起语音、视频、即时消息通信。</w:t>
      </w:r>
    </w:p>
    <w:p w14:paraId="69340967">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语音会议</w:t>
      </w:r>
    </w:p>
    <w:p w14:paraId="0C59B42D">
      <w:pPr>
        <w:pStyle w:val="15"/>
      </w:pPr>
      <w:r>
        <w:rPr>
          <w:rFonts w:hint="eastAsia"/>
        </w:rPr>
        <w:t>支持通过点击选择辖区部门人员名单来创建会议，在会议列表中可查看会议详情，在详情内可开始会议，在会议过程中也可继续邀请参会人员。</w:t>
      </w:r>
    </w:p>
    <w:p w14:paraId="6861CA35">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视频回传功能</w:t>
      </w:r>
    </w:p>
    <w:p w14:paraId="0A974560">
      <w:pPr>
        <w:pStyle w:val="15"/>
      </w:pPr>
      <w:r>
        <w:rPr>
          <w:rFonts w:hint="eastAsia"/>
        </w:rPr>
        <w:t>通过移动终端、多模通信终端等设备可一键视频呼叫指挥中心调度台，拍摄现场图像实时回传到指挥中心，中心调度台也可呼叫一线人员智能终端，调度现场视频图像，同时系统自动存储视频回传内容，结合使用场景也可选择录制后手动上传系统。与视频监控系统融合对接后，通过手持移动智能终端还可以随时调取各个固定点位的摄像头图像。</w:t>
      </w:r>
    </w:p>
    <w:p w14:paraId="684D197D">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图片拍传功能</w:t>
      </w:r>
    </w:p>
    <w:p w14:paraId="70D7B14A">
      <w:pPr>
        <w:pStyle w:val="15"/>
      </w:pPr>
      <w:r>
        <w:rPr>
          <w:rFonts w:hint="eastAsia"/>
        </w:rPr>
        <w:t>一线人员通过移动智能终端拍摄现场环境图片，一键回传到指挥中心调度台或回传给远端领导请求协助支持。</w:t>
      </w:r>
    </w:p>
    <w:p w14:paraId="1DB95EC5">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系统整合</w:t>
      </w:r>
    </w:p>
    <w:p w14:paraId="6B755AD8">
      <w:pPr>
        <w:pStyle w:val="15"/>
      </w:pPr>
      <w:r>
        <w:rPr>
          <w:rFonts w:hint="eastAsia"/>
        </w:rPr>
        <w:t>需要整合基地当前通信基础和拟建相关系统，实现多系统、多制式的通信支撑。实现与队伍终端通信设备、</w:t>
      </w:r>
      <w:r>
        <w:t>便携式卫星接入设备</w:t>
      </w:r>
      <w:r>
        <w:rPr>
          <w:rFonts w:hint="eastAsia"/>
        </w:rPr>
        <w:t>、</w:t>
      </w:r>
      <w:r>
        <w:t>救援现场定位终端（GPS定位）</w:t>
      </w:r>
      <w:r>
        <w:rPr>
          <w:rFonts w:hint="eastAsia"/>
        </w:rPr>
        <w:t>、车载定位、电话系统、视频会议、短信平台等整合。</w:t>
      </w:r>
    </w:p>
    <w:p w14:paraId="102B01EA">
      <w:pPr>
        <w:pStyle w:val="45"/>
      </w:pPr>
      <w:r>
        <w:drawing>
          <wp:inline distT="0" distB="0" distL="0" distR="0">
            <wp:extent cx="5622925" cy="3638550"/>
            <wp:effectExtent l="0" t="0" r="635" b="3810"/>
            <wp:docPr id="10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29"/>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633065" cy="3645179"/>
                    </a:xfrm>
                    <a:prstGeom prst="rect">
                      <a:avLst/>
                    </a:prstGeom>
                  </pic:spPr>
                </pic:pic>
              </a:graphicData>
            </a:graphic>
          </wp:inline>
        </w:drawing>
      </w:r>
    </w:p>
    <w:p w14:paraId="5CF521C8">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与视频监控系统对接</w:t>
      </w:r>
    </w:p>
    <w:p w14:paraId="431DE334">
      <w:pPr>
        <w:pStyle w:val="15"/>
      </w:pPr>
      <w:r>
        <w:rPr>
          <w:rFonts w:hint="eastAsia"/>
        </w:rPr>
        <w:t>融合通信平台支持海康、大华、宇视、天地伟业、华为、中兴、安讯士等主流厂家视频监控设备的接入，包括视频监控平台、编解码器、IP摄像头等多种类型的监控设备接入能力。</w:t>
      </w:r>
    </w:p>
    <w:p w14:paraId="6CA20ACB">
      <w:pPr>
        <w:pStyle w:val="15"/>
      </w:pPr>
      <w:r>
        <w:rPr>
          <w:rFonts w:hint="eastAsia"/>
        </w:rPr>
        <w:t>调度系统支持GB/T28181协议、RTSP、ONVIF、SDK等多种方式实现视频监控设备的接入，根据既有视频监控设备的类型选择接入方式。</w:t>
      </w:r>
    </w:p>
    <w:p w14:paraId="1F8503D6">
      <w:pPr>
        <w:pStyle w:val="15"/>
      </w:pPr>
      <w:r>
        <w:rPr>
          <w:rFonts w:hint="eastAsia"/>
        </w:rPr>
        <w:t>如既有视频监控平台支持GB/T28181协议，则可直接通过视频接入网关对接即可。</w:t>
      </w:r>
    </w:p>
    <w:p w14:paraId="4CF0E668">
      <w:pPr>
        <w:pStyle w:val="15"/>
      </w:pPr>
      <w:r>
        <w:rPr>
          <w:rFonts w:hint="eastAsia"/>
        </w:rPr>
        <w:t>如监控平台不支持GB/T28181协议，或者需要直接和前端编码器、IP摄像头对接，则可直接注册到平台中实现视频的接入。</w:t>
      </w:r>
    </w:p>
    <w:p w14:paraId="50C4106D">
      <w:pPr>
        <w:pStyle w:val="45"/>
      </w:pPr>
      <w:r>
        <w:drawing>
          <wp:inline distT="0" distB="0" distL="0" distR="0">
            <wp:extent cx="4781550" cy="2888615"/>
            <wp:effectExtent l="0" t="0" r="3810" b="0"/>
            <wp:docPr id="175" name="图片 175" descr="C:\Users\Administrator\Desktop\图片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175" descr="C:\Users\Administrator\Desktop\图片4.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4787931" cy="2893010"/>
                    </a:xfrm>
                    <a:prstGeom prst="rect">
                      <a:avLst/>
                    </a:prstGeom>
                    <a:noFill/>
                    <a:ln>
                      <a:noFill/>
                    </a:ln>
                  </pic:spPr>
                </pic:pic>
              </a:graphicData>
            </a:graphic>
          </wp:inline>
        </w:drawing>
      </w:r>
    </w:p>
    <w:p w14:paraId="0CB70DFA">
      <w:pPr>
        <w:pStyle w:val="15"/>
      </w:pPr>
      <w:r>
        <w:rPr>
          <w:rFonts w:hint="eastAsia"/>
        </w:rPr>
        <w:t>视频监控系统接入指挥调度系统，用于实现如下业务：</w:t>
      </w:r>
    </w:p>
    <w:p w14:paraId="659FE445">
      <w:pPr>
        <w:pStyle w:val="15"/>
      </w:pPr>
      <w:r>
        <w:rPr>
          <w:rFonts w:hint="eastAsia"/>
        </w:rPr>
        <w:t>（1）</w:t>
      </w:r>
      <w:r>
        <w:t>保护原有投资的前提下，扩展调看监控图像的方式，以及监控系统和其他通信手段的联动业务</w:t>
      </w:r>
      <w:r>
        <w:rPr>
          <w:rFonts w:hint="eastAsia"/>
        </w:rPr>
        <w:t>。</w:t>
      </w:r>
    </w:p>
    <w:p w14:paraId="42050A9A">
      <w:pPr>
        <w:pStyle w:val="15"/>
      </w:pPr>
      <w:r>
        <w:rPr>
          <w:rFonts w:hint="eastAsia"/>
        </w:rPr>
        <w:t>（2）</w:t>
      </w:r>
      <w:r>
        <w:t>可实现不同厂家、型号、类型监控图像的</w:t>
      </w:r>
      <w:r>
        <w:rPr>
          <w:rFonts w:hint="eastAsia"/>
          <w:lang w:eastAsia="zh-CN"/>
        </w:rPr>
        <w:t>集中</w:t>
      </w:r>
      <w:r>
        <w:t>调看</w:t>
      </w:r>
      <w:r>
        <w:rPr>
          <w:rFonts w:hint="eastAsia"/>
        </w:rPr>
        <w:t>。</w:t>
      </w:r>
    </w:p>
    <w:p w14:paraId="56748020">
      <w:pPr>
        <w:pStyle w:val="15"/>
      </w:pPr>
      <w:r>
        <w:rPr>
          <w:rFonts w:hint="eastAsia"/>
        </w:rPr>
        <w:t>（3）</w:t>
      </w:r>
      <w:r>
        <w:t>可实现视频监控系统和其他语音通信手段的对接，实现监控终端和通信终端的联动调度</w:t>
      </w:r>
      <w:r>
        <w:rPr>
          <w:rFonts w:hint="eastAsia"/>
        </w:rPr>
        <w:t>。</w:t>
      </w:r>
    </w:p>
    <w:p w14:paraId="4E641EB8">
      <w:pPr>
        <w:pStyle w:val="15"/>
      </w:pPr>
      <w:r>
        <w:rPr>
          <w:rFonts w:hint="eastAsia"/>
        </w:rPr>
        <w:t>（4）可扩展实现视频监控图像的跨系统、跨网络、跨区域的多路分发业务。</w:t>
      </w:r>
    </w:p>
    <w:p w14:paraId="71FB638A">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与集群对讲对接</w:t>
      </w:r>
    </w:p>
    <w:p w14:paraId="54269826">
      <w:pPr>
        <w:pStyle w:val="15"/>
      </w:pPr>
      <w:r>
        <w:rPr>
          <w:rFonts w:hint="eastAsia"/>
        </w:rPr>
        <w:t>PDT集群对讲网关。可以通过部署PDT集群对讲网关，采用系统级对接方式与现有数字集群对讲系统互联互通，支持标准PSIP协议对接。提供数字集群对讲系统与其他通信设备的联合编组、点呼、组呼、短数据和GIS业务互通功能。</w:t>
      </w:r>
    </w:p>
    <w:p w14:paraId="67A7BCC0">
      <w:pPr>
        <w:pStyle w:val="15"/>
      </w:pPr>
      <w:r>
        <w:rPr>
          <w:rFonts w:hint="eastAsia"/>
        </w:rPr>
        <w:t>无线集群网关。可以通过部署对讲接入网关，可通过背靠背方式接入常规对讲、模拟、数字集群对讲等。单台对讲接入网关能够提供1个（或4个）专用接口连接1个（或4个）不同品牌、不同型号、不同对讲组的电台。适用于现有各个集群对讲系统比较集中的环境。如370M集群</w:t>
      </w:r>
      <w:r>
        <w:rPr>
          <w:rFonts w:hint="eastAsia"/>
          <w:lang w:eastAsia="zh-CN"/>
        </w:rPr>
        <w:t>对接</w:t>
      </w:r>
      <w:r>
        <w:rPr>
          <w:rFonts w:hint="eastAsia"/>
        </w:rPr>
        <w:t>。</w:t>
      </w:r>
    </w:p>
    <w:p w14:paraId="2900EE83">
      <w:pPr>
        <w:pStyle w:val="15"/>
      </w:pPr>
      <w:r>
        <w:rPr>
          <w:rFonts w:hint="eastAsia"/>
        </w:rPr>
        <w:t>方案一：370M集群系统提供SDK接口对接</w:t>
      </w:r>
    </w:p>
    <w:p w14:paraId="23CAEC7C">
      <w:pPr>
        <w:pStyle w:val="45"/>
      </w:pPr>
      <w:r>
        <w:drawing>
          <wp:inline distT="0" distB="0" distL="0" distR="0">
            <wp:extent cx="5274310" cy="1300480"/>
            <wp:effectExtent l="0" t="0" r="13970" b="10160"/>
            <wp:docPr id="1006307881" name="图片 1006307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307881" name="图片 100630788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274310" cy="1300480"/>
                    </a:xfrm>
                    <a:prstGeom prst="rect">
                      <a:avLst/>
                    </a:prstGeom>
                    <a:noFill/>
                    <a:ln>
                      <a:noFill/>
                    </a:ln>
                  </pic:spPr>
                </pic:pic>
              </a:graphicData>
            </a:graphic>
          </wp:inline>
        </w:drawing>
      </w:r>
    </w:p>
    <w:p w14:paraId="3ADF232B">
      <w:pPr>
        <w:pStyle w:val="15"/>
      </w:pPr>
      <w:r>
        <w:rPr>
          <w:rFonts w:hint="eastAsia"/>
        </w:rPr>
        <w:t>融合通信平台可和370M系统进行二次开发接口的对接开发工作，融合通信平台可以通过370M集群系统提供的二次开发接口实现终端位置、语音对讲业务功能。获取的终端位置信息统一的写入到融合通信平台的GIS数据库供上层应用显示。</w:t>
      </w:r>
    </w:p>
    <w:p w14:paraId="1D550576">
      <w:pPr>
        <w:pStyle w:val="15"/>
      </w:pPr>
      <w:r>
        <w:rPr>
          <w:rFonts w:hint="eastAsia"/>
        </w:rPr>
        <w:t>方案二：</w:t>
      </w:r>
      <w:r>
        <w:t>370M</w:t>
      </w:r>
      <w:r>
        <w:rPr>
          <w:rFonts w:hint="eastAsia"/>
        </w:rPr>
        <w:t>集群系统支持通过S</w:t>
      </w:r>
      <w:r>
        <w:t>IP</w:t>
      </w:r>
      <w:r>
        <w:rPr>
          <w:rFonts w:hint="eastAsia"/>
        </w:rPr>
        <w:t>协议对接</w:t>
      </w:r>
    </w:p>
    <w:p w14:paraId="61BF355D">
      <w:pPr>
        <w:pStyle w:val="45"/>
      </w:pPr>
      <w:r>
        <w:drawing>
          <wp:inline distT="0" distB="0" distL="0" distR="0">
            <wp:extent cx="5274310" cy="1300480"/>
            <wp:effectExtent l="0" t="0" r="13970" b="10160"/>
            <wp:docPr id="939765372" name="图片 939765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765372" name="图片 93976537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5274310" cy="1300480"/>
                    </a:xfrm>
                    <a:prstGeom prst="rect">
                      <a:avLst/>
                    </a:prstGeom>
                    <a:noFill/>
                    <a:ln>
                      <a:noFill/>
                    </a:ln>
                  </pic:spPr>
                </pic:pic>
              </a:graphicData>
            </a:graphic>
          </wp:inline>
        </w:drawing>
      </w:r>
    </w:p>
    <w:p w14:paraId="7F6F2525">
      <w:pPr>
        <w:pStyle w:val="15"/>
      </w:pPr>
      <w:r>
        <w:rPr>
          <w:rFonts w:hint="eastAsia"/>
        </w:rPr>
        <w:t>370M集群系统支持提供SIP协议，那么就可和融合通信平台通过SIP协议进行对接，融合通信平台可与370M集群系统创建好SIP中继和SIP路由的方式，可以和370M集群系统实现语音对讲业务。370M集群系统下挂载的终端位置信息需要通过其他的私有协议来获取，这块需要370M集群系统来提供相关的接口终端可在地图上显示出来终端的位置。</w:t>
      </w:r>
    </w:p>
    <w:p w14:paraId="65F10003">
      <w:pPr>
        <w:pStyle w:val="15"/>
      </w:pPr>
      <w:r>
        <w:rPr>
          <w:rFonts w:hint="eastAsia"/>
        </w:rPr>
        <w:t>方案三：370M集群系统背靠背对接方案</w:t>
      </w:r>
    </w:p>
    <w:p w14:paraId="699A71CB">
      <w:pPr>
        <w:pStyle w:val="45"/>
      </w:pPr>
      <w:r>
        <w:drawing>
          <wp:inline distT="0" distB="0" distL="0" distR="0">
            <wp:extent cx="5274310" cy="1299845"/>
            <wp:effectExtent l="0" t="0" r="13970" b="10795"/>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274310" cy="1299845"/>
                    </a:xfrm>
                    <a:prstGeom prst="rect">
                      <a:avLst/>
                    </a:prstGeom>
                    <a:noFill/>
                    <a:ln>
                      <a:noFill/>
                    </a:ln>
                  </pic:spPr>
                </pic:pic>
              </a:graphicData>
            </a:graphic>
          </wp:inline>
        </w:drawing>
      </w:r>
    </w:p>
    <w:p w14:paraId="650C5881">
      <w:pPr>
        <w:pStyle w:val="15"/>
      </w:pPr>
      <w:r>
        <w:rPr>
          <w:rFonts w:hint="eastAsia"/>
        </w:rPr>
        <w:t>融合通信的软交换设备与370M集群系统之间采用音频接入网关方式对接实现互通。音频接入网关上行通过SIP协议注册到软交换设备，下行通过PTT控制线、配置专业集群终端控制线缆与370M集群车载台对接，由集群融合网关完成半双工与全双工的转码通信，可实现基本的语音对讲功能，实现与370M集群对讲机的组呼功能。</w:t>
      </w:r>
    </w:p>
    <w:p w14:paraId="25AC2BF3">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与车载、单兵对接</w:t>
      </w:r>
    </w:p>
    <w:p w14:paraId="591ED002">
      <w:pPr>
        <w:pStyle w:val="15"/>
      </w:pPr>
      <w:r>
        <w:rPr>
          <w:rFonts w:hint="eastAsia"/>
        </w:rPr>
        <w:t>通过车载、单兵厂家，提供车载、单兵系统的位置信息数据库对接，供系统实时获取车辆、单兵的位置信息。提供车辆、单兵与实际名称对应关系。</w:t>
      </w:r>
    </w:p>
    <w:p w14:paraId="0E1EC88D">
      <w:pPr>
        <w:pStyle w:val="15"/>
      </w:pPr>
      <w:r>
        <w:rPr>
          <w:rFonts w:hint="eastAsia"/>
        </w:rPr>
        <w:t>通过车载及单兵的厂家提供的视频通话调阅的视频管理系统的SDK及demo，集成与车载、单兵设备进行实时音视频通信的功能。</w:t>
      </w:r>
    </w:p>
    <w:p w14:paraId="4E008B4F">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与电话系统对接</w:t>
      </w:r>
    </w:p>
    <w:p w14:paraId="05ED377C">
      <w:pPr>
        <w:pStyle w:val="15"/>
      </w:pPr>
      <w:r>
        <w:rPr>
          <w:rFonts w:hint="eastAsia"/>
        </w:rPr>
        <w:t>融合通信平台支持PSTN网络、GSM、CDMA等公共电信网络的接入，支持的运营商包括电信、联通、移动。</w:t>
      </w:r>
    </w:p>
    <w:p w14:paraId="78764518">
      <w:pPr>
        <w:pStyle w:val="15"/>
      </w:pPr>
      <w:r>
        <w:rPr>
          <w:rFonts w:hint="eastAsia"/>
        </w:rPr>
        <w:t>指挥调度系统通过不同的中继网关，提供多种中继接口包括E1、FXO、GSM、CDMA、WCDMA接入不同的运营商网络。</w:t>
      </w:r>
    </w:p>
    <w:p w14:paraId="6C459AA2">
      <w:pPr>
        <w:pStyle w:val="45"/>
      </w:pPr>
      <w:r>
        <w:drawing>
          <wp:inline distT="0" distB="0" distL="0" distR="0">
            <wp:extent cx="4819650" cy="2600325"/>
            <wp:effectExtent l="0" t="0" r="11430" b="5715"/>
            <wp:docPr id="174" name="图片 174" descr="C:\Users\Administrator\Desktop\图片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74" descr="C:\Users\Administrator\Desktop\图片3.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4819650" cy="2600325"/>
                    </a:xfrm>
                    <a:prstGeom prst="rect">
                      <a:avLst/>
                    </a:prstGeom>
                    <a:noFill/>
                    <a:ln>
                      <a:noFill/>
                    </a:ln>
                  </pic:spPr>
                </pic:pic>
              </a:graphicData>
            </a:graphic>
          </wp:inline>
        </w:drawing>
      </w:r>
    </w:p>
    <w:p w14:paraId="454A2EDD">
      <w:pPr>
        <w:pStyle w:val="15"/>
      </w:pPr>
      <w:r>
        <w:rPr>
          <w:rFonts w:hint="eastAsia"/>
        </w:rPr>
        <w:t>公共电话网络接入指挥调度系统，用于实现如下业务：</w:t>
      </w:r>
    </w:p>
    <w:p w14:paraId="49F4B16C">
      <w:pPr>
        <w:pStyle w:val="15"/>
      </w:pPr>
      <w:r>
        <w:rPr>
          <w:rFonts w:hint="eastAsia"/>
        </w:rPr>
        <w:t>（1）</w:t>
      </w:r>
      <w:r>
        <w:t>可把单位的工作人员的个人手机、座机号码录入到调度系统集中分组管理</w:t>
      </w:r>
      <w:r>
        <w:rPr>
          <w:rFonts w:hint="eastAsia"/>
        </w:rPr>
        <w:t>。</w:t>
      </w:r>
    </w:p>
    <w:p w14:paraId="4B474D9B">
      <w:pPr>
        <w:pStyle w:val="15"/>
      </w:pPr>
      <w:r>
        <w:rPr>
          <w:rFonts w:hint="eastAsia"/>
        </w:rPr>
        <w:t>（2）</w:t>
      </w:r>
      <w:r>
        <w:t>可通过调度台对工作人员的手机、座机号码进行一键式语音呼叫、会议呼叫、广播呼叫</w:t>
      </w:r>
      <w:r>
        <w:rPr>
          <w:rFonts w:hint="eastAsia"/>
        </w:rPr>
        <w:t>。</w:t>
      </w:r>
    </w:p>
    <w:p w14:paraId="09791731">
      <w:pPr>
        <w:pStyle w:val="15"/>
      </w:pPr>
      <w:r>
        <w:rPr>
          <w:rFonts w:hint="eastAsia"/>
        </w:rPr>
        <w:t>（3）可实现工作人员的手机、座机与内部调度分机、对讲系统的互联互通。</w:t>
      </w:r>
    </w:p>
    <w:p w14:paraId="057B6B27">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音频广播对接</w:t>
      </w:r>
    </w:p>
    <w:p w14:paraId="6ACA5B0E">
      <w:pPr>
        <w:pStyle w:val="15"/>
      </w:pPr>
      <w:r>
        <w:rPr>
          <w:rFonts w:hint="eastAsia"/>
        </w:rPr>
        <w:t>融合通信平台支持音频广播系统的接入，支持的类型包括音频矩阵、调音台、扩音广播主机、SIP广播终端等。</w:t>
      </w:r>
    </w:p>
    <w:p w14:paraId="70142883">
      <w:pPr>
        <w:pStyle w:val="15"/>
      </w:pPr>
      <w:r>
        <w:rPr>
          <w:rFonts w:hint="eastAsia"/>
        </w:rPr>
        <w:t>调度系统和不同类型的音频广播设备对接采用不同的方式。</w:t>
      </w:r>
    </w:p>
    <w:p w14:paraId="50631051">
      <w:pPr>
        <w:pStyle w:val="45"/>
      </w:pPr>
      <w:r>
        <w:drawing>
          <wp:inline distT="0" distB="0" distL="0" distR="0">
            <wp:extent cx="5274310" cy="2651125"/>
            <wp:effectExtent l="0" t="0" r="13970" b="635"/>
            <wp:docPr id="173" name="图片 173" descr="C:\Users\Administrator\Desktop\图片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173" descr="C:\Users\Administrator\Desktop\图片2.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274310" cy="2651410"/>
                    </a:xfrm>
                    <a:prstGeom prst="rect">
                      <a:avLst/>
                    </a:prstGeom>
                    <a:noFill/>
                    <a:ln>
                      <a:noFill/>
                    </a:ln>
                  </pic:spPr>
                </pic:pic>
              </a:graphicData>
            </a:graphic>
          </wp:inline>
        </w:drawing>
      </w:r>
    </w:p>
    <w:p w14:paraId="0375CE78">
      <w:pPr>
        <w:pStyle w:val="15"/>
      </w:pPr>
      <w:r>
        <w:rPr>
          <w:rFonts w:hint="eastAsia"/>
        </w:rPr>
        <w:t>如通过音频广播网关实现和音频矩阵、调音台、扩音广播主机实现对接，接入到音频矩阵、调音台、扩音广播主机的一路音频输入口。</w:t>
      </w:r>
    </w:p>
    <w:p w14:paraId="597E794E">
      <w:pPr>
        <w:pStyle w:val="15"/>
      </w:pPr>
      <w:r>
        <w:rPr>
          <w:rFonts w:hint="eastAsia"/>
        </w:rPr>
        <w:t>如广播终端支持SIP协议，可直接注册到多媒体调度服务器，无需通过网关对接，即可作为多媒体调度系统的广播分机。</w:t>
      </w:r>
    </w:p>
    <w:p w14:paraId="64008983">
      <w:pPr>
        <w:pStyle w:val="15"/>
      </w:pPr>
      <w:r>
        <w:rPr>
          <w:rFonts w:hint="eastAsia"/>
        </w:rPr>
        <w:t>广播系统接入指挥调度系统，用于实现如下业务：</w:t>
      </w:r>
    </w:p>
    <w:p w14:paraId="03A8612D">
      <w:pPr>
        <w:pStyle w:val="15"/>
      </w:pPr>
      <w:r>
        <w:rPr>
          <w:rFonts w:hint="eastAsia"/>
        </w:rPr>
        <w:t>（1）保护原有投资的情况下，实现音频广播系统和其他系统的互联互通。</w:t>
      </w:r>
    </w:p>
    <w:p w14:paraId="6DA4B51D">
      <w:pPr>
        <w:pStyle w:val="15"/>
      </w:pPr>
      <w:r>
        <w:rPr>
          <w:rFonts w:hint="eastAsia"/>
        </w:rPr>
        <w:t>（2）可通过调度台和其他有线、无线通信终端发起群组广播。</w:t>
      </w:r>
    </w:p>
    <w:p w14:paraId="62C51B76">
      <w:pPr>
        <w:pStyle w:val="15"/>
      </w:pPr>
      <w:r>
        <w:rPr>
          <w:rFonts w:hint="eastAsia"/>
        </w:rPr>
        <w:t>（3）实现指挥调度过程接入到会场矩阵，实现实时播放和指令发布。</w:t>
      </w:r>
    </w:p>
    <w:p w14:paraId="3EBB5682">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支持与程控交换机和非SIP协议的IP-PBX对接</w:t>
      </w:r>
    </w:p>
    <w:p w14:paraId="33F28E7F">
      <w:pPr>
        <w:pStyle w:val="15"/>
      </w:pPr>
      <w:r>
        <w:rPr>
          <w:rFonts w:hint="eastAsia"/>
        </w:rPr>
        <w:t>部署语音网关，提供E1/FXO/FXS等接口和程控交换机及IP-PBX对接，对接接口类型可根据原有程控交换机和IP-PBX目前空余的接口类型来选型。只需要程控交换机和IP-PBX配合设定好呼叫策略。</w:t>
      </w:r>
    </w:p>
    <w:p w14:paraId="7B516CBC">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与视频会议系统对接</w:t>
      </w:r>
    </w:p>
    <w:p w14:paraId="7DC556E3">
      <w:pPr>
        <w:pStyle w:val="15"/>
      </w:pPr>
      <w:r>
        <w:rPr>
          <w:rFonts w:hint="eastAsia"/>
        </w:rPr>
        <w:t>融合通信平台支持与主流品牌视频会议设备接入，视频会议终端接入方式可分为两种比较常见的接入方式：</w:t>
      </w:r>
    </w:p>
    <w:p w14:paraId="16A34691">
      <w:pPr>
        <w:pStyle w:val="15"/>
      </w:pPr>
      <w:r>
        <w:rPr>
          <w:rFonts w:hint="eastAsia"/>
        </w:rPr>
        <w:t>方案一：融合通信平台配套设备中带有媒体会议服务器，那么所有的视频会议终端可以通过H.323协议可直接通过H.323协议注册到媒体会议服务器，媒体会议服务器和融合通信平台之间通过SIP协议对接，最终可实现融合通信平台和视频会议终端的互通。这种方案的好处就是在融合通信平台当中，调度台发起的视频会议是一路混合的视频流，所有的参会人员只要终端能够支持视频的显示，大家看到的视频会议画面就都是一样的，而且可以做会控。</w:t>
      </w:r>
    </w:p>
    <w:p w14:paraId="10D6E525">
      <w:pPr>
        <w:pStyle w:val="45"/>
      </w:pPr>
      <w:r>
        <w:drawing>
          <wp:inline distT="0" distB="0" distL="0" distR="0">
            <wp:extent cx="5274310" cy="1300480"/>
            <wp:effectExtent l="0" t="0" r="13970" b="1016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5274310" cy="1300480"/>
                    </a:xfrm>
                    <a:prstGeom prst="rect">
                      <a:avLst/>
                    </a:prstGeom>
                    <a:noFill/>
                    <a:ln>
                      <a:noFill/>
                    </a:ln>
                  </pic:spPr>
                </pic:pic>
              </a:graphicData>
            </a:graphic>
          </wp:inline>
        </w:drawing>
      </w:r>
    </w:p>
    <w:p w14:paraId="1F218653">
      <w:pPr>
        <w:pStyle w:val="15"/>
      </w:pPr>
      <w:r>
        <w:rPr>
          <w:rFonts w:hint="eastAsia"/>
        </w:rPr>
        <w:t>方案二：融合通信平台配套设备中没有配置媒体会议服务器也不需要所有参会者看视频会议的混屏画面，而且视频会议终端也支持SIP协议，那么我们对接方式就是视频会议终端直接通过SIP协议方式注册到融合通信服务器上，作为融合通信服务器上的一个SIP终端类型的用户，实现融合通信平台和视频会议终端的互通，也可以支持会控，只不过除了调度台以外，其他的会议参会成员只能看到调度台一人的画面或者调度台推送的其他参会者的画面。</w:t>
      </w:r>
    </w:p>
    <w:p w14:paraId="642AD55F">
      <w:pPr>
        <w:pStyle w:val="45"/>
      </w:pPr>
      <w:r>
        <w:drawing>
          <wp:inline distT="0" distB="0" distL="0" distR="0">
            <wp:extent cx="5274310" cy="1300480"/>
            <wp:effectExtent l="0" t="0" r="13970" b="1016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5274310" cy="1300480"/>
                    </a:xfrm>
                    <a:prstGeom prst="rect">
                      <a:avLst/>
                    </a:prstGeom>
                    <a:noFill/>
                    <a:ln>
                      <a:noFill/>
                    </a:ln>
                  </pic:spPr>
                </pic:pic>
              </a:graphicData>
            </a:graphic>
          </wp:inline>
        </w:drawing>
      </w:r>
    </w:p>
    <w:p w14:paraId="5A4898B1">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4G/5G公网接入</w:t>
      </w:r>
    </w:p>
    <w:p w14:paraId="2E16AFD2">
      <w:pPr>
        <w:pStyle w:val="15"/>
      </w:pPr>
      <w:r>
        <w:rPr>
          <w:rFonts w:hint="eastAsia"/>
        </w:rPr>
        <w:t>通过在智能终端上安装移动终端软件，工作人员可在有4/5G网络覆盖的区域，通过4/5G防爆智能终端或者智能手机进行内部音视频通信、对讲通信、视频采集回传、视频点播、点对点视频通话。</w:t>
      </w:r>
    </w:p>
    <w:p w14:paraId="3763C5E2">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无人机系统对接</w:t>
      </w:r>
    </w:p>
    <w:p w14:paraId="09AB4A98">
      <w:pPr>
        <w:pStyle w:val="45"/>
      </w:pPr>
      <w:r>
        <w:drawing>
          <wp:inline distT="0" distB="0" distL="0" distR="0">
            <wp:extent cx="4871085" cy="1200785"/>
            <wp:effectExtent l="0" t="0" r="5715" b="3175"/>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4871085" cy="1200785"/>
                    </a:xfrm>
                    <a:prstGeom prst="rect">
                      <a:avLst/>
                    </a:prstGeom>
                    <a:noFill/>
                    <a:ln>
                      <a:noFill/>
                    </a:ln>
                  </pic:spPr>
                </pic:pic>
              </a:graphicData>
            </a:graphic>
          </wp:inline>
        </w:drawing>
      </w:r>
    </w:p>
    <w:p w14:paraId="0B595462">
      <w:pPr>
        <w:pStyle w:val="15"/>
      </w:pPr>
      <w:r>
        <w:rPr>
          <w:rFonts w:hint="eastAsia"/>
        </w:rPr>
        <w:t>融合通信平台的软交换设备与无人机采用RTMP+HTTP协议的方式来实现无人机视频图像的预览和位置信息的获取，通过RTMP协议把无人机的视频推送到流媒体服务器，通过HTTP协议把无人机的位置信息上传到流媒体服务器，流媒体服务器把获取到无人机的视频和位置的账号ID进行关联，最终在融合通信的调度台上实现查看无人机的视频和地理位置信息。</w:t>
      </w:r>
    </w:p>
    <w:p w14:paraId="7D06D8B0">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短信平台接入</w:t>
      </w:r>
    </w:p>
    <w:p w14:paraId="0AB3D4C6">
      <w:pPr>
        <w:pStyle w:val="15"/>
      </w:pPr>
      <w:r>
        <w:rPr>
          <w:rFonts w:hint="eastAsia"/>
        </w:rPr>
        <w:t>实现公网短信的群发、单发、接收等操作，实现文字指令统一下达。与GSM、CDMA、3/4G网络对接，部署短信网关，提供GSM/CDMA/3G/4G等无线中继接口连接GSM/CDMA/3G/4G网络。单台网关支持4路无线中继通道，支持不同无线中继模块的混插。</w:t>
      </w:r>
    </w:p>
    <w:p w14:paraId="2FF654B9">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传真系统接入</w:t>
      </w:r>
    </w:p>
    <w:p w14:paraId="181CF7CE">
      <w:pPr>
        <w:pStyle w:val="15"/>
      </w:pPr>
      <w:r>
        <w:rPr>
          <w:rFonts w:hint="eastAsia"/>
        </w:rPr>
        <w:t>实现传真的接收、群发、转分发、已发送和已接收的传真保存等功能。加入传真服务网关，通过融合通信服务器进行对接，实现对传真的统一调度管理。</w:t>
      </w:r>
    </w:p>
    <w:p w14:paraId="2A5B4EF6">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与通信保障平台对接</w:t>
      </w:r>
    </w:p>
    <w:p w14:paraId="0BF104E5">
      <w:pPr>
        <w:pStyle w:val="15"/>
      </w:pPr>
      <w:r>
        <w:rPr>
          <w:rFonts w:hint="eastAsia"/>
        </w:rPr>
        <w:t>通过接入通信保障平台，实现与通信保障整合的设备终端进行统一融合对接，多模终端、智能头盔、智能眼镜、北斗示位标等设备的接入，实时展现其动态信息。</w:t>
      </w:r>
    </w:p>
    <w:p w14:paraId="38556A48">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接口服务</w:t>
      </w:r>
    </w:p>
    <w:p w14:paraId="3FDB22A0">
      <w:pPr>
        <w:pStyle w:val="15"/>
      </w:pPr>
      <w:r>
        <w:rPr>
          <w:rFonts w:hint="eastAsia"/>
        </w:rPr>
        <w:t>系统能够通过各种不同类型的接口服务，对接各个</w:t>
      </w:r>
      <w:r>
        <w:t>业务系统</w:t>
      </w:r>
      <w:r>
        <w:rPr>
          <w:rFonts w:hint="eastAsia"/>
        </w:rPr>
        <w:t>。</w:t>
      </w:r>
      <w:r>
        <w:t>包括</w:t>
      </w:r>
      <w:r>
        <w:rPr>
          <w:rFonts w:hint="eastAsia"/>
        </w:rPr>
        <w:t>SIP协议接口</w:t>
      </w:r>
      <w:r>
        <w:t>、</w:t>
      </w:r>
      <w:r>
        <w:rPr>
          <w:rFonts w:hint="eastAsia"/>
        </w:rPr>
        <w:t>系统API接口</w:t>
      </w:r>
      <w:r>
        <w:t>、</w:t>
      </w:r>
      <w:r>
        <w:rPr>
          <w:rFonts w:hint="eastAsia"/>
        </w:rPr>
        <w:t>web客户端SDK</w:t>
      </w:r>
      <w:r>
        <w:t>、</w:t>
      </w:r>
      <w:r>
        <w:rPr>
          <w:rFonts w:hint="eastAsia"/>
        </w:rPr>
        <w:t>安卓端SDK等</w:t>
      </w:r>
      <w:r>
        <w:t>。</w:t>
      </w:r>
    </w:p>
    <w:p w14:paraId="54CC1F21">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SIP协议接口支持</w:t>
      </w:r>
    </w:p>
    <w:p w14:paraId="35D30803">
      <w:pPr>
        <w:pStyle w:val="15"/>
      </w:pPr>
      <w:r>
        <w:rPr>
          <w:rFonts w:hint="eastAsia"/>
        </w:rPr>
        <w:t>允许系统通过SIP（SessionInitiationProtocol）协议与其他支持SIP的通信系统（如电话系统、视频会议系统等）进行实时通信和数据交换。</w:t>
      </w:r>
    </w:p>
    <w:p w14:paraId="7BE71874">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系统API接口支持</w:t>
      </w:r>
    </w:p>
    <w:p w14:paraId="6BA21146">
      <w:pPr>
        <w:pStyle w:val="15"/>
      </w:pPr>
      <w:r>
        <w:rPr>
          <w:rFonts w:hint="eastAsia"/>
        </w:rPr>
        <w:t>提供一套基于HTTP协议的RESTfulAPI接口，允许其他业务系统通过HTTP请求与指挥调度系统进行数据交互。根据业务需求，提供定制化API接口开发服务，满足特殊数据交互需求。</w:t>
      </w:r>
    </w:p>
    <w:p w14:paraId="437DA370">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Web客户端SDK</w:t>
      </w:r>
    </w:p>
    <w:p w14:paraId="45F3E703">
      <w:pPr>
        <w:pStyle w:val="15"/>
      </w:pPr>
      <w:r>
        <w:rPr>
          <w:rFonts w:hint="eastAsia"/>
        </w:rPr>
        <w:t>提供一套WebSDK，支持主流浏览器（如Chrome、Firefox、Safari等），方便开发Web端应用。</w:t>
      </w:r>
    </w:p>
    <w:p w14:paraId="38F24A70">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安卓端SDK</w:t>
      </w:r>
    </w:p>
    <w:p w14:paraId="421E7731">
      <w:pPr>
        <w:pStyle w:val="15"/>
      </w:pPr>
      <w:r>
        <w:rPr>
          <w:rFonts w:hint="eastAsia"/>
        </w:rPr>
        <w:t>提供针对Android操作系统的原生SDK，支持Java或Kotlin等开发语言。</w:t>
      </w:r>
    </w:p>
    <w:p w14:paraId="25CF57BD">
      <w:pPr>
        <w:pStyle w:val="7"/>
        <w:keepNext/>
        <w:keepLines/>
        <w:pageBreakBefore w:val="0"/>
        <w:widowControl w:val="0"/>
        <w:kinsoku/>
        <w:wordWrap/>
        <w:overflowPunct/>
        <w:topLinePunct w:val="0"/>
        <w:autoSpaceDE/>
        <w:autoSpaceDN/>
        <w:bidi w:val="0"/>
        <w:adjustRightInd w:val="0"/>
        <w:snapToGrid w:val="0"/>
        <w:spacing w:before="240" w:after="240"/>
        <w:textAlignment w:val="auto"/>
        <w:outlineLvl w:val="2"/>
        <w:rPr>
          <w:rFonts w:hint="eastAsia"/>
        </w:rPr>
      </w:pPr>
      <w:r>
        <w:rPr>
          <w:rFonts w:hint="eastAsia"/>
        </w:rPr>
        <w:t>配套设备</w:t>
      </w:r>
    </w:p>
    <w:p w14:paraId="1E65A556">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配套网关清单</w:t>
      </w:r>
    </w:p>
    <w:tbl>
      <w:tblPr>
        <w:tblStyle w:val="46"/>
        <w:tblW w:w="4998" w:type="pct"/>
        <w:jc w:val="center"/>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19"/>
        <w:gridCol w:w="1549"/>
        <w:gridCol w:w="4122"/>
        <w:gridCol w:w="668"/>
        <w:gridCol w:w="803"/>
        <w:gridCol w:w="935"/>
      </w:tblGrid>
      <w:tr w14:paraId="4EA5D22F">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0" w:type="dxa"/>
            <w:bottom w:w="0" w:type="dxa"/>
            <w:right w:w="0" w:type="dxa"/>
          </w:tblCellMar>
        </w:tblPrEx>
        <w:trPr>
          <w:trHeight w:val="23" w:hRule="atLeast"/>
          <w:tblHeader/>
          <w:jc w:val="center"/>
        </w:trPr>
        <w:tc>
          <w:tcPr>
            <w:tcW w:w="560" w:type="pct"/>
            <w:tcBorders>
              <w:top w:val="double" w:color="auto" w:sz="4" w:space="0"/>
              <w:left w:val="double" w:color="auto" w:sz="4" w:space="0"/>
              <w:bottom w:val="single" w:color="auto" w:sz="4" w:space="0"/>
              <w:right w:val="single" w:color="auto" w:sz="4" w:space="0"/>
              <w:insideH w:val="single" w:sz="4" w:space="0"/>
              <w:insideV w:val="single" w:sz="4" w:space="0"/>
              <w:tl2br w:val="nil"/>
              <w:tr2bl w:val="nil"/>
            </w:tcBorders>
            <w:shd w:val="clear" w:color="auto" w:fill="BFBFBF"/>
            <w:noWrap/>
            <w:vAlign w:val="center"/>
          </w:tcPr>
          <w:p w14:paraId="3C848625">
            <w:pPr>
              <w:pStyle w:val="15"/>
              <w:widowControl w:val="0"/>
              <w:snapToGrid w:val="0"/>
              <w:spacing w:before="0" w:beforeLines="0" w:after="0" w:afterLines="0" w:line="240" w:lineRule="auto"/>
              <w:ind w:firstLine="0" w:firstLineChars="0"/>
              <w:contextualSpacing/>
              <w:jc w:val="center"/>
              <w:rPr>
                <w:rFonts w:hint="eastAsia" w:ascii="宋体" w:hAnsi="宋体"/>
                <w:b/>
                <w:color w:val="auto"/>
                <w:kern w:val="0"/>
                <w:sz w:val="21"/>
              </w:rPr>
            </w:pPr>
            <w:r>
              <w:rPr>
                <w:rFonts w:hint="eastAsia" w:ascii="宋体" w:hAnsi="宋体"/>
                <w:b/>
                <w:color w:val="auto"/>
                <w:kern w:val="0"/>
                <w:sz w:val="21"/>
              </w:rPr>
              <w:t>序号</w:t>
            </w:r>
          </w:p>
        </w:tc>
        <w:tc>
          <w:tcPr>
            <w:tcW w:w="851" w:type="pct"/>
            <w:tcBorders>
              <w:top w:val="double" w:color="auto" w:sz="4" w:space="0"/>
              <w:bottom w:val="single" w:color="auto" w:sz="4" w:space="0"/>
              <w:right w:val="single" w:color="auto" w:sz="4" w:space="0"/>
              <w:insideH w:val="single" w:sz="4" w:space="0"/>
              <w:insideV w:val="single" w:sz="4" w:space="0"/>
              <w:tl2br w:val="nil"/>
              <w:tr2bl w:val="nil"/>
            </w:tcBorders>
            <w:shd w:val="clear" w:color="auto" w:fill="BFBFBF"/>
            <w:noWrap/>
            <w:vAlign w:val="center"/>
          </w:tcPr>
          <w:p w14:paraId="431B123B">
            <w:pPr>
              <w:pStyle w:val="15"/>
              <w:widowControl w:val="0"/>
              <w:snapToGrid w:val="0"/>
              <w:spacing w:before="0" w:beforeLines="0" w:after="0" w:afterLines="0" w:line="240" w:lineRule="auto"/>
              <w:ind w:firstLine="0" w:firstLineChars="0"/>
              <w:contextualSpacing/>
              <w:jc w:val="center"/>
              <w:rPr>
                <w:rFonts w:hint="eastAsia" w:ascii="宋体" w:hAnsi="宋体"/>
                <w:b/>
                <w:color w:val="auto"/>
                <w:kern w:val="0"/>
                <w:sz w:val="21"/>
              </w:rPr>
            </w:pPr>
            <w:r>
              <w:rPr>
                <w:rFonts w:hint="eastAsia" w:ascii="宋体" w:hAnsi="宋体"/>
                <w:b/>
                <w:color w:val="auto"/>
                <w:kern w:val="0"/>
                <w:sz w:val="21"/>
              </w:rPr>
              <w:t>设备名称</w:t>
            </w:r>
          </w:p>
        </w:tc>
        <w:tc>
          <w:tcPr>
            <w:tcW w:w="2265" w:type="pct"/>
            <w:tcBorders>
              <w:top w:val="double" w:color="auto" w:sz="4" w:space="0"/>
              <w:bottom w:val="single" w:color="auto" w:sz="4" w:space="0"/>
              <w:right w:val="single" w:color="auto" w:sz="4" w:space="0"/>
              <w:insideH w:val="single" w:sz="4" w:space="0"/>
              <w:insideV w:val="single" w:sz="4" w:space="0"/>
              <w:tl2br w:val="nil"/>
              <w:tr2bl w:val="nil"/>
            </w:tcBorders>
            <w:shd w:val="clear" w:color="auto" w:fill="BFBFBF"/>
            <w:vAlign w:val="center"/>
          </w:tcPr>
          <w:p w14:paraId="009744A5">
            <w:pPr>
              <w:pStyle w:val="15"/>
              <w:widowControl w:val="0"/>
              <w:snapToGrid w:val="0"/>
              <w:spacing w:before="0" w:beforeLines="0" w:after="0" w:afterLines="0" w:line="240" w:lineRule="auto"/>
              <w:ind w:firstLine="0" w:firstLineChars="0"/>
              <w:contextualSpacing/>
              <w:jc w:val="center"/>
              <w:rPr>
                <w:rFonts w:hint="eastAsia" w:ascii="宋体" w:hAnsi="宋体"/>
                <w:b/>
                <w:color w:val="auto"/>
                <w:kern w:val="0"/>
                <w:sz w:val="21"/>
              </w:rPr>
            </w:pPr>
            <w:r>
              <w:rPr>
                <w:rFonts w:hint="eastAsia" w:ascii="宋体" w:hAnsi="宋体"/>
                <w:b/>
                <w:color w:val="auto"/>
                <w:kern w:val="0"/>
                <w:sz w:val="21"/>
              </w:rPr>
              <w:t>产品概述</w:t>
            </w:r>
          </w:p>
        </w:tc>
        <w:tc>
          <w:tcPr>
            <w:tcW w:w="367" w:type="pct"/>
            <w:tcBorders>
              <w:top w:val="double" w:color="auto" w:sz="4" w:space="0"/>
              <w:bottom w:val="single" w:color="auto" w:sz="4" w:space="0"/>
              <w:right w:val="single" w:color="auto" w:sz="4" w:space="0"/>
              <w:insideH w:val="single" w:sz="4" w:space="0"/>
              <w:insideV w:val="single" w:sz="4" w:space="0"/>
              <w:tl2br w:val="nil"/>
              <w:tr2bl w:val="nil"/>
            </w:tcBorders>
            <w:shd w:val="clear" w:color="auto" w:fill="BFBFBF"/>
            <w:vAlign w:val="center"/>
          </w:tcPr>
          <w:p w14:paraId="46310DF0">
            <w:pPr>
              <w:pStyle w:val="15"/>
              <w:widowControl w:val="0"/>
              <w:snapToGrid w:val="0"/>
              <w:spacing w:before="0" w:beforeLines="0" w:after="0" w:afterLines="0" w:line="240" w:lineRule="auto"/>
              <w:ind w:firstLine="0" w:firstLineChars="0"/>
              <w:contextualSpacing/>
              <w:jc w:val="center"/>
              <w:rPr>
                <w:rFonts w:hint="eastAsia" w:ascii="宋体" w:hAnsi="宋体"/>
                <w:b/>
                <w:color w:val="auto"/>
                <w:kern w:val="0"/>
                <w:sz w:val="21"/>
              </w:rPr>
            </w:pPr>
            <w:r>
              <w:rPr>
                <w:rFonts w:hint="eastAsia" w:ascii="宋体" w:hAnsi="宋体"/>
                <w:b/>
                <w:color w:val="auto"/>
                <w:kern w:val="0"/>
                <w:sz w:val="21"/>
              </w:rPr>
              <w:t>单位</w:t>
            </w:r>
          </w:p>
        </w:tc>
        <w:tc>
          <w:tcPr>
            <w:tcW w:w="441" w:type="pct"/>
            <w:tcBorders>
              <w:top w:val="double" w:color="auto" w:sz="4" w:space="0"/>
              <w:bottom w:val="single" w:color="auto" w:sz="4" w:space="0"/>
              <w:right w:val="single" w:color="auto" w:sz="4" w:space="0"/>
              <w:insideH w:val="single" w:sz="4" w:space="0"/>
              <w:insideV w:val="single" w:sz="4" w:space="0"/>
              <w:tl2br w:val="nil"/>
              <w:tr2bl w:val="nil"/>
            </w:tcBorders>
            <w:shd w:val="clear" w:color="auto" w:fill="BFBFBF"/>
            <w:vAlign w:val="center"/>
          </w:tcPr>
          <w:p w14:paraId="62F0792B">
            <w:pPr>
              <w:pStyle w:val="15"/>
              <w:widowControl w:val="0"/>
              <w:snapToGrid w:val="0"/>
              <w:spacing w:before="0" w:beforeLines="0" w:after="0" w:afterLines="0" w:line="240" w:lineRule="auto"/>
              <w:ind w:firstLine="0" w:firstLineChars="0"/>
              <w:contextualSpacing/>
              <w:jc w:val="center"/>
              <w:rPr>
                <w:rFonts w:hint="eastAsia" w:ascii="宋体" w:hAnsi="宋体"/>
                <w:b/>
                <w:color w:val="auto"/>
                <w:kern w:val="0"/>
                <w:sz w:val="21"/>
              </w:rPr>
            </w:pPr>
            <w:r>
              <w:rPr>
                <w:rFonts w:hint="eastAsia" w:ascii="宋体" w:hAnsi="宋体"/>
                <w:b/>
                <w:color w:val="auto"/>
                <w:kern w:val="0"/>
                <w:sz w:val="21"/>
              </w:rPr>
              <w:t>数量</w:t>
            </w:r>
          </w:p>
        </w:tc>
        <w:tc>
          <w:tcPr>
            <w:tcW w:w="514" w:type="pct"/>
            <w:tcBorders>
              <w:top w:val="double" w:color="auto" w:sz="4" w:space="0"/>
              <w:bottom w:val="single" w:color="auto" w:sz="4" w:space="0"/>
              <w:right w:val="double" w:color="auto" w:sz="4" w:space="0"/>
              <w:insideH w:val="single" w:sz="4" w:space="0"/>
              <w:insideV w:val="single" w:sz="4" w:space="0"/>
              <w:tl2br w:val="nil"/>
              <w:tr2bl w:val="nil"/>
            </w:tcBorders>
            <w:shd w:val="clear" w:color="auto" w:fill="BFBFBF"/>
            <w:noWrap/>
            <w:vAlign w:val="center"/>
          </w:tcPr>
          <w:p w14:paraId="3E6548C7">
            <w:pPr>
              <w:pStyle w:val="15"/>
              <w:widowControl w:val="0"/>
              <w:snapToGrid w:val="0"/>
              <w:spacing w:before="0" w:beforeLines="0" w:after="0" w:afterLines="0" w:line="240" w:lineRule="auto"/>
              <w:ind w:firstLine="0" w:firstLineChars="0"/>
              <w:contextualSpacing/>
              <w:jc w:val="center"/>
              <w:rPr>
                <w:rFonts w:hint="eastAsia" w:ascii="宋体" w:hAnsi="宋体"/>
                <w:b/>
                <w:color w:val="auto"/>
                <w:kern w:val="0"/>
                <w:sz w:val="21"/>
              </w:rPr>
            </w:pPr>
            <w:r>
              <w:rPr>
                <w:rFonts w:hint="eastAsia" w:ascii="宋体" w:hAnsi="宋体"/>
                <w:b/>
                <w:color w:val="auto"/>
                <w:kern w:val="0"/>
                <w:sz w:val="21"/>
              </w:rPr>
              <w:t>备注</w:t>
            </w:r>
          </w:p>
        </w:tc>
      </w:tr>
      <w:tr w14:paraId="5D698245">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60" w:type="pct"/>
            <w:noWrap/>
            <w:vAlign w:val="center"/>
          </w:tcPr>
          <w:p w14:paraId="4A7D3163">
            <w:pPr>
              <w:pStyle w:val="15"/>
              <w:widowControl w:val="0"/>
              <w:snapToGrid w:val="0"/>
              <w:spacing w:before="0" w:beforeLines="0" w:after="0" w:afterLines="0" w:line="240" w:lineRule="auto"/>
              <w:ind w:firstLine="0" w:firstLineChars="0"/>
              <w:contextualSpacing/>
              <w:jc w:val="center"/>
              <w:rPr>
                <w:rFonts w:hint="eastAsia" w:ascii="宋体" w:hAnsi="宋体"/>
                <w:color w:val="auto"/>
                <w:kern w:val="0"/>
                <w:sz w:val="21"/>
              </w:rPr>
            </w:pPr>
            <w:r>
              <w:rPr>
                <w:rFonts w:hint="eastAsia" w:ascii="宋体" w:hAnsi="宋体"/>
                <w:color w:val="auto"/>
                <w:kern w:val="0"/>
                <w:sz w:val="21"/>
              </w:rPr>
              <w:t>1</w:t>
            </w:r>
          </w:p>
        </w:tc>
        <w:tc>
          <w:tcPr>
            <w:tcW w:w="851" w:type="pct"/>
            <w:vAlign w:val="center"/>
          </w:tcPr>
          <w:p w14:paraId="3FDC746A">
            <w:pPr>
              <w:pStyle w:val="15"/>
              <w:widowControl w:val="0"/>
              <w:snapToGrid w:val="0"/>
              <w:spacing w:before="0" w:beforeLines="0" w:after="0" w:afterLines="0" w:line="240" w:lineRule="auto"/>
              <w:ind w:firstLine="0" w:firstLineChars="0"/>
              <w:contextualSpacing/>
              <w:jc w:val="center"/>
              <w:rPr>
                <w:rFonts w:hint="eastAsia" w:ascii="宋体" w:hAnsi="宋体"/>
                <w:color w:val="auto"/>
                <w:kern w:val="0"/>
                <w:sz w:val="21"/>
              </w:rPr>
            </w:pPr>
            <w:r>
              <w:rPr>
                <w:rFonts w:hint="eastAsia" w:ascii="宋体" w:hAnsi="宋体"/>
                <w:color w:val="auto"/>
                <w:kern w:val="0"/>
                <w:sz w:val="21"/>
              </w:rPr>
              <w:t>媒体网关</w:t>
            </w:r>
          </w:p>
        </w:tc>
        <w:tc>
          <w:tcPr>
            <w:tcW w:w="2265" w:type="pct"/>
            <w:vAlign w:val="center"/>
          </w:tcPr>
          <w:p w14:paraId="076ACAFF">
            <w:pPr>
              <w:pStyle w:val="15"/>
              <w:widowControl w:val="0"/>
              <w:snapToGrid w:val="0"/>
              <w:spacing w:before="0" w:beforeLines="0" w:after="0" w:afterLines="0" w:line="240" w:lineRule="auto"/>
              <w:ind w:firstLine="0" w:firstLineChars="0"/>
              <w:contextualSpacing/>
              <w:jc w:val="center"/>
              <w:rPr>
                <w:rFonts w:hint="eastAsia" w:ascii="宋体" w:hAnsi="宋体"/>
                <w:color w:val="auto"/>
                <w:kern w:val="0"/>
                <w:sz w:val="21"/>
              </w:rPr>
            </w:pPr>
            <w:r>
              <w:rPr>
                <w:rFonts w:hint="eastAsia" w:ascii="宋体" w:hAnsi="宋体"/>
                <w:color w:val="auto"/>
                <w:kern w:val="0"/>
                <w:sz w:val="21"/>
              </w:rPr>
              <w:t>1口E1媒体网关（30路并发，含1个配置口，2个1000M以太口，仅支持ISDNPRI信令）</w:t>
            </w:r>
          </w:p>
        </w:tc>
        <w:tc>
          <w:tcPr>
            <w:tcW w:w="367" w:type="pct"/>
            <w:vAlign w:val="center"/>
          </w:tcPr>
          <w:p w14:paraId="26FA4CDD">
            <w:pPr>
              <w:pStyle w:val="15"/>
              <w:widowControl w:val="0"/>
              <w:snapToGrid w:val="0"/>
              <w:spacing w:before="0" w:beforeLines="0" w:after="0" w:afterLines="0" w:line="240" w:lineRule="auto"/>
              <w:ind w:firstLine="0" w:firstLineChars="0"/>
              <w:contextualSpacing/>
              <w:jc w:val="center"/>
              <w:rPr>
                <w:rFonts w:hint="eastAsia" w:ascii="宋体" w:hAnsi="宋体"/>
                <w:color w:val="auto"/>
                <w:kern w:val="0"/>
                <w:sz w:val="21"/>
              </w:rPr>
            </w:pPr>
            <w:r>
              <w:rPr>
                <w:rFonts w:hint="eastAsia" w:ascii="宋体" w:hAnsi="宋体"/>
                <w:color w:val="auto"/>
                <w:kern w:val="0"/>
                <w:sz w:val="21"/>
              </w:rPr>
              <w:t>台</w:t>
            </w:r>
          </w:p>
        </w:tc>
        <w:tc>
          <w:tcPr>
            <w:tcW w:w="441" w:type="pct"/>
            <w:vAlign w:val="center"/>
          </w:tcPr>
          <w:p w14:paraId="6B6384E9">
            <w:pPr>
              <w:pStyle w:val="15"/>
              <w:widowControl w:val="0"/>
              <w:snapToGrid w:val="0"/>
              <w:spacing w:before="0" w:beforeLines="0" w:after="0" w:afterLines="0" w:line="240" w:lineRule="auto"/>
              <w:ind w:firstLine="0" w:firstLineChars="0"/>
              <w:contextualSpacing/>
              <w:jc w:val="center"/>
              <w:rPr>
                <w:rFonts w:hint="eastAsia" w:ascii="宋体" w:hAnsi="宋体"/>
                <w:color w:val="auto"/>
                <w:kern w:val="0"/>
                <w:sz w:val="21"/>
              </w:rPr>
            </w:pPr>
            <w:r>
              <w:rPr>
                <w:rFonts w:hint="eastAsia" w:ascii="宋体" w:hAnsi="宋体"/>
                <w:color w:val="auto"/>
                <w:kern w:val="0"/>
                <w:sz w:val="21"/>
              </w:rPr>
              <w:t>1</w:t>
            </w:r>
          </w:p>
        </w:tc>
        <w:tc>
          <w:tcPr>
            <w:tcW w:w="514" w:type="pct"/>
            <w:vAlign w:val="center"/>
          </w:tcPr>
          <w:p w14:paraId="63EEDB8C">
            <w:pPr>
              <w:pStyle w:val="15"/>
              <w:widowControl w:val="0"/>
              <w:snapToGrid w:val="0"/>
              <w:spacing w:before="0" w:beforeLines="0" w:after="0" w:afterLines="0" w:line="240" w:lineRule="auto"/>
              <w:ind w:firstLine="0" w:firstLineChars="0"/>
              <w:contextualSpacing/>
              <w:jc w:val="center"/>
              <w:rPr>
                <w:rFonts w:hint="eastAsia" w:ascii="宋体" w:hAnsi="宋体"/>
                <w:color w:val="auto"/>
                <w:kern w:val="0"/>
                <w:sz w:val="21"/>
              </w:rPr>
            </w:pPr>
            <w:r>
              <w:rPr>
                <w:rFonts w:hint="eastAsia" w:ascii="宋体" w:hAnsi="宋体"/>
                <w:color w:val="auto"/>
                <w:kern w:val="0"/>
                <w:sz w:val="21"/>
              </w:rPr>
              <w:t>　</w:t>
            </w:r>
          </w:p>
        </w:tc>
      </w:tr>
      <w:tr w14:paraId="2EDAF075">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60" w:type="pct"/>
            <w:noWrap/>
            <w:vAlign w:val="center"/>
          </w:tcPr>
          <w:p w14:paraId="33B766EF">
            <w:pPr>
              <w:pStyle w:val="15"/>
              <w:widowControl w:val="0"/>
              <w:snapToGrid w:val="0"/>
              <w:spacing w:before="0" w:beforeLines="0" w:after="0" w:afterLines="0" w:line="240" w:lineRule="auto"/>
              <w:ind w:firstLine="0" w:firstLineChars="0"/>
              <w:contextualSpacing/>
              <w:jc w:val="center"/>
              <w:rPr>
                <w:rFonts w:hint="eastAsia" w:ascii="宋体" w:hAnsi="宋体"/>
                <w:color w:val="auto"/>
                <w:kern w:val="0"/>
                <w:sz w:val="21"/>
              </w:rPr>
            </w:pPr>
            <w:r>
              <w:rPr>
                <w:rFonts w:hint="eastAsia" w:ascii="宋体" w:hAnsi="宋体"/>
                <w:color w:val="auto"/>
                <w:kern w:val="0"/>
                <w:sz w:val="21"/>
              </w:rPr>
              <w:t>2</w:t>
            </w:r>
          </w:p>
        </w:tc>
        <w:tc>
          <w:tcPr>
            <w:tcW w:w="851" w:type="pct"/>
            <w:vAlign w:val="center"/>
          </w:tcPr>
          <w:p w14:paraId="1DF4BECF">
            <w:pPr>
              <w:pStyle w:val="15"/>
              <w:widowControl w:val="0"/>
              <w:snapToGrid w:val="0"/>
              <w:spacing w:before="0" w:beforeLines="0" w:after="0" w:afterLines="0" w:line="240" w:lineRule="auto"/>
              <w:ind w:firstLine="0" w:firstLineChars="0"/>
              <w:contextualSpacing/>
              <w:jc w:val="center"/>
              <w:rPr>
                <w:rFonts w:hint="eastAsia" w:ascii="宋体" w:hAnsi="宋体"/>
                <w:color w:val="auto"/>
                <w:kern w:val="0"/>
                <w:sz w:val="21"/>
              </w:rPr>
            </w:pPr>
            <w:r>
              <w:rPr>
                <w:rFonts w:hint="eastAsia" w:ascii="宋体" w:hAnsi="宋体"/>
                <w:color w:val="auto"/>
                <w:kern w:val="0"/>
                <w:sz w:val="21"/>
              </w:rPr>
              <w:t>移动通信网关</w:t>
            </w:r>
          </w:p>
        </w:tc>
        <w:tc>
          <w:tcPr>
            <w:tcW w:w="2265" w:type="pct"/>
            <w:vAlign w:val="center"/>
          </w:tcPr>
          <w:p w14:paraId="5148D8D3">
            <w:pPr>
              <w:pStyle w:val="15"/>
              <w:widowControl w:val="0"/>
              <w:snapToGrid w:val="0"/>
              <w:spacing w:before="0" w:beforeLines="0" w:after="0" w:afterLines="0" w:line="240" w:lineRule="auto"/>
              <w:ind w:firstLine="0" w:firstLineChars="0"/>
              <w:contextualSpacing/>
              <w:jc w:val="center"/>
              <w:rPr>
                <w:rFonts w:hint="eastAsia" w:ascii="宋体" w:hAnsi="宋体"/>
                <w:color w:val="auto"/>
                <w:kern w:val="0"/>
                <w:sz w:val="21"/>
              </w:rPr>
            </w:pPr>
            <w:r>
              <w:rPr>
                <w:rFonts w:hint="eastAsia" w:ascii="宋体" w:hAnsi="宋体"/>
                <w:color w:val="auto"/>
                <w:kern w:val="0"/>
                <w:sz w:val="21"/>
              </w:rPr>
              <w:t>移动通信网关。提供语音通话、短信发送（群发、单发）、接收（短信提示、接收、存储）、查询短信记录等。标准1U机架式，提供4个卡插槽，1个10/100M以太口，支持2/3/4G全网通。</w:t>
            </w:r>
          </w:p>
        </w:tc>
        <w:tc>
          <w:tcPr>
            <w:tcW w:w="367" w:type="pct"/>
            <w:vAlign w:val="center"/>
          </w:tcPr>
          <w:p w14:paraId="72B2F762">
            <w:pPr>
              <w:pStyle w:val="15"/>
              <w:widowControl w:val="0"/>
              <w:snapToGrid w:val="0"/>
              <w:spacing w:before="0" w:beforeLines="0" w:after="0" w:afterLines="0" w:line="240" w:lineRule="auto"/>
              <w:ind w:firstLine="0" w:firstLineChars="0"/>
              <w:contextualSpacing/>
              <w:jc w:val="center"/>
              <w:rPr>
                <w:rFonts w:hint="eastAsia" w:ascii="宋体" w:hAnsi="宋体"/>
                <w:color w:val="auto"/>
                <w:kern w:val="0"/>
                <w:sz w:val="21"/>
              </w:rPr>
            </w:pPr>
            <w:r>
              <w:rPr>
                <w:rFonts w:hint="eastAsia" w:ascii="宋体" w:hAnsi="宋体"/>
                <w:color w:val="auto"/>
                <w:kern w:val="0"/>
                <w:sz w:val="21"/>
              </w:rPr>
              <w:t>台</w:t>
            </w:r>
          </w:p>
        </w:tc>
        <w:tc>
          <w:tcPr>
            <w:tcW w:w="441" w:type="pct"/>
            <w:vAlign w:val="center"/>
          </w:tcPr>
          <w:p w14:paraId="56C9578C">
            <w:pPr>
              <w:pStyle w:val="15"/>
              <w:widowControl w:val="0"/>
              <w:snapToGrid w:val="0"/>
              <w:spacing w:before="0" w:beforeLines="0" w:after="0" w:afterLines="0" w:line="240" w:lineRule="auto"/>
              <w:ind w:firstLine="0" w:firstLineChars="0"/>
              <w:contextualSpacing/>
              <w:jc w:val="center"/>
              <w:rPr>
                <w:rFonts w:hint="eastAsia" w:ascii="宋体" w:hAnsi="宋体"/>
                <w:color w:val="auto"/>
                <w:kern w:val="0"/>
                <w:sz w:val="21"/>
              </w:rPr>
            </w:pPr>
            <w:r>
              <w:rPr>
                <w:rFonts w:hint="eastAsia" w:ascii="宋体" w:hAnsi="宋体"/>
                <w:color w:val="auto"/>
                <w:kern w:val="0"/>
                <w:sz w:val="21"/>
              </w:rPr>
              <w:t>1</w:t>
            </w:r>
          </w:p>
        </w:tc>
        <w:tc>
          <w:tcPr>
            <w:tcW w:w="514" w:type="pct"/>
            <w:vAlign w:val="center"/>
          </w:tcPr>
          <w:p w14:paraId="053073E6">
            <w:pPr>
              <w:snapToGrid w:val="0"/>
              <w:contextualSpacing/>
              <w:jc w:val="center"/>
              <w:rPr>
                <w:rFonts w:hint="eastAsia" w:ascii="宋体" w:hAnsi="宋体" w:eastAsia="宋体" w:cs="Times New Roman"/>
                <w:color w:val="auto"/>
                <w:kern w:val="0"/>
              </w:rPr>
            </w:pPr>
          </w:p>
        </w:tc>
      </w:tr>
      <w:tr w14:paraId="699F609E">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60" w:type="pct"/>
            <w:noWrap/>
            <w:vAlign w:val="center"/>
          </w:tcPr>
          <w:p w14:paraId="2047914C">
            <w:pPr>
              <w:pStyle w:val="15"/>
              <w:widowControl w:val="0"/>
              <w:snapToGrid w:val="0"/>
              <w:spacing w:before="0" w:beforeLines="0" w:after="0" w:afterLines="0" w:line="240" w:lineRule="auto"/>
              <w:ind w:firstLine="0" w:firstLineChars="0"/>
              <w:contextualSpacing/>
              <w:jc w:val="center"/>
              <w:rPr>
                <w:rFonts w:hint="eastAsia" w:ascii="宋体" w:hAnsi="宋体"/>
                <w:color w:val="auto"/>
                <w:kern w:val="0"/>
                <w:sz w:val="21"/>
              </w:rPr>
            </w:pPr>
            <w:r>
              <w:rPr>
                <w:rFonts w:hint="eastAsia" w:ascii="宋体" w:hAnsi="宋体"/>
                <w:color w:val="auto"/>
                <w:kern w:val="0"/>
                <w:sz w:val="21"/>
              </w:rPr>
              <w:t>3</w:t>
            </w:r>
          </w:p>
        </w:tc>
        <w:tc>
          <w:tcPr>
            <w:tcW w:w="851" w:type="pct"/>
            <w:vAlign w:val="center"/>
          </w:tcPr>
          <w:p w14:paraId="749DCD73">
            <w:pPr>
              <w:pStyle w:val="15"/>
              <w:widowControl w:val="0"/>
              <w:snapToGrid w:val="0"/>
              <w:spacing w:before="0" w:beforeLines="0" w:after="0" w:afterLines="0" w:line="240" w:lineRule="auto"/>
              <w:ind w:firstLine="0" w:firstLineChars="0"/>
              <w:contextualSpacing/>
              <w:jc w:val="center"/>
              <w:rPr>
                <w:rFonts w:hint="eastAsia" w:ascii="宋体" w:hAnsi="宋体"/>
                <w:color w:val="auto"/>
                <w:kern w:val="0"/>
                <w:sz w:val="21"/>
              </w:rPr>
            </w:pPr>
            <w:r>
              <w:rPr>
                <w:rFonts w:hint="eastAsia" w:ascii="宋体" w:hAnsi="宋体"/>
                <w:color w:val="auto"/>
                <w:kern w:val="0"/>
                <w:sz w:val="21"/>
              </w:rPr>
              <w:t>无线集群网关</w:t>
            </w:r>
          </w:p>
        </w:tc>
        <w:tc>
          <w:tcPr>
            <w:tcW w:w="2265" w:type="pct"/>
            <w:vAlign w:val="center"/>
          </w:tcPr>
          <w:p w14:paraId="64DFA17F">
            <w:pPr>
              <w:pStyle w:val="15"/>
              <w:widowControl w:val="0"/>
              <w:snapToGrid w:val="0"/>
              <w:spacing w:before="0" w:beforeLines="0" w:after="0" w:afterLines="0" w:line="240" w:lineRule="auto"/>
              <w:ind w:firstLine="0" w:firstLineChars="0"/>
              <w:contextualSpacing/>
              <w:jc w:val="center"/>
              <w:rPr>
                <w:rFonts w:hint="eastAsia" w:ascii="宋体" w:hAnsi="宋体"/>
                <w:color w:val="auto"/>
                <w:kern w:val="0"/>
                <w:sz w:val="21"/>
              </w:rPr>
            </w:pPr>
            <w:r>
              <w:rPr>
                <w:rFonts w:hint="eastAsia" w:ascii="宋体" w:hAnsi="宋体"/>
                <w:color w:val="auto"/>
                <w:kern w:val="0"/>
                <w:sz w:val="21"/>
              </w:rPr>
              <w:t>无线集群网关。实现对多种对讲网络如常规对讲、模拟集群、数字集群的统一接入，实现跨地域、跨频段的融合互通。标准1U机架式，提供4个电台接口，1个10/100M以太口，支持WEB图形化配置管理。（需单独配置一套常规对讲/集群车载台）</w:t>
            </w:r>
          </w:p>
        </w:tc>
        <w:tc>
          <w:tcPr>
            <w:tcW w:w="367" w:type="pct"/>
            <w:vAlign w:val="center"/>
          </w:tcPr>
          <w:p w14:paraId="7243748D">
            <w:pPr>
              <w:pStyle w:val="15"/>
              <w:widowControl w:val="0"/>
              <w:snapToGrid w:val="0"/>
              <w:spacing w:before="0" w:beforeLines="0" w:after="0" w:afterLines="0" w:line="240" w:lineRule="auto"/>
              <w:ind w:firstLine="0" w:firstLineChars="0"/>
              <w:contextualSpacing/>
              <w:jc w:val="center"/>
              <w:rPr>
                <w:rFonts w:hint="eastAsia" w:ascii="宋体" w:hAnsi="宋体"/>
                <w:color w:val="auto"/>
                <w:kern w:val="0"/>
                <w:sz w:val="21"/>
              </w:rPr>
            </w:pPr>
            <w:r>
              <w:rPr>
                <w:rFonts w:hint="eastAsia" w:ascii="宋体" w:hAnsi="宋体"/>
                <w:color w:val="auto"/>
                <w:kern w:val="0"/>
                <w:sz w:val="21"/>
              </w:rPr>
              <w:t>台</w:t>
            </w:r>
          </w:p>
        </w:tc>
        <w:tc>
          <w:tcPr>
            <w:tcW w:w="441" w:type="pct"/>
            <w:vAlign w:val="center"/>
          </w:tcPr>
          <w:p w14:paraId="20DB4940">
            <w:pPr>
              <w:pStyle w:val="15"/>
              <w:widowControl w:val="0"/>
              <w:snapToGrid w:val="0"/>
              <w:spacing w:before="0" w:beforeLines="0" w:after="0" w:afterLines="0" w:line="240" w:lineRule="auto"/>
              <w:ind w:firstLine="0" w:firstLineChars="0"/>
              <w:contextualSpacing/>
              <w:jc w:val="center"/>
              <w:rPr>
                <w:rFonts w:hint="eastAsia" w:ascii="宋体" w:hAnsi="宋体"/>
                <w:color w:val="auto"/>
                <w:kern w:val="0"/>
                <w:sz w:val="21"/>
              </w:rPr>
            </w:pPr>
            <w:r>
              <w:rPr>
                <w:rFonts w:hint="eastAsia" w:ascii="宋体" w:hAnsi="宋体"/>
                <w:color w:val="auto"/>
                <w:kern w:val="0"/>
                <w:sz w:val="21"/>
              </w:rPr>
              <w:t>1</w:t>
            </w:r>
          </w:p>
        </w:tc>
        <w:tc>
          <w:tcPr>
            <w:tcW w:w="514" w:type="pct"/>
            <w:vAlign w:val="center"/>
          </w:tcPr>
          <w:p w14:paraId="1795D1D4">
            <w:pPr>
              <w:pStyle w:val="15"/>
              <w:widowControl w:val="0"/>
              <w:snapToGrid w:val="0"/>
              <w:spacing w:before="0" w:beforeLines="0" w:after="0" w:afterLines="0" w:line="240" w:lineRule="auto"/>
              <w:ind w:firstLine="0" w:firstLineChars="0"/>
              <w:contextualSpacing/>
              <w:jc w:val="center"/>
              <w:rPr>
                <w:rFonts w:hint="eastAsia" w:ascii="宋体" w:hAnsi="宋体"/>
                <w:color w:val="auto"/>
                <w:kern w:val="0"/>
                <w:sz w:val="21"/>
              </w:rPr>
            </w:pPr>
            <w:r>
              <w:rPr>
                <w:rFonts w:hint="eastAsia" w:ascii="宋体" w:hAnsi="宋体"/>
                <w:color w:val="auto"/>
                <w:kern w:val="0"/>
                <w:sz w:val="21"/>
              </w:rPr>
              <w:t>　</w:t>
            </w:r>
          </w:p>
        </w:tc>
      </w:tr>
      <w:tr w14:paraId="125A7ABE">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60" w:type="pct"/>
            <w:noWrap/>
            <w:vAlign w:val="center"/>
          </w:tcPr>
          <w:p w14:paraId="224A8CDB">
            <w:pPr>
              <w:pStyle w:val="15"/>
              <w:widowControl w:val="0"/>
              <w:snapToGrid w:val="0"/>
              <w:spacing w:before="0" w:beforeLines="0" w:after="0" w:afterLines="0" w:line="240" w:lineRule="auto"/>
              <w:ind w:firstLine="0" w:firstLineChars="0"/>
              <w:contextualSpacing/>
              <w:jc w:val="center"/>
              <w:rPr>
                <w:rFonts w:hint="eastAsia" w:ascii="宋体" w:hAnsi="宋体"/>
                <w:color w:val="auto"/>
                <w:kern w:val="0"/>
                <w:sz w:val="21"/>
              </w:rPr>
            </w:pPr>
            <w:r>
              <w:rPr>
                <w:rFonts w:hint="eastAsia" w:ascii="宋体" w:hAnsi="宋体"/>
                <w:color w:val="auto"/>
                <w:kern w:val="0"/>
                <w:sz w:val="21"/>
              </w:rPr>
              <w:t>4</w:t>
            </w:r>
          </w:p>
        </w:tc>
        <w:tc>
          <w:tcPr>
            <w:tcW w:w="851" w:type="pct"/>
            <w:vAlign w:val="center"/>
          </w:tcPr>
          <w:p w14:paraId="210A5FEA">
            <w:pPr>
              <w:pStyle w:val="15"/>
              <w:widowControl w:val="0"/>
              <w:snapToGrid w:val="0"/>
              <w:spacing w:before="0" w:beforeLines="0" w:after="0" w:afterLines="0" w:line="240" w:lineRule="auto"/>
              <w:ind w:firstLine="0" w:firstLineChars="0"/>
              <w:contextualSpacing/>
              <w:jc w:val="center"/>
              <w:rPr>
                <w:rFonts w:hint="eastAsia" w:ascii="宋体" w:hAnsi="宋体"/>
                <w:color w:val="auto"/>
                <w:kern w:val="0"/>
                <w:sz w:val="21"/>
              </w:rPr>
            </w:pPr>
            <w:r>
              <w:rPr>
                <w:rFonts w:hint="eastAsia" w:ascii="宋体" w:hAnsi="宋体"/>
                <w:color w:val="auto"/>
                <w:kern w:val="0"/>
                <w:sz w:val="21"/>
              </w:rPr>
              <w:t>音频广播网关</w:t>
            </w:r>
          </w:p>
        </w:tc>
        <w:tc>
          <w:tcPr>
            <w:tcW w:w="2265" w:type="pct"/>
            <w:vAlign w:val="center"/>
          </w:tcPr>
          <w:p w14:paraId="260E49E2">
            <w:pPr>
              <w:pStyle w:val="15"/>
              <w:widowControl w:val="0"/>
              <w:snapToGrid w:val="0"/>
              <w:spacing w:before="0" w:beforeLines="0" w:after="0" w:afterLines="0" w:line="240" w:lineRule="auto"/>
              <w:ind w:firstLine="0" w:firstLineChars="0"/>
              <w:contextualSpacing/>
              <w:jc w:val="center"/>
              <w:rPr>
                <w:rFonts w:hint="eastAsia" w:ascii="宋体" w:hAnsi="宋体"/>
                <w:color w:val="auto"/>
                <w:kern w:val="0"/>
                <w:sz w:val="21"/>
              </w:rPr>
            </w:pPr>
            <w:r>
              <w:rPr>
                <w:rFonts w:hint="eastAsia" w:ascii="宋体" w:hAnsi="宋体"/>
                <w:color w:val="auto"/>
                <w:kern w:val="0"/>
                <w:sz w:val="21"/>
              </w:rPr>
              <w:t>音频广播网关。实现对多种广播网络如会场音响、室外广播、远程IP广播的统一接入，实现会场音频集成和远程广播调度。标准1U机架式，提供4个TS音频接口（2路音频输入、2路输出转接口），2个千兆以太网口，2个FXO口，支持WEB图形化配置管理。</w:t>
            </w:r>
          </w:p>
        </w:tc>
        <w:tc>
          <w:tcPr>
            <w:tcW w:w="367" w:type="pct"/>
            <w:vAlign w:val="center"/>
          </w:tcPr>
          <w:p w14:paraId="0D352D95">
            <w:pPr>
              <w:pStyle w:val="15"/>
              <w:widowControl w:val="0"/>
              <w:snapToGrid w:val="0"/>
              <w:spacing w:before="0" w:beforeLines="0" w:after="0" w:afterLines="0" w:line="240" w:lineRule="auto"/>
              <w:ind w:firstLine="0" w:firstLineChars="0"/>
              <w:contextualSpacing/>
              <w:jc w:val="center"/>
              <w:rPr>
                <w:rFonts w:hint="eastAsia" w:ascii="宋体" w:hAnsi="宋体"/>
                <w:color w:val="auto"/>
                <w:kern w:val="0"/>
                <w:sz w:val="21"/>
              </w:rPr>
            </w:pPr>
            <w:r>
              <w:rPr>
                <w:rFonts w:hint="eastAsia" w:ascii="宋体" w:hAnsi="宋体"/>
                <w:color w:val="auto"/>
                <w:kern w:val="0"/>
                <w:sz w:val="21"/>
              </w:rPr>
              <w:t>台</w:t>
            </w:r>
          </w:p>
        </w:tc>
        <w:tc>
          <w:tcPr>
            <w:tcW w:w="441" w:type="pct"/>
            <w:vAlign w:val="center"/>
          </w:tcPr>
          <w:p w14:paraId="4C2275BC">
            <w:pPr>
              <w:pStyle w:val="15"/>
              <w:widowControl w:val="0"/>
              <w:snapToGrid w:val="0"/>
              <w:spacing w:before="0" w:beforeLines="0" w:after="0" w:afterLines="0" w:line="240" w:lineRule="auto"/>
              <w:ind w:firstLine="0" w:firstLineChars="0"/>
              <w:contextualSpacing/>
              <w:jc w:val="center"/>
              <w:rPr>
                <w:rFonts w:hint="eastAsia" w:ascii="宋体" w:hAnsi="宋体"/>
                <w:color w:val="auto"/>
                <w:kern w:val="0"/>
                <w:sz w:val="21"/>
              </w:rPr>
            </w:pPr>
            <w:r>
              <w:rPr>
                <w:rFonts w:hint="eastAsia" w:ascii="宋体" w:hAnsi="宋体"/>
                <w:color w:val="auto"/>
                <w:kern w:val="0"/>
                <w:sz w:val="21"/>
              </w:rPr>
              <w:t>1</w:t>
            </w:r>
          </w:p>
        </w:tc>
        <w:tc>
          <w:tcPr>
            <w:tcW w:w="514" w:type="pct"/>
            <w:vAlign w:val="center"/>
          </w:tcPr>
          <w:p w14:paraId="610B8782">
            <w:pPr>
              <w:pStyle w:val="15"/>
              <w:widowControl w:val="0"/>
              <w:snapToGrid w:val="0"/>
              <w:spacing w:before="0" w:beforeLines="0" w:after="0" w:afterLines="0" w:line="240" w:lineRule="auto"/>
              <w:ind w:firstLine="0" w:firstLineChars="0"/>
              <w:contextualSpacing/>
              <w:jc w:val="center"/>
              <w:rPr>
                <w:rFonts w:hint="eastAsia" w:ascii="宋体" w:hAnsi="宋体"/>
                <w:color w:val="auto"/>
                <w:kern w:val="0"/>
                <w:sz w:val="21"/>
              </w:rPr>
            </w:pPr>
            <w:r>
              <w:rPr>
                <w:rFonts w:hint="eastAsia" w:ascii="宋体" w:hAnsi="宋体"/>
                <w:color w:val="auto"/>
                <w:kern w:val="0"/>
                <w:sz w:val="21"/>
              </w:rPr>
              <w:t>　</w:t>
            </w:r>
          </w:p>
        </w:tc>
      </w:tr>
      <w:tr w14:paraId="624BC66C">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60" w:type="pct"/>
            <w:noWrap/>
            <w:vAlign w:val="center"/>
          </w:tcPr>
          <w:p w14:paraId="34238FCF">
            <w:pPr>
              <w:pStyle w:val="15"/>
              <w:widowControl w:val="0"/>
              <w:snapToGrid w:val="0"/>
              <w:spacing w:before="0" w:beforeLines="0" w:after="0" w:afterLines="0" w:line="240" w:lineRule="auto"/>
              <w:ind w:firstLine="0" w:firstLineChars="0"/>
              <w:contextualSpacing/>
              <w:jc w:val="center"/>
              <w:rPr>
                <w:rFonts w:hint="eastAsia" w:ascii="宋体" w:hAnsi="宋体"/>
                <w:color w:val="auto"/>
                <w:kern w:val="0"/>
                <w:sz w:val="21"/>
              </w:rPr>
            </w:pPr>
            <w:r>
              <w:rPr>
                <w:rFonts w:hint="eastAsia" w:ascii="宋体" w:hAnsi="宋体"/>
                <w:color w:val="auto"/>
                <w:kern w:val="0"/>
                <w:sz w:val="21"/>
              </w:rPr>
              <w:t>5</w:t>
            </w:r>
          </w:p>
        </w:tc>
        <w:tc>
          <w:tcPr>
            <w:tcW w:w="851" w:type="pct"/>
            <w:vAlign w:val="center"/>
          </w:tcPr>
          <w:p w14:paraId="5350C84C">
            <w:pPr>
              <w:pStyle w:val="15"/>
              <w:widowControl w:val="0"/>
              <w:snapToGrid w:val="0"/>
              <w:spacing w:before="0" w:beforeLines="0" w:after="0" w:afterLines="0" w:line="240" w:lineRule="auto"/>
              <w:ind w:firstLine="0" w:firstLineChars="0"/>
              <w:contextualSpacing/>
              <w:jc w:val="center"/>
              <w:rPr>
                <w:rFonts w:hint="eastAsia" w:ascii="宋体" w:hAnsi="宋体"/>
                <w:color w:val="auto"/>
                <w:kern w:val="0"/>
                <w:sz w:val="21"/>
              </w:rPr>
            </w:pPr>
            <w:r>
              <w:rPr>
                <w:rFonts w:hint="eastAsia" w:ascii="宋体" w:hAnsi="宋体"/>
                <w:color w:val="auto"/>
                <w:kern w:val="0"/>
                <w:sz w:val="21"/>
              </w:rPr>
              <w:t>视频接入网关</w:t>
            </w:r>
          </w:p>
        </w:tc>
        <w:tc>
          <w:tcPr>
            <w:tcW w:w="2265" w:type="pct"/>
            <w:vAlign w:val="center"/>
          </w:tcPr>
          <w:p w14:paraId="5D20EC1E">
            <w:pPr>
              <w:pStyle w:val="15"/>
              <w:widowControl w:val="0"/>
              <w:snapToGrid w:val="0"/>
              <w:spacing w:before="0" w:beforeLines="0" w:after="0" w:afterLines="0" w:line="240" w:lineRule="auto"/>
              <w:ind w:firstLine="0" w:firstLineChars="0"/>
              <w:contextualSpacing/>
              <w:jc w:val="center"/>
              <w:rPr>
                <w:rFonts w:hint="eastAsia" w:ascii="宋体" w:hAnsi="宋体"/>
                <w:color w:val="auto"/>
                <w:kern w:val="0"/>
                <w:sz w:val="21"/>
              </w:rPr>
            </w:pPr>
            <w:r>
              <w:rPr>
                <w:rFonts w:hint="eastAsia" w:ascii="宋体" w:hAnsi="宋体"/>
                <w:color w:val="auto"/>
                <w:kern w:val="0"/>
                <w:sz w:val="21"/>
              </w:rPr>
              <w:t>视频接入网关。与现有视频监控平台的互联互通，实现视频资源双向共享，同时支持GB/T28181-2011和GB/T28181-2016标准。支持实时媒体点播，设备控制，设备信息查询，设备状态信息报送，订阅和通知。支持对接入视频的实时媒体点播和历史视频检索和回放功能。实现对接入系统的视频资源设备的状态查询。支持GB/T28181-2016标准的语音对讲、云台控制、视频回放功能。支持H.264、SVAC视频编解码。标配5个28181监控平台接入许可。标准2U机架式设备，2个100M/1000M以太网口，2个USB口。具备不小于16路D1、720P、1080P的视频并发能力。标配支持10000路视频监控接入。</w:t>
            </w:r>
          </w:p>
        </w:tc>
        <w:tc>
          <w:tcPr>
            <w:tcW w:w="367" w:type="pct"/>
            <w:vAlign w:val="center"/>
          </w:tcPr>
          <w:p w14:paraId="530F12F0">
            <w:pPr>
              <w:pStyle w:val="15"/>
              <w:widowControl w:val="0"/>
              <w:snapToGrid w:val="0"/>
              <w:spacing w:before="0" w:beforeLines="0" w:after="0" w:afterLines="0" w:line="240" w:lineRule="auto"/>
              <w:ind w:firstLine="0" w:firstLineChars="0"/>
              <w:contextualSpacing/>
              <w:jc w:val="center"/>
              <w:rPr>
                <w:rFonts w:hint="eastAsia" w:ascii="宋体" w:hAnsi="宋体"/>
                <w:color w:val="auto"/>
                <w:kern w:val="0"/>
                <w:sz w:val="21"/>
              </w:rPr>
            </w:pPr>
            <w:r>
              <w:rPr>
                <w:rFonts w:hint="eastAsia" w:ascii="宋体" w:hAnsi="宋体"/>
                <w:color w:val="auto"/>
                <w:kern w:val="0"/>
                <w:sz w:val="21"/>
              </w:rPr>
              <w:t>台</w:t>
            </w:r>
          </w:p>
        </w:tc>
        <w:tc>
          <w:tcPr>
            <w:tcW w:w="441" w:type="pct"/>
            <w:vAlign w:val="center"/>
          </w:tcPr>
          <w:p w14:paraId="04566B71">
            <w:pPr>
              <w:pStyle w:val="15"/>
              <w:widowControl w:val="0"/>
              <w:snapToGrid w:val="0"/>
              <w:spacing w:before="0" w:beforeLines="0" w:after="0" w:afterLines="0" w:line="240" w:lineRule="auto"/>
              <w:ind w:firstLine="0" w:firstLineChars="0"/>
              <w:contextualSpacing/>
              <w:jc w:val="center"/>
              <w:rPr>
                <w:rFonts w:hint="eastAsia" w:ascii="宋体" w:hAnsi="宋体"/>
                <w:color w:val="auto"/>
                <w:kern w:val="0"/>
                <w:sz w:val="21"/>
              </w:rPr>
            </w:pPr>
            <w:r>
              <w:rPr>
                <w:rFonts w:hint="eastAsia" w:ascii="宋体" w:hAnsi="宋体"/>
                <w:color w:val="auto"/>
                <w:kern w:val="0"/>
                <w:sz w:val="21"/>
              </w:rPr>
              <w:t>1</w:t>
            </w:r>
          </w:p>
        </w:tc>
        <w:tc>
          <w:tcPr>
            <w:tcW w:w="514" w:type="pct"/>
            <w:vAlign w:val="center"/>
          </w:tcPr>
          <w:p w14:paraId="026470E6">
            <w:pPr>
              <w:pStyle w:val="15"/>
              <w:widowControl w:val="0"/>
              <w:snapToGrid w:val="0"/>
              <w:spacing w:before="0" w:beforeLines="0" w:after="0" w:afterLines="0" w:line="240" w:lineRule="auto"/>
              <w:ind w:firstLine="0" w:firstLineChars="0"/>
              <w:contextualSpacing/>
              <w:jc w:val="center"/>
              <w:rPr>
                <w:rFonts w:hint="eastAsia" w:ascii="宋体" w:hAnsi="宋体"/>
                <w:color w:val="auto"/>
                <w:kern w:val="0"/>
                <w:sz w:val="21"/>
              </w:rPr>
            </w:pPr>
            <w:r>
              <w:rPr>
                <w:rFonts w:hint="eastAsia" w:ascii="宋体" w:hAnsi="宋体"/>
                <w:color w:val="auto"/>
                <w:kern w:val="0"/>
                <w:sz w:val="21"/>
              </w:rPr>
              <w:t>　</w:t>
            </w:r>
          </w:p>
        </w:tc>
      </w:tr>
      <w:tr w14:paraId="4F8C177C">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60" w:type="pct"/>
            <w:noWrap/>
            <w:vAlign w:val="center"/>
          </w:tcPr>
          <w:p w14:paraId="10081726">
            <w:pPr>
              <w:pStyle w:val="15"/>
              <w:widowControl w:val="0"/>
              <w:snapToGrid w:val="0"/>
              <w:spacing w:before="0" w:beforeLines="0" w:after="0" w:afterLines="0" w:line="240" w:lineRule="auto"/>
              <w:ind w:firstLine="0" w:firstLineChars="0"/>
              <w:contextualSpacing/>
              <w:jc w:val="center"/>
              <w:rPr>
                <w:rFonts w:hint="eastAsia" w:ascii="宋体" w:hAnsi="宋体"/>
                <w:color w:val="auto"/>
                <w:kern w:val="0"/>
                <w:sz w:val="21"/>
              </w:rPr>
            </w:pPr>
            <w:r>
              <w:rPr>
                <w:rFonts w:hint="eastAsia" w:ascii="宋体" w:hAnsi="宋体"/>
                <w:color w:val="auto"/>
                <w:kern w:val="0"/>
                <w:sz w:val="21"/>
              </w:rPr>
              <w:t>6</w:t>
            </w:r>
          </w:p>
        </w:tc>
        <w:tc>
          <w:tcPr>
            <w:tcW w:w="851" w:type="pct"/>
            <w:vAlign w:val="center"/>
          </w:tcPr>
          <w:p w14:paraId="216CC53A">
            <w:pPr>
              <w:pStyle w:val="15"/>
              <w:widowControl w:val="0"/>
              <w:snapToGrid w:val="0"/>
              <w:spacing w:before="0" w:beforeLines="0" w:after="0" w:afterLines="0" w:line="240" w:lineRule="auto"/>
              <w:ind w:firstLine="0" w:firstLineChars="0"/>
              <w:contextualSpacing/>
              <w:jc w:val="center"/>
              <w:rPr>
                <w:rFonts w:hint="eastAsia" w:ascii="宋体" w:hAnsi="宋体"/>
                <w:color w:val="auto"/>
                <w:kern w:val="0"/>
                <w:sz w:val="21"/>
              </w:rPr>
            </w:pPr>
            <w:r>
              <w:rPr>
                <w:rFonts w:hint="eastAsia" w:ascii="宋体" w:hAnsi="宋体"/>
                <w:color w:val="auto"/>
                <w:kern w:val="0"/>
                <w:sz w:val="21"/>
              </w:rPr>
              <w:t>电子传真网关</w:t>
            </w:r>
          </w:p>
        </w:tc>
        <w:tc>
          <w:tcPr>
            <w:tcW w:w="2265" w:type="pct"/>
            <w:vAlign w:val="center"/>
          </w:tcPr>
          <w:p w14:paraId="64D7134A">
            <w:pPr>
              <w:pStyle w:val="15"/>
              <w:widowControl w:val="0"/>
              <w:snapToGrid w:val="0"/>
              <w:spacing w:before="0" w:beforeLines="0" w:after="0" w:afterLines="0" w:line="240" w:lineRule="auto"/>
              <w:ind w:firstLine="0" w:firstLineChars="0"/>
              <w:contextualSpacing/>
              <w:jc w:val="center"/>
              <w:rPr>
                <w:rFonts w:hint="eastAsia" w:ascii="宋体" w:hAnsi="宋体"/>
                <w:color w:val="auto"/>
                <w:kern w:val="0"/>
                <w:sz w:val="21"/>
              </w:rPr>
            </w:pPr>
            <w:r>
              <w:rPr>
                <w:rFonts w:hint="eastAsia" w:ascii="宋体" w:hAnsi="宋体"/>
                <w:color w:val="auto"/>
                <w:kern w:val="0"/>
                <w:sz w:val="21"/>
              </w:rPr>
              <w:t>电子传真网关</w:t>
            </w:r>
            <w:r>
              <w:rPr>
                <w:rFonts w:hint="eastAsia" w:ascii="宋体" w:hAnsi="宋体"/>
                <w:color w:val="auto"/>
                <w:kern w:val="0"/>
                <w:sz w:val="21"/>
                <w:lang w:eastAsia="zh-CN"/>
              </w:rPr>
              <w:t>。</w:t>
            </w:r>
            <w:r>
              <w:rPr>
                <w:rFonts w:hint="eastAsia" w:ascii="宋体" w:hAnsi="宋体"/>
                <w:color w:val="auto"/>
                <w:kern w:val="0"/>
                <w:sz w:val="21"/>
              </w:rPr>
              <w:t>实现传真调度，支持电子传真的发送接收，专业工控机架构成熟稳定，提供RJ11接口接入PSTN、支持4路传真接入，支持100DPI和200DPI两种清晰度模式，内置1T硬盘。</w:t>
            </w:r>
          </w:p>
        </w:tc>
        <w:tc>
          <w:tcPr>
            <w:tcW w:w="367" w:type="pct"/>
            <w:vAlign w:val="center"/>
          </w:tcPr>
          <w:p w14:paraId="2A0BFA31">
            <w:pPr>
              <w:pStyle w:val="15"/>
              <w:widowControl w:val="0"/>
              <w:snapToGrid w:val="0"/>
              <w:spacing w:before="0" w:beforeLines="0" w:after="0" w:afterLines="0" w:line="240" w:lineRule="auto"/>
              <w:ind w:firstLine="0" w:firstLineChars="0"/>
              <w:contextualSpacing/>
              <w:jc w:val="center"/>
              <w:rPr>
                <w:rFonts w:hint="eastAsia" w:ascii="宋体" w:hAnsi="宋体"/>
                <w:color w:val="auto"/>
                <w:kern w:val="0"/>
                <w:sz w:val="21"/>
              </w:rPr>
            </w:pPr>
            <w:r>
              <w:rPr>
                <w:rFonts w:hint="eastAsia" w:ascii="宋体" w:hAnsi="宋体"/>
                <w:color w:val="auto"/>
                <w:kern w:val="0"/>
                <w:sz w:val="21"/>
              </w:rPr>
              <w:t>台</w:t>
            </w:r>
          </w:p>
        </w:tc>
        <w:tc>
          <w:tcPr>
            <w:tcW w:w="441" w:type="pct"/>
            <w:vAlign w:val="center"/>
          </w:tcPr>
          <w:p w14:paraId="2889EA64">
            <w:pPr>
              <w:pStyle w:val="15"/>
              <w:widowControl w:val="0"/>
              <w:snapToGrid w:val="0"/>
              <w:spacing w:before="0" w:beforeLines="0" w:after="0" w:afterLines="0" w:line="240" w:lineRule="auto"/>
              <w:ind w:firstLine="0" w:firstLineChars="0"/>
              <w:contextualSpacing/>
              <w:jc w:val="center"/>
              <w:rPr>
                <w:rFonts w:hint="eastAsia" w:ascii="宋体" w:hAnsi="宋体"/>
                <w:color w:val="auto"/>
                <w:kern w:val="0"/>
                <w:sz w:val="21"/>
              </w:rPr>
            </w:pPr>
            <w:r>
              <w:rPr>
                <w:rFonts w:hint="eastAsia" w:ascii="宋体" w:hAnsi="宋体"/>
                <w:color w:val="auto"/>
                <w:kern w:val="0"/>
                <w:sz w:val="21"/>
              </w:rPr>
              <w:t>1</w:t>
            </w:r>
          </w:p>
        </w:tc>
        <w:tc>
          <w:tcPr>
            <w:tcW w:w="514" w:type="pct"/>
            <w:vAlign w:val="center"/>
          </w:tcPr>
          <w:p w14:paraId="4DF1C7D5">
            <w:pPr>
              <w:pStyle w:val="15"/>
              <w:widowControl w:val="0"/>
              <w:snapToGrid w:val="0"/>
              <w:spacing w:before="0" w:beforeLines="0" w:after="0" w:afterLines="0" w:line="240" w:lineRule="auto"/>
              <w:ind w:firstLine="0" w:firstLineChars="0"/>
              <w:contextualSpacing/>
              <w:jc w:val="center"/>
              <w:rPr>
                <w:rFonts w:hint="eastAsia" w:ascii="宋体" w:hAnsi="宋体"/>
                <w:color w:val="auto"/>
                <w:kern w:val="0"/>
                <w:sz w:val="21"/>
              </w:rPr>
            </w:pPr>
            <w:r>
              <w:rPr>
                <w:rFonts w:hint="eastAsia" w:ascii="宋体" w:hAnsi="宋体"/>
                <w:color w:val="auto"/>
                <w:kern w:val="0"/>
                <w:sz w:val="21"/>
              </w:rPr>
              <w:t>　</w:t>
            </w:r>
          </w:p>
        </w:tc>
      </w:tr>
    </w:tbl>
    <w:p w14:paraId="4C6DD978">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配套网关介绍</w:t>
      </w:r>
    </w:p>
    <w:p w14:paraId="2D3CC03D">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媒体网关</w:t>
      </w:r>
    </w:p>
    <w:p w14:paraId="0EA7B05E">
      <w:pPr>
        <w:pStyle w:val="15"/>
      </w:pPr>
      <w:r>
        <w:rPr>
          <w:rFonts w:hint="eastAsia"/>
        </w:rPr>
        <w:t>媒体网关是用于对接公网电话或传统办公电话系统的对接设备，通过IP接口、T1/E1接口实现SIP与30B+D的相互转换，该设备是基于IP技术的新一代语音业务网连接传统中继线设备，如公共电话交换网（PSTN）的端局或汇接局，或者企业的用户程控交换机（PBX）。</w:t>
      </w:r>
    </w:p>
    <w:p w14:paraId="5225AF35">
      <w:pPr>
        <w:pStyle w:val="15"/>
      </w:pPr>
      <w:r>
        <w:rPr>
          <w:rFonts w:hint="eastAsia"/>
        </w:rPr>
        <w:t>通过该网关的对接，可以打通“音视频通信调度服务平台”与PSTN公网电话或传统办公电话之间的通信，实现平台各终端与传统电话的互通。</w:t>
      </w:r>
    </w:p>
    <w:p w14:paraId="0ABF72C7">
      <w:pPr>
        <w:pStyle w:val="15"/>
      </w:pPr>
      <w:r>
        <w:rPr>
          <w:rFonts w:hint="eastAsia"/>
        </w:rPr>
        <w:t>该设备可提供1~4路E1数字中继接口，支持30~120路并发通信。</w:t>
      </w:r>
    </w:p>
    <w:p w14:paraId="6DA2ECB2">
      <w:pPr>
        <w:pStyle w:val="9"/>
        <w:keepNext w:val="0"/>
        <w:keepLines w:val="0"/>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移动通信网关</w:t>
      </w:r>
    </w:p>
    <w:p w14:paraId="1E5F4F8B">
      <w:pPr>
        <w:pStyle w:val="15"/>
        <w:keepNext w:val="0"/>
        <w:keepLines w:val="0"/>
        <w:pageBreakBefore w:val="0"/>
        <w:widowControl w:val="0"/>
        <w:kinsoku/>
        <w:wordWrap/>
        <w:overflowPunct/>
        <w:topLinePunct w:val="0"/>
        <w:autoSpaceDE/>
        <w:autoSpaceDN/>
        <w:bidi w:val="0"/>
        <w:textAlignment w:val="auto"/>
      </w:pPr>
      <w:r>
        <w:rPr>
          <w:rFonts w:hint="eastAsia"/>
        </w:rPr>
        <w:t>移动通信网关位于GSM与IP网的接口处，实现SIP与VoIPSIP协议的转换，同时完成公用电话交换网的承载通道与IP网之间的媒体流转换。</w:t>
      </w:r>
    </w:p>
    <w:p w14:paraId="497B4A1B">
      <w:pPr>
        <w:pStyle w:val="15"/>
      </w:pPr>
      <w:r>
        <w:rPr>
          <w:rFonts w:hint="eastAsia"/>
        </w:rPr>
        <w:t>移动通信网关采用先进的软硬件技术、电信级的设计，保证了设备的高可靠性。系统使用成熟高性能的CPU和DSP，并使用嵌入式实时操作系统和高效的算法，具有优异的性能。设备采用模块化插板式设计，可以根据需求灵活地提供不同的容量平滑扩容。</w:t>
      </w:r>
    </w:p>
    <w:p w14:paraId="19D6DA02">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无线集群网关</w:t>
      </w:r>
    </w:p>
    <w:p w14:paraId="62763D4A">
      <w:pPr>
        <w:pStyle w:val="15"/>
      </w:pPr>
      <w:r>
        <w:rPr>
          <w:rFonts w:hint="eastAsia"/>
        </w:rPr>
        <w:t>无线集群对讲网关可以对接各种类型的集群系统，将集群对讲机的音频转换成基于标准SIP协议的VOIP语音。从而可以为各种集群系统与基于SIP的语音通信系统的互联互通提供便利。</w:t>
      </w:r>
    </w:p>
    <w:p w14:paraId="6D1A336B">
      <w:pPr>
        <w:pStyle w:val="15"/>
      </w:pPr>
      <w:r>
        <w:rPr>
          <w:rFonts w:hint="eastAsia"/>
        </w:rPr>
        <w:t>无线集群对讲网关支持模拟集群、数字集群(DMR)、PDT、TETRA、公网对讲（POC)、航空电台、船用电台、短波电台</w:t>
      </w:r>
      <w:r>
        <w:rPr>
          <w:rFonts w:hint="eastAsia"/>
          <w:lang w:eastAsia="zh-CN"/>
        </w:rPr>
        <w:t>等</w:t>
      </w:r>
      <w:r>
        <w:rPr>
          <w:rFonts w:hint="eastAsia"/>
        </w:rPr>
        <w:t>多种对讲机车台、手台的对接。并将音频转换</w:t>
      </w:r>
      <w:r>
        <w:rPr>
          <w:rFonts w:hint="eastAsia"/>
          <w:lang w:eastAsia="zh-CN"/>
        </w:rPr>
        <w:t>成</w:t>
      </w:r>
      <w:r>
        <w:rPr>
          <w:rFonts w:hint="eastAsia"/>
        </w:rPr>
        <w:t>标准的SIP协议。</w:t>
      </w:r>
    </w:p>
    <w:p w14:paraId="21339386">
      <w:pPr>
        <w:pStyle w:val="15"/>
      </w:pPr>
      <w:r>
        <w:rPr>
          <w:rFonts w:hint="eastAsia"/>
        </w:rPr>
        <w:t>无线集群对讲网关提供1-4路的集群终端对接接口，采用专业航空插头，配置专业定制集群终端连接线缆，兼容各品牌对讲机手台、车台。</w:t>
      </w:r>
    </w:p>
    <w:p w14:paraId="52AF34B3">
      <w:pPr>
        <w:pStyle w:val="15"/>
      </w:pPr>
      <w:r>
        <w:rPr>
          <w:rFonts w:hint="eastAsia"/>
        </w:rPr>
        <w:t>无线集群对讲网关帮助实现应急处置的快速反应，多种通讯手段的融合互。</w:t>
      </w:r>
    </w:p>
    <w:p w14:paraId="268599A3">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音频广播网关</w:t>
      </w:r>
    </w:p>
    <w:p w14:paraId="6E63B730">
      <w:pPr>
        <w:pStyle w:val="15"/>
      </w:pPr>
      <w:r>
        <w:rPr>
          <w:rFonts w:hint="eastAsia"/>
        </w:rPr>
        <w:t>音频广播对接网关是一款用于连接音频输入设备（如：拾音器、麦克风、调音台输出接口）和音频输出设备（如：调音台输入接口、功放器、音箱）并实现与IP网络进行语音转换的通信设备。其具备目前流行的各种音频输入、输出接口，可以将各种接口制式的音响/广播系统接入到融合通信平台当中，从而实现多媒体远程广播、远程音频采集还有</w:t>
      </w:r>
      <w:r>
        <w:rPr>
          <w:rFonts w:hint="eastAsia"/>
          <w:lang w:eastAsia="zh-CN"/>
        </w:rPr>
        <w:t>其他</w:t>
      </w:r>
      <w:r>
        <w:rPr>
          <w:rFonts w:hint="eastAsia"/>
        </w:rPr>
        <w:t>多媒体融合通信指挥调度功能的业务需求。</w:t>
      </w:r>
    </w:p>
    <w:p w14:paraId="02779664">
      <w:pPr>
        <w:pStyle w:val="15"/>
      </w:pPr>
      <w:r>
        <w:rPr>
          <w:rFonts w:hint="eastAsia"/>
        </w:rPr>
        <w:t>音频对接网关使用TCP/IP协议的网络为主要传输媒介，支持SIP协议，可以利用各种类型的网络进行承载（例如：Internet、卫星、4/5G、UMTS、CDMA、WiFi、其它有线或无线IP网络），突破传统音响广播系统独立工作的弊端，实现有线广播网络/数字会议音响/发言单元等与其他通信应用网络（例如：NGN、PSTN、多媒体融合通信调度系统、无线集群网络等）的</w:t>
      </w:r>
      <w:r>
        <w:rPr>
          <w:rFonts w:hint="eastAsia"/>
          <w:lang w:eastAsia="zh-CN"/>
        </w:rPr>
        <w:t>无缝</w:t>
      </w:r>
      <w:r>
        <w:rPr>
          <w:rFonts w:hint="eastAsia"/>
        </w:rPr>
        <w:t>接入，满足各种专用或公用业务系统（平台）对广播/音响发言单元等音频业务的集成应用需求，进而达到各种类型应用网络的统一融合通讯。</w:t>
      </w:r>
    </w:p>
    <w:p w14:paraId="40D127CF">
      <w:pPr>
        <w:pStyle w:val="15"/>
      </w:pPr>
      <w:r>
        <w:rPr>
          <w:rFonts w:hint="eastAsia"/>
        </w:rPr>
        <w:t>该音频对接网关一款功能强大的语音接入设备，方便话筒、电话与会议音响调音台系统对接，实现电话、话筒的收、扩音通过电话线路传输，满足电视电话会议应用的需求，保障清晰的语音质量，强大的电话接入控制能力。设备能提供多路的音频输入输出接口，用户可通过外接不同设备，达成不同的音频播放控制效果，可广泛应用于各行各业特种指挥调度系统的指挥大厅接入。</w:t>
      </w:r>
    </w:p>
    <w:p w14:paraId="32F113DB">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视频接入网关</w:t>
      </w:r>
    </w:p>
    <w:p w14:paraId="6593995D">
      <w:pPr>
        <w:pStyle w:val="15"/>
      </w:pPr>
      <w:r>
        <w:t>支持GB/T28181-2011协议和GB/T28181-2016协议，可对接其他国标平台以及支持国标协议的监控设备，实现平台和终端的融合接入</w:t>
      </w:r>
      <w:r>
        <w:rPr>
          <w:rFonts w:hint="eastAsia"/>
        </w:rPr>
        <w:t>。</w:t>
      </w:r>
      <w:r>
        <w:t>提供WEB管理页面，监控设备运行的各种情况</w:t>
      </w:r>
      <w:r>
        <w:rPr>
          <w:rFonts w:hint="eastAsia"/>
        </w:rPr>
        <w:t>。</w:t>
      </w:r>
      <w:r>
        <w:t>同时可一键实现设备树的获取，并批量进行号码分配管理，提高操作便捷性</w:t>
      </w:r>
      <w:r>
        <w:rPr>
          <w:rFonts w:hint="eastAsia"/>
        </w:rPr>
        <w:t>。</w:t>
      </w:r>
      <w:r>
        <w:t>解决了不同平台和终端的融合问题，使用户可以减少调度界面，并可同时接入多个平台，实现多路视频调阅并发，能够在视频调度、联合指挥、视频会商等不同应用场景中发挥重要的作用，是一款性能优秀、操作便捷的视频监控融合网关。</w:t>
      </w:r>
    </w:p>
    <w:p w14:paraId="6A6F78B2">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电子传真网关</w:t>
      </w:r>
    </w:p>
    <w:p w14:paraId="517644CA">
      <w:pPr>
        <w:pStyle w:val="15"/>
      </w:pPr>
      <w:r>
        <w:rPr>
          <w:rFonts w:hint="eastAsia"/>
        </w:rPr>
        <w:t>电子传真网关包含硬件设备及配套传真软件。主要实现以下功能：收发、储存、管理传真，包括所有客户端已收和已发传真在服务器端全部保存。局域网内多个用户共享收发传真，客户端数量没有限制，漫游人数不限制。内部用户互相转发传真和文件。自动群发传真。</w:t>
      </w:r>
    </w:p>
    <w:p w14:paraId="4139EA73">
      <w:pPr>
        <w:pStyle w:val="15"/>
      </w:pPr>
      <w:r>
        <w:rPr>
          <w:rFonts w:hint="eastAsia"/>
        </w:rPr>
        <w:t>支持客户端软件收发、WEB浏览器收发、电子邮件收发三种传真收发方式。支持传真签审流程和授权电子签章。传真状态实时监控。自动线路状态测试。指定线路发送，按线路分发传真功能。普通传真机传真转发功能。</w:t>
      </w:r>
    </w:p>
    <w:p w14:paraId="65E41B49">
      <w:pPr>
        <w:pStyle w:val="6"/>
        <w:keepNext/>
        <w:keepLines/>
        <w:pageBreakBefore w:val="0"/>
        <w:widowControl w:val="0"/>
        <w:kinsoku/>
        <w:wordWrap/>
        <w:overflowPunct/>
        <w:topLinePunct w:val="0"/>
        <w:autoSpaceDE/>
        <w:autoSpaceDN/>
        <w:bidi w:val="0"/>
        <w:adjustRightInd/>
        <w:snapToGrid w:val="0"/>
        <w:spacing w:before="240" w:after="240"/>
        <w:textAlignment w:val="auto"/>
        <w:outlineLvl w:val="1"/>
      </w:pPr>
      <w:r>
        <w:rPr>
          <w:rFonts w:hint="eastAsia"/>
        </w:rPr>
        <w:t>GIS地理信息服务</w:t>
      </w:r>
    </w:p>
    <w:p w14:paraId="7AF7B3BB">
      <w:pPr>
        <w:pStyle w:val="7"/>
        <w:keepNext/>
        <w:keepLines/>
        <w:pageBreakBefore w:val="0"/>
        <w:widowControl w:val="0"/>
        <w:kinsoku/>
        <w:wordWrap/>
        <w:overflowPunct/>
        <w:topLinePunct w:val="0"/>
        <w:autoSpaceDE/>
        <w:autoSpaceDN/>
        <w:bidi w:val="0"/>
        <w:adjustRightInd w:val="0"/>
        <w:snapToGrid w:val="0"/>
        <w:spacing w:before="240" w:after="240"/>
        <w:textAlignment w:val="auto"/>
        <w:outlineLvl w:val="2"/>
        <w:rPr>
          <w:rFonts w:hint="eastAsia"/>
        </w:rPr>
      </w:pPr>
      <w:r>
        <w:rPr>
          <w:rFonts w:hint="eastAsia"/>
        </w:rPr>
        <w:t>GIS基础平台</w:t>
      </w:r>
    </w:p>
    <w:p w14:paraId="0BB70293">
      <w:pPr>
        <w:pStyle w:val="15"/>
      </w:pPr>
      <w:r>
        <w:rPr>
          <w:rFonts w:hint="eastAsia"/>
        </w:rPr>
        <w:t>提供地图服务、地图切片服务、坐标转化服务、实时路况服务、路径规划服务、轨迹服务等基础服务。</w:t>
      </w:r>
    </w:p>
    <w:p w14:paraId="06EA7BC6">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地图服务</w:t>
      </w:r>
    </w:p>
    <w:p w14:paraId="6C9B2182">
      <w:pPr>
        <w:pStyle w:val="15"/>
      </w:pPr>
      <w:r>
        <w:rPr>
          <w:rFonts w:hint="eastAsia"/>
        </w:rPr>
        <w:t>Web地图服务是根据用户的请求，返回以地理数据来渲染的地图图片数据。</w:t>
      </w:r>
    </w:p>
    <w:p w14:paraId="16617C7A">
      <w:pPr>
        <w:pStyle w:val="15"/>
      </w:pPr>
      <w:r>
        <w:rPr>
          <w:rFonts w:hint="eastAsia"/>
        </w:rPr>
        <w:t>WMS服务提供的能力包括获取服务能力、获取地图图像、获取要素数据，地图图像数据格式支持png、jpeg，支持时序数据发布成地图服务。</w:t>
      </w:r>
    </w:p>
    <w:p w14:paraId="34F11EBA">
      <w:pPr>
        <w:pStyle w:val="15"/>
      </w:pPr>
      <w:r>
        <w:rPr>
          <w:rFonts w:hint="eastAsia"/>
        </w:rPr>
        <w:t>WMS服务支持OGC标准的WMS（V1.1.0、V1.3.0）规范，以WebService服务的方式对外提供各种服务能力。</w:t>
      </w:r>
    </w:p>
    <w:p w14:paraId="21348736">
      <w:pPr>
        <w:pStyle w:val="15"/>
      </w:pPr>
      <w:r>
        <w:rPr>
          <w:rFonts w:hint="eastAsia"/>
        </w:rPr>
        <w:t>WMS服务支持的数据源包括：统一空间服务管理平台空间数据文件系统中栅格数据DOM。统一空间服务管理平台空间数据文件系统中矢量数据shp。统一空间服务管理平台PostgreSQL工作区要素数据集。</w:t>
      </w:r>
    </w:p>
    <w:p w14:paraId="7733DA96">
      <w:pPr>
        <w:pStyle w:val="15"/>
      </w:pPr>
      <w:r>
        <w:rPr>
          <w:rFonts w:hint="eastAsia"/>
        </w:rPr>
        <w:t>1.地图切片服务</w:t>
      </w:r>
    </w:p>
    <w:p w14:paraId="1B55A0A2">
      <w:pPr>
        <w:pStyle w:val="15"/>
      </w:pPr>
      <w:r>
        <w:rPr>
          <w:rFonts w:hint="eastAsia"/>
        </w:rPr>
        <w:t>Web地图切片服务是以缓存地图切片的形式提供地图服务，服务提供的具体能力包括获取服务能力、获取地图切片、获取要素数据详细信息，地图切片图像数据格式支持png、jpeg。</w:t>
      </w:r>
    </w:p>
    <w:p w14:paraId="3F002F4F">
      <w:pPr>
        <w:pStyle w:val="15"/>
      </w:pPr>
      <w:r>
        <w:rPr>
          <w:rFonts w:hint="eastAsia"/>
        </w:rPr>
        <w:t>WMTS服务支持OGC标准的WMTS（V1.0.0）规范，以WebService服务的方式对外提供各种服务能力。</w:t>
      </w:r>
    </w:p>
    <w:p w14:paraId="0523B5FB">
      <w:pPr>
        <w:pStyle w:val="15"/>
      </w:pPr>
      <w:r>
        <w:rPr>
          <w:rFonts w:hint="eastAsia"/>
        </w:rPr>
        <w:t>WMTS服务支持的地图瓦片支持TS-GIS统一空间服务管理平台生成的地图瓦片，也支持导入第三方瓦片后发布为WMTS服务，第三方瓦片包包括：ArcGIS地图切片。Geowebcache地图切片。Tilemill地图切片。</w:t>
      </w:r>
    </w:p>
    <w:p w14:paraId="46090E36">
      <w:pPr>
        <w:pStyle w:val="15"/>
      </w:pPr>
      <w:r>
        <w:rPr>
          <w:rFonts w:hint="eastAsia"/>
        </w:rPr>
        <w:t>2.地形切片服务</w:t>
      </w:r>
    </w:p>
    <w:p w14:paraId="64731803">
      <w:pPr>
        <w:pStyle w:val="15"/>
      </w:pPr>
      <w:r>
        <w:rPr>
          <w:rFonts w:hint="eastAsia"/>
        </w:rPr>
        <w:t>提供根据DEM数据生成</w:t>
      </w:r>
      <w:r>
        <w:rPr>
          <w:rFonts w:hint="eastAsia"/>
          <w:lang w:eastAsia="zh-CN"/>
        </w:rPr>
        <w:t>。</w:t>
      </w:r>
      <w:r>
        <w:rPr>
          <w:rFonts w:hint="eastAsia"/>
        </w:rPr>
        <w:t>terrain格式的高程数据切片文件，并提供切片数据的管理。在前端进行三维地图操作浏览时，能够根据前端的请求返回当前范围内的地形切片数据在前端展示。</w:t>
      </w:r>
    </w:p>
    <w:p w14:paraId="2E6D2899">
      <w:pPr>
        <w:pStyle w:val="15"/>
      </w:pPr>
      <w:r>
        <w:rPr>
          <w:rFonts w:hint="eastAsia"/>
        </w:rPr>
        <w:t>3.矢量瓦片服务</w:t>
      </w:r>
    </w:p>
    <w:p w14:paraId="2CBB3293">
      <w:pPr>
        <w:pStyle w:val="15"/>
      </w:pPr>
      <w:r>
        <w:rPr>
          <w:rFonts w:hint="eastAsia"/>
        </w:rPr>
        <w:t>矢量瓦片类似栅格瓦片，是将矢量数据用多层次模型分割成矢量要素描述文件存储在服务器端，但不同的是，矢量瓦片由客户端根据指定样式进行渲染绘制地图。</w:t>
      </w:r>
    </w:p>
    <w:p w14:paraId="249005B3">
      <w:pPr>
        <w:pStyle w:val="15"/>
      </w:pPr>
      <w:r>
        <w:rPr>
          <w:rFonts w:hint="eastAsia"/>
        </w:rPr>
        <w:t>矢量瓦片产生弥补了栅格瓦片的不足，矢量瓦片体积小，可高度压缩，占用的存储空间比栅格瓦片小，数据传输体量小，地图更新的代价小，不再需要为不同的样式而反复进行制图、渲染、切片、更新服务等过程。</w:t>
      </w:r>
    </w:p>
    <w:p w14:paraId="443764C4">
      <w:pPr>
        <w:pStyle w:val="15"/>
      </w:pPr>
      <w:r>
        <w:rPr>
          <w:rFonts w:hint="eastAsia"/>
        </w:rPr>
        <w:t>WVTS提供获取矢量切片数据的能力。服务提供的具体能力包括获取服务能力、获取矢量切片，切片数据格式支持MapBoxMVT规范的矢量瓦片（</w:t>
      </w:r>
      <w:r>
        <w:rPr>
          <w:rFonts w:hint="eastAsia"/>
          <w:lang w:eastAsia="zh-CN"/>
        </w:rPr>
        <w:t>。</w:t>
      </w:r>
      <w:r>
        <w:rPr>
          <w:rFonts w:hint="eastAsia"/>
        </w:rPr>
        <w:t>mvt）。服务支持的数据源为PostgreSQL工作区要素数据集。</w:t>
      </w:r>
    </w:p>
    <w:p w14:paraId="1C218AA6">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坐标转换服务</w:t>
      </w:r>
    </w:p>
    <w:p w14:paraId="4DD0B4CE">
      <w:pPr>
        <w:pStyle w:val="15"/>
      </w:pPr>
      <w:r>
        <w:rPr>
          <w:rFonts w:hint="eastAsia"/>
        </w:rPr>
        <w:t>Web坐标转换服务(WCTS)提供坐标转换能力。服务提供的具体能力包括：获取服务能力、坐标转换服务。目前支持的坐标有：WGS84、CGCS2000、GCJ02、BDLL，服务支持四种坐标系之间相互转换，支持批量坐标转换。</w:t>
      </w:r>
    </w:p>
    <w:p w14:paraId="5AB52D02">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实时路况服务</w:t>
      </w:r>
    </w:p>
    <w:p w14:paraId="738C8E53">
      <w:pPr>
        <w:pStyle w:val="15"/>
      </w:pPr>
      <w:r>
        <w:rPr>
          <w:rFonts w:hint="eastAsia"/>
        </w:rPr>
        <w:t>实时路况数据服务支持代理第三方实时路况服务，实时路况服务根据路网信息和实时交通信息，实现获取实时路况信息，通过接口实时获得交通路况信息后，支持地图路况展示（严重拥堵、拥堵、缓慢、顺畅、不明）。</w:t>
      </w:r>
    </w:p>
    <w:p w14:paraId="723CF5DE">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路径规划服务</w:t>
      </w:r>
    </w:p>
    <w:p w14:paraId="27B13F42">
      <w:pPr>
        <w:pStyle w:val="15"/>
      </w:pPr>
      <w:r>
        <w:rPr>
          <w:rFonts w:hint="eastAsia"/>
        </w:rPr>
        <w:t>提供基于路网的最短路径分析、最近设施分析和服务范围分析能力，以及代理第三方网络分析服务、第三方路径规划服务。</w:t>
      </w:r>
    </w:p>
    <w:p w14:paraId="55D49952">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轨迹服务</w:t>
      </w:r>
    </w:p>
    <w:p w14:paraId="580AD087">
      <w:pPr>
        <w:pStyle w:val="15"/>
      </w:pPr>
      <w:r>
        <w:rPr>
          <w:rFonts w:hint="eastAsia"/>
        </w:rPr>
        <w:t>轨迹服务代理第三方服务，提供轨迹查询服务，实现应急管理车辆/人员等运动物体的轨迹行为。</w:t>
      </w:r>
    </w:p>
    <w:p w14:paraId="31EEC0E8">
      <w:pPr>
        <w:pStyle w:val="7"/>
        <w:keepNext/>
        <w:keepLines/>
        <w:pageBreakBefore w:val="0"/>
        <w:widowControl w:val="0"/>
        <w:kinsoku/>
        <w:wordWrap/>
        <w:overflowPunct/>
        <w:topLinePunct w:val="0"/>
        <w:autoSpaceDE/>
        <w:autoSpaceDN/>
        <w:bidi w:val="0"/>
        <w:adjustRightInd w:val="0"/>
        <w:snapToGrid w:val="0"/>
        <w:spacing w:before="240" w:after="240"/>
        <w:textAlignment w:val="auto"/>
        <w:outlineLvl w:val="2"/>
        <w:rPr>
          <w:rFonts w:hint="eastAsia"/>
        </w:rPr>
      </w:pPr>
      <w:r>
        <w:rPr>
          <w:rFonts w:hint="eastAsia"/>
        </w:rPr>
        <w:t>GIS基础管理</w:t>
      </w:r>
    </w:p>
    <w:p w14:paraId="2F6B5368">
      <w:pPr>
        <w:pStyle w:val="15"/>
      </w:pPr>
      <w:r>
        <w:rPr>
          <w:rFonts w:hint="eastAsia"/>
        </w:rPr>
        <w:t>提供应急资源目录服务、应急资源管理服务、应急资源综合分析服务，应急资源周边分析服务、物资与资源调配服务等GIS基础管理服务。</w:t>
      </w:r>
    </w:p>
    <w:p w14:paraId="436B8F6D">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应急资源目录服务</w:t>
      </w:r>
    </w:p>
    <w:p w14:paraId="106A2FDA">
      <w:pPr>
        <w:pStyle w:val="15"/>
      </w:pPr>
      <w:r>
        <w:rPr>
          <w:rFonts w:hint="eastAsia"/>
        </w:rPr>
        <w:t>应急资源作为基础保障资源横跨各类灾害与职能部门，在各委办局业务及各类灾害应对中，应急资源的划分方法存在较大差异，应急资源目录服务主要从多个维度对应急资源目录进行梳理，应急资源目录服务提供对空间专题数据目录的管</w:t>
      </w:r>
      <w:r>
        <w:rPr>
          <w:rFonts w:hint="eastAsia"/>
          <w:lang w:eastAsia="zh-CN"/>
        </w:rPr>
        <w:t>理和</w:t>
      </w:r>
      <w:r>
        <w:rPr>
          <w:rFonts w:hint="eastAsia"/>
        </w:rPr>
        <w:t>维护能力，快速构建适合于各专题的空间专题数据目录结构。主要功能包括：</w:t>
      </w:r>
    </w:p>
    <w:p w14:paraId="54BA7D36">
      <w:pPr>
        <w:pStyle w:val="15"/>
      </w:pPr>
      <w:r>
        <w:rPr>
          <w:rFonts w:hint="eastAsia"/>
        </w:rPr>
        <w:t>1.目录维护</w:t>
      </w:r>
    </w:p>
    <w:p w14:paraId="1162513E">
      <w:pPr>
        <w:pStyle w:val="15"/>
      </w:pPr>
      <w:r>
        <w:rPr>
          <w:rFonts w:hint="eastAsia"/>
        </w:rPr>
        <w:t>实现对空间专题数据目录结构、节点信息（属性、关联信息）的维护（增加、删除、更新操作），构建适合于各专题的空间专题数据目录结构。</w:t>
      </w:r>
    </w:p>
    <w:p w14:paraId="03D37C16">
      <w:pPr>
        <w:pStyle w:val="15"/>
      </w:pPr>
      <w:r>
        <w:rPr>
          <w:rFonts w:hint="eastAsia"/>
        </w:rPr>
        <w:t>2.目录查询</w:t>
      </w:r>
    </w:p>
    <w:p w14:paraId="634C132F">
      <w:pPr>
        <w:pStyle w:val="15"/>
      </w:pPr>
      <w:r>
        <w:rPr>
          <w:rFonts w:hint="eastAsia"/>
        </w:rPr>
        <w:t>实现资源目录的获取，支持基于关键字、属性等条件查询返回资源目录结构。</w:t>
      </w:r>
    </w:p>
    <w:p w14:paraId="7888DEF1">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应急资源管理服务</w:t>
      </w:r>
    </w:p>
    <w:p w14:paraId="35DDC0D5">
      <w:pPr>
        <w:pStyle w:val="15"/>
      </w:pPr>
      <w:r>
        <w:rPr>
          <w:rFonts w:hint="eastAsia"/>
        </w:rPr>
        <w:t>应急资源管理服务实现对包括空间信息、属性信息在内的应急资源信息的维护管理功能，对应急资源信息的维护和管理建立统一的标准规范，提供统一的增、删、改、查服务接口。主要功能包括：新增应急资源信息、修改应急资源信息、删除应急资源信息、查询应急资源信息。</w:t>
      </w:r>
    </w:p>
    <w:p w14:paraId="173B79D5">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应急资源综合分析服务</w:t>
      </w:r>
    </w:p>
    <w:p w14:paraId="5FBD9AAC">
      <w:pPr>
        <w:pStyle w:val="15"/>
      </w:pPr>
      <w:r>
        <w:rPr>
          <w:rFonts w:hint="eastAsia"/>
        </w:rPr>
        <w:t>应急资源综合分析服务提供对应急资源进行属性、空间、时间等维度的查询检索和统计分析能力。实现基于关键字、分类等属性指标，基于目标缓冲区、自定义多边形范围、行政区划等空间指标，查询全国或者某个空间范围的应急资源种类、数量等信息。主要功能包括：查询检索、统计分析。</w:t>
      </w:r>
    </w:p>
    <w:p w14:paraId="07E39E77">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应急资源周边分析服务</w:t>
      </w:r>
    </w:p>
    <w:p w14:paraId="4242F6E0">
      <w:pPr>
        <w:pStyle w:val="15"/>
        <w:keepNext w:val="0"/>
        <w:keepLines w:val="0"/>
        <w:pageBreakBefore w:val="0"/>
        <w:widowControl w:val="0"/>
        <w:kinsoku/>
        <w:wordWrap/>
        <w:overflowPunct/>
        <w:topLinePunct w:val="0"/>
        <w:autoSpaceDE/>
        <w:autoSpaceDN/>
        <w:bidi w:val="0"/>
        <w:adjustRightInd/>
        <w:snapToGrid/>
        <w:textAlignment w:val="auto"/>
      </w:pPr>
      <w:r>
        <w:rPr>
          <w:rFonts w:hint="eastAsia"/>
        </w:rPr>
        <w:t>系统支持针对某一目标对象进行周边空间范围内的应急资源数据的查询分析。目标对象为点状数据时，搜索以目标对象为参照点的任意空间范围内满足要求的应急资源数据，分析结果包括应急资源数据的地理分布及详情信息，以及每个应急资源数据与目标对象的距离信息。</w:t>
      </w:r>
    </w:p>
    <w:p w14:paraId="1E05B955">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物资与资源调配服务</w:t>
      </w:r>
    </w:p>
    <w:p w14:paraId="5CA3B011">
      <w:pPr>
        <w:pStyle w:val="15"/>
      </w:pPr>
      <w:r>
        <w:rPr>
          <w:rFonts w:hint="eastAsia"/>
        </w:rPr>
        <w:t>物资和资源调配服务基于灾害信息、物资及资源需求信息，并结合应急专题数据、实时监测数据，经过分析、计算获取当前最合适的物资与资源调配方案，使应急救援工作快速有序推进。主要功能包括：物资匹配、资源调度。</w:t>
      </w:r>
    </w:p>
    <w:p w14:paraId="0EA6733D">
      <w:pPr>
        <w:pStyle w:val="7"/>
        <w:keepNext/>
        <w:keepLines/>
        <w:pageBreakBefore w:val="0"/>
        <w:widowControl w:val="0"/>
        <w:kinsoku/>
        <w:wordWrap/>
        <w:overflowPunct/>
        <w:topLinePunct w:val="0"/>
        <w:autoSpaceDE/>
        <w:autoSpaceDN/>
        <w:bidi w:val="0"/>
        <w:adjustRightInd w:val="0"/>
        <w:snapToGrid w:val="0"/>
        <w:spacing w:before="240" w:after="240"/>
        <w:textAlignment w:val="auto"/>
        <w:outlineLvl w:val="2"/>
        <w:rPr>
          <w:rFonts w:hint="eastAsia"/>
        </w:rPr>
      </w:pPr>
      <w:r>
        <w:rPr>
          <w:rFonts w:hint="eastAsia"/>
        </w:rPr>
        <w:t>SDK集成服务</w:t>
      </w:r>
    </w:p>
    <w:p w14:paraId="229FB6B1">
      <w:pPr>
        <w:pStyle w:val="15"/>
      </w:pPr>
      <w:r>
        <w:rPr>
          <w:rFonts w:hint="eastAsia"/>
        </w:rPr>
        <w:t>提供了功能强大、性能优越、展示效果丰富的SDK开发包，帮助用户灵活定制各类GIS应用。产品可根据需要，灵活提供二维SDK、三维SDK和二三维一体的SDK。</w:t>
      </w:r>
    </w:p>
    <w:p w14:paraId="64305B5F">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空间数据可视化</w:t>
      </w:r>
    </w:p>
    <w:p w14:paraId="2E2E38C2">
      <w:pPr>
        <w:pStyle w:val="15"/>
      </w:pPr>
      <w:r>
        <w:rPr>
          <w:rFonts w:hint="eastAsia"/>
        </w:rPr>
        <w:t>二维：支持OGC标准的WMS、WMTS，及常用的商业地图服务，包括百度地图、天地图、OSM地图、Bing地图、Google地图、超图地图、ArcGIS地图、高德地图及矢量切片数据、COG数据。</w:t>
      </w:r>
    </w:p>
    <w:p w14:paraId="3E443DDF">
      <w:pPr>
        <w:pStyle w:val="15"/>
      </w:pPr>
      <w:r>
        <w:rPr>
          <w:rFonts w:hint="eastAsia"/>
        </w:rPr>
        <w:t>三维：支持OGC标准的WMS、WMTS，及常用商用地图服务，包括百度地图、天地图、OSM地图、Bing地图、Google地图、ArcGIS地图。支持产品管理平台发布的地图数据、地形数据、城市模型数据（建筑物模型、交通设施模型、植被模型等地上设施）、倾斜摄影测量数据等。</w:t>
      </w:r>
    </w:p>
    <w:p w14:paraId="5B067438">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地图基本交互</w:t>
      </w:r>
    </w:p>
    <w:p w14:paraId="21A56AE0">
      <w:pPr>
        <w:pStyle w:val="15"/>
      </w:pPr>
      <w:r>
        <w:rPr>
          <w:rFonts w:hint="eastAsia"/>
        </w:rPr>
        <w:t>二维：放大、缩小、拖动、选择要素、选择元素、全图显示。</w:t>
      </w:r>
    </w:p>
    <w:p w14:paraId="6201E7BE">
      <w:pPr>
        <w:pStyle w:val="15"/>
      </w:pPr>
      <w:r>
        <w:rPr>
          <w:rFonts w:hint="eastAsia"/>
        </w:rPr>
        <w:t>三维：放大、缩小、拖动、旋转、滑动、指北、环绕、步行、选择要素、选择元素、显示中心十字丝、选择城市建筑物、全图显示。</w:t>
      </w:r>
    </w:p>
    <w:p w14:paraId="7E245217">
      <w:pPr>
        <w:pStyle w:val="8"/>
        <w:keepNext w:val="0"/>
        <w:keepLines w:val="0"/>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地图基本功能</w:t>
      </w:r>
    </w:p>
    <w:p w14:paraId="526E360A">
      <w:pPr>
        <w:pStyle w:val="15"/>
        <w:keepNext w:val="0"/>
        <w:keepLines w:val="0"/>
        <w:pageBreakBefore w:val="0"/>
        <w:widowControl w:val="0"/>
        <w:kinsoku/>
        <w:wordWrap/>
        <w:overflowPunct/>
        <w:topLinePunct w:val="0"/>
        <w:autoSpaceDE/>
        <w:autoSpaceDN/>
        <w:bidi w:val="0"/>
        <w:textAlignment w:val="auto"/>
      </w:pPr>
      <w:r>
        <w:rPr>
          <w:rFonts w:hint="eastAsia"/>
        </w:rPr>
        <w:t>二维：添加图层、坐标定位、图层管理、切换地图、元素识别、要素识别、底图识别、地图导出、卷帘效果、前置元素、后置元素、引线标注、字体图标标注、动态聚类效果、地图打印。</w:t>
      </w:r>
    </w:p>
    <w:p w14:paraId="691BF6DF">
      <w:pPr>
        <w:pStyle w:val="15"/>
      </w:pPr>
      <w:r>
        <w:rPr>
          <w:rFonts w:hint="eastAsia"/>
        </w:rPr>
        <w:t>三维：添加图层、坐标定位、图层管理、切换地图、元素识别、要素识别、底图识别、地图导出、卷帘效果、飞行模式、单体模型定位、城市建筑物识别、场景书签、导航控件、添加GIF动画、模型骨骼动画。</w:t>
      </w:r>
    </w:p>
    <w:p w14:paraId="70DAAFA9">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地图渲染</w:t>
      </w:r>
    </w:p>
    <w:p w14:paraId="1091E0C1">
      <w:pPr>
        <w:pStyle w:val="15"/>
      </w:pPr>
      <w:r>
        <w:rPr>
          <w:rFonts w:hint="eastAsia"/>
        </w:rPr>
        <w:t>二维：柱状图、饼图、折线图、点密度图、元素聚类、通用符号、热力图、渲染图。</w:t>
      </w:r>
    </w:p>
    <w:p w14:paraId="4768176B">
      <w:pPr>
        <w:pStyle w:val="15"/>
      </w:pPr>
      <w:r>
        <w:rPr>
          <w:rFonts w:hint="eastAsia"/>
        </w:rPr>
        <w:t>三维：要素聚类、地形等高线图、几何热力图、热力图、渲染图。</w:t>
      </w:r>
    </w:p>
    <w:p w14:paraId="7F572C66">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地图部件</w:t>
      </w:r>
    </w:p>
    <w:p w14:paraId="4E4F3EAA">
      <w:pPr>
        <w:pStyle w:val="15"/>
      </w:pPr>
      <w:r>
        <w:rPr>
          <w:rFonts w:hint="eastAsia"/>
        </w:rPr>
        <w:t>二维：地图覆盖物管理（添加覆盖物、覆盖物管理、清除全部覆盖物）、鹰眼图。</w:t>
      </w:r>
    </w:p>
    <w:p w14:paraId="5123D21A">
      <w:pPr>
        <w:pStyle w:val="15"/>
      </w:pPr>
      <w:r>
        <w:rPr>
          <w:rFonts w:hint="eastAsia"/>
        </w:rPr>
        <w:t>三维：地图的地图标签、地图弹出框、鹰眼图。</w:t>
      </w:r>
    </w:p>
    <w:p w14:paraId="6640212F">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专题图</w:t>
      </w:r>
    </w:p>
    <w:p w14:paraId="4545FDF0">
      <w:pPr>
        <w:pStyle w:val="15"/>
      </w:pPr>
      <w:r>
        <w:rPr>
          <w:rFonts w:hint="eastAsia"/>
        </w:rPr>
        <w:t>二维：添加文本、添加图片、添加图例、添加指北针、添加比例尺、编辑文本、编辑图片、编辑图例、编辑指北针、编辑比例尺、平移内容、删除内容、输出专题图、打印专题图。</w:t>
      </w:r>
    </w:p>
    <w:p w14:paraId="292BAF50">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地图绘制</w:t>
      </w:r>
    </w:p>
    <w:p w14:paraId="0BF162B6">
      <w:pPr>
        <w:pStyle w:val="15"/>
      </w:pPr>
      <w:r>
        <w:rPr>
          <w:rFonts w:hint="eastAsia"/>
        </w:rPr>
        <w:t>二维：点、线、矩形、圆、椭圆、多边形绘制、节点编辑。</w:t>
      </w:r>
    </w:p>
    <w:p w14:paraId="4664A101">
      <w:pPr>
        <w:pStyle w:val="15"/>
      </w:pPr>
      <w:r>
        <w:rPr>
          <w:rFonts w:hint="eastAsia"/>
        </w:rPr>
        <w:t>三维：点、线、矩形、圆、椭圆、多边形绘制、节点编辑、文本标注、标绘图片、圆柱体绘制、圆锥体绘制。</w:t>
      </w:r>
    </w:p>
    <w:p w14:paraId="1D8188BE">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空间量算</w:t>
      </w:r>
    </w:p>
    <w:p w14:paraId="0D67B1A6">
      <w:pPr>
        <w:pStyle w:val="15"/>
      </w:pPr>
      <w:r>
        <w:rPr>
          <w:rFonts w:hint="eastAsia"/>
        </w:rPr>
        <w:t>二维：测量坐标、测量水平距离、测量水平圆形、椭圆、多边形面积和周长、清除测量结果。</w:t>
      </w:r>
    </w:p>
    <w:p w14:paraId="5E16F1DD">
      <w:pPr>
        <w:pStyle w:val="15"/>
        <w:keepNext w:val="0"/>
        <w:keepLines w:val="0"/>
        <w:pageBreakBefore w:val="0"/>
        <w:widowControl w:val="0"/>
        <w:kinsoku/>
        <w:wordWrap/>
        <w:overflowPunct/>
        <w:topLinePunct w:val="0"/>
        <w:autoSpaceDE/>
        <w:autoSpaceDN/>
        <w:bidi w:val="0"/>
        <w:adjustRightInd/>
        <w:snapToGrid/>
        <w:textAlignment w:val="auto"/>
      </w:pPr>
      <w:r>
        <w:rPr>
          <w:rFonts w:hint="eastAsia"/>
        </w:rPr>
        <w:t>三维：测量坐标、测量水平距离、测量水平圆形、椭圆、多边形面积和周长、清除测量结果、测量地表距离、测量直线距离、测量垂直距离、测量地表椭圆、圆形、多边形的面积和周长、测量三维空间多边形面积和周长、测量圆柱、圆锥、长方体、球体的体积。</w:t>
      </w:r>
    </w:p>
    <w:p w14:paraId="31498CD8">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地图标绘</w:t>
      </w:r>
    </w:p>
    <w:p w14:paraId="6DAD00F9">
      <w:pPr>
        <w:pStyle w:val="15"/>
      </w:pPr>
      <w:r>
        <w:rPr>
          <w:rFonts w:hint="eastAsia"/>
        </w:rPr>
        <w:t>二维：添加标绘（包括图片、线、面、自由线、自由面、箭头、行进路线、复杂路线、文本）、标绘图形编辑（包括编辑旋转点、控制点、中心点、中点、缩放点、平移）、标绘符号编辑（包括图片、线、面、组合、文本）、删除地图标绘、管理地图标绘、组合线、矢量图标、图标填充、线性渐变符号，支持标绘类型、标绘属性字段统计</w:t>
      </w:r>
    </w:p>
    <w:p w14:paraId="210B4DBD">
      <w:pPr>
        <w:pStyle w:val="15"/>
      </w:pPr>
      <w:r>
        <w:rPr>
          <w:rFonts w:hint="eastAsia"/>
        </w:rPr>
        <w:t>三维：添加标绘（包括图片、线、面、自由线、自由面、箭头、行进路线、复杂路线、文本）、标绘图形编辑（包括编辑旋转点、控制点、中心点、中点、缩放点、平移）、标绘符号编辑（包括图片、线、面、组合、文本）、删除地图标绘、管理地图标绘、添加体标绘、标绘体编辑（包括平移、编辑属性和控制点、编辑简单模型符号）</w:t>
      </w:r>
    </w:p>
    <w:p w14:paraId="49B21A1C">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地图动画</w:t>
      </w:r>
    </w:p>
    <w:p w14:paraId="50A084D4">
      <w:pPr>
        <w:pStyle w:val="15"/>
      </w:pPr>
      <w:r>
        <w:rPr>
          <w:rFonts w:hint="eastAsia"/>
        </w:rPr>
        <w:t>二维：图片闪烁、线闪烁、面闪烁和动画控制、点扩散、点沿线滑动、简单点闪烁、图片旋转三维：图片闪烁、线闪烁、面闪烁和动画控制。</w:t>
      </w:r>
    </w:p>
    <w:p w14:paraId="39149EFE">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飞行路线</w:t>
      </w:r>
    </w:p>
    <w:p w14:paraId="67245847">
      <w:pPr>
        <w:pStyle w:val="15"/>
      </w:pPr>
      <w:r>
        <w:rPr>
          <w:rFonts w:hint="eastAsia"/>
        </w:rPr>
        <w:t>三维：自定义路线飞行、飞行路线制作、飞行路线管理、飞行控制。</w:t>
      </w:r>
    </w:p>
    <w:p w14:paraId="785B8C1B">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空间数据管理</w:t>
      </w:r>
    </w:p>
    <w:p w14:paraId="6B1AF2B9">
      <w:pPr>
        <w:pStyle w:val="15"/>
      </w:pPr>
      <w:r>
        <w:rPr>
          <w:rFonts w:hint="eastAsia"/>
        </w:rPr>
        <w:t>二维：要素管理（包括添加、更新、查询、删除）。</w:t>
      </w:r>
    </w:p>
    <w:p w14:paraId="03DE9A6C">
      <w:pPr>
        <w:pStyle w:val="15"/>
      </w:pPr>
      <w:r>
        <w:rPr>
          <w:rFonts w:hint="eastAsia"/>
        </w:rPr>
        <w:t>三维：查询要素、查询城市建筑物。</w:t>
      </w:r>
    </w:p>
    <w:p w14:paraId="0DD6D46A">
      <w:pPr>
        <w:pStyle w:val="8"/>
        <w:keepNext w:val="0"/>
        <w:keepLines w:val="0"/>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几何计算</w:t>
      </w:r>
    </w:p>
    <w:p w14:paraId="059F9C4F">
      <w:pPr>
        <w:pStyle w:val="15"/>
        <w:keepNext w:val="0"/>
        <w:keepLines w:val="0"/>
        <w:pageBreakBefore w:val="0"/>
        <w:widowControl w:val="0"/>
        <w:kinsoku/>
        <w:wordWrap/>
        <w:overflowPunct/>
        <w:topLinePunct w:val="0"/>
        <w:autoSpaceDE/>
        <w:autoSpaceDN/>
        <w:bidi w:val="0"/>
        <w:textAlignment w:val="auto"/>
      </w:pPr>
      <w:r>
        <w:rPr>
          <w:rFonts w:hint="eastAsia"/>
        </w:rPr>
        <w:t>二维：拓扑关系判断、缓冲区计算、凸包计算、差异计算、交叉计算、联合计算、对称差异计算、裁切计算、分割计算、边界计算、简化计算。</w:t>
      </w:r>
    </w:p>
    <w:p w14:paraId="573C4635">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缓冲分析</w:t>
      </w:r>
    </w:p>
    <w:p w14:paraId="3E5E5258">
      <w:pPr>
        <w:pStyle w:val="15"/>
      </w:pPr>
      <w:r>
        <w:rPr>
          <w:rFonts w:hint="eastAsia"/>
        </w:rPr>
        <w:t>二维：点缓冲区分析、线缓冲区分析、矩形缓冲区分析、多边形缓冲区分析、元素缓冲区分析、数量缓冲分析、多表缓冲分析、显示分析结果、删除分析结果。</w:t>
      </w:r>
    </w:p>
    <w:p w14:paraId="4389D3CF">
      <w:pPr>
        <w:pStyle w:val="15"/>
      </w:pPr>
      <w:r>
        <w:rPr>
          <w:rFonts w:hint="eastAsia"/>
        </w:rPr>
        <w:t>三维：点缓冲区分析、线缓冲区分析、矩形缓冲区分析、多边形缓冲区分析、元素缓冲区分析、数量缓冲分析、多表缓冲分析、显示分析结果、删除分析结果。</w:t>
      </w:r>
    </w:p>
    <w:p w14:paraId="198F7DE0">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网络分析</w:t>
      </w:r>
    </w:p>
    <w:p w14:paraId="30DCAD67">
      <w:pPr>
        <w:pStyle w:val="15"/>
      </w:pPr>
      <w:r>
        <w:rPr>
          <w:rFonts w:hint="eastAsia"/>
        </w:rPr>
        <w:t>二维：最短路径分析、最近设施分析，服务范围分析、路径规划、设置障碍点、设置障碍线、设置障碍面、设置途经点、清除分析结果。</w:t>
      </w:r>
    </w:p>
    <w:p w14:paraId="1CF516A5">
      <w:pPr>
        <w:pStyle w:val="15"/>
      </w:pPr>
      <w:r>
        <w:rPr>
          <w:rFonts w:hint="eastAsia"/>
        </w:rPr>
        <w:t>三维：最短路径分析、最近设施分析，服务范围分析、路径规划、设置障碍点、设置障碍线、设置障碍面、设置途经点、清除分析结果。</w:t>
      </w:r>
    </w:p>
    <w:p w14:paraId="017283B3">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叠置分析</w:t>
      </w:r>
    </w:p>
    <w:p w14:paraId="21330FA5">
      <w:pPr>
        <w:pStyle w:val="15"/>
      </w:pPr>
      <w:r>
        <w:rPr>
          <w:rFonts w:hint="eastAsia"/>
        </w:rPr>
        <w:t>二维：叠置分析，包括相交、合并、擦除、裁剪、同一、更新和对称差七种叠置操作。</w:t>
      </w:r>
    </w:p>
    <w:p w14:paraId="3EEBE776">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三维效果</w:t>
      </w:r>
    </w:p>
    <w:p w14:paraId="7B1B79E2">
      <w:pPr>
        <w:pStyle w:val="15"/>
      </w:pPr>
      <w:r>
        <w:rPr>
          <w:rFonts w:hint="eastAsia"/>
        </w:rPr>
        <w:t>三维：大气层效果、光照效果、水纹动画效果、粒子效果、天气特效、动态点效果、流向动态线效果、线扩散效果、线流动效果、光晕线效果、卫星扫描范围效果、动态线效果、动态扫描线效果、动态立体墙效果、风向图效果、水流效果。</w:t>
      </w:r>
    </w:p>
    <w:p w14:paraId="681FDDB7">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三维分析</w:t>
      </w:r>
    </w:p>
    <w:p w14:paraId="2989B72F">
      <w:pPr>
        <w:pStyle w:val="15"/>
      </w:pPr>
      <w:r>
        <w:rPr>
          <w:rFonts w:hint="eastAsia"/>
        </w:rPr>
        <w:t>三维：洪水淹没分析、通视分析、剖面分析、坡度坡向分析、挖填方分析、视域分析</w:t>
      </w:r>
    </w:p>
    <w:p w14:paraId="234549A9">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三维高级功能</w:t>
      </w:r>
    </w:p>
    <w:p w14:paraId="3427AC17">
      <w:pPr>
        <w:pStyle w:val="15"/>
      </w:pPr>
      <w:r>
        <w:rPr>
          <w:rFonts w:hint="eastAsia"/>
        </w:rPr>
        <w:t>三维：地形开挖、地形编辑、模型截面分析、模型裁剪显示、立方体裁剪显示、碰撞检测。</w:t>
      </w:r>
    </w:p>
    <w:p w14:paraId="7101C412">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地下模式专项功能</w:t>
      </w:r>
    </w:p>
    <w:p w14:paraId="6BCBDEF2">
      <w:pPr>
        <w:pStyle w:val="15"/>
      </w:pPr>
      <w:r>
        <w:rPr>
          <w:rFonts w:hint="eastAsia"/>
        </w:rPr>
        <w:t>二维：位置识别、周边设施查询、搜索地名地址、正向地理编码、实时设备数据接入（包含查看设备列表、设备定位、开始跟踪、停止跟踪、设备轨迹回放、清除设备图层）。</w:t>
      </w:r>
    </w:p>
    <w:p w14:paraId="0734E639">
      <w:pPr>
        <w:pStyle w:val="15"/>
      </w:pPr>
      <w:r>
        <w:rPr>
          <w:rFonts w:hint="eastAsia"/>
        </w:rPr>
        <w:t>三维：位置识别、周边设施查询、搜索地名地址、正向地理编码。</w:t>
      </w:r>
    </w:p>
    <w:p w14:paraId="1370D960">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建筑物信息模型</w:t>
      </w:r>
    </w:p>
    <w:p w14:paraId="6B4FE1FB">
      <w:pPr>
        <w:pStyle w:val="15"/>
      </w:pPr>
      <w:r>
        <w:rPr>
          <w:rFonts w:hint="eastAsia"/>
        </w:rPr>
        <w:t>三维：BIM可视化、BIM树构建、BIM构件识别、BIM模型标绘、室内浏览、BIM构件统计地下管网。</w:t>
      </w:r>
    </w:p>
    <w:p w14:paraId="729D5D88">
      <w:pPr>
        <w:pStyle w:val="15"/>
      </w:pPr>
      <w:r>
        <w:rPr>
          <w:rFonts w:hint="eastAsia"/>
        </w:rPr>
        <w:t>三维：管网可视化、管网识别、流向分析、地面开挖、爆管分析、连通性分析、净距分析、剖面分析、管件编辑、管件删除。</w:t>
      </w:r>
    </w:p>
    <w:p w14:paraId="1A1A1448">
      <w:pPr>
        <w:pStyle w:val="6"/>
        <w:keepNext/>
        <w:keepLines/>
        <w:pageBreakBefore w:val="0"/>
        <w:widowControl w:val="0"/>
        <w:kinsoku/>
        <w:wordWrap/>
        <w:overflowPunct/>
        <w:topLinePunct w:val="0"/>
        <w:autoSpaceDE/>
        <w:autoSpaceDN/>
        <w:bidi w:val="0"/>
        <w:adjustRightInd/>
        <w:snapToGrid w:val="0"/>
        <w:spacing w:before="240" w:after="240"/>
        <w:textAlignment w:val="auto"/>
        <w:outlineLvl w:val="1"/>
      </w:pPr>
      <w:r>
        <w:rPr>
          <w:rFonts w:hint="eastAsia"/>
        </w:rPr>
        <w:t>模型算法支撑服务</w:t>
      </w:r>
    </w:p>
    <w:p w14:paraId="7588DAF4">
      <w:pPr>
        <w:pStyle w:val="15"/>
      </w:pPr>
      <w:r>
        <w:rPr>
          <w:rFonts w:hint="eastAsia"/>
        </w:rPr>
        <w:t>依托省立医院算力中心、数据中心、AI大模型等基础建设，搭建AI智能支撑平台，主要包括智能服务与模型、AI智能辅助决策两大部分。</w:t>
      </w:r>
      <w:r>
        <w:t>通过多层次的技术支持实现智能化应急管理和决策辅助</w:t>
      </w:r>
      <w:r>
        <w:rPr>
          <w:rFonts w:hint="eastAsia"/>
        </w:rPr>
        <w:t>。</w:t>
      </w:r>
    </w:p>
    <w:p w14:paraId="1E44C9D0">
      <w:pPr>
        <w:pStyle w:val="45"/>
      </w:pPr>
      <w:r>
        <w:rPr>
          <w:rFonts w:hint="eastAsia"/>
        </w:rPr>
        <w:drawing>
          <wp:inline distT="0" distB="0" distL="0" distR="0">
            <wp:extent cx="5633085" cy="5794375"/>
            <wp:effectExtent l="0" t="0" r="5715" b="12065"/>
            <wp:docPr id="2111251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125190" name="图片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633085" cy="5794375"/>
                    </a:xfrm>
                    <a:prstGeom prst="rect">
                      <a:avLst/>
                    </a:prstGeom>
                    <a:noFill/>
                    <a:ln>
                      <a:noFill/>
                    </a:ln>
                  </pic:spPr>
                </pic:pic>
              </a:graphicData>
            </a:graphic>
          </wp:inline>
        </w:drawing>
      </w:r>
    </w:p>
    <w:p w14:paraId="4FFEFE1D">
      <w:pPr>
        <w:pStyle w:val="15"/>
      </w:pPr>
      <w:r>
        <w:t>在基础设施层</w:t>
      </w:r>
      <w:r>
        <w:rPr>
          <w:rFonts w:hint="eastAsia"/>
        </w:rPr>
        <w:t>。</w:t>
      </w:r>
      <w:r>
        <w:t>平台依赖于GPU、CPU、NPU等计算资源，以及存储、网络和容器化技术如Docker和Kubernetes，为上层应用提供稳定的基础环境。</w:t>
      </w:r>
    </w:p>
    <w:p w14:paraId="0467784E">
      <w:pPr>
        <w:pStyle w:val="15"/>
      </w:pPr>
      <w:r>
        <w:t>数据层</w:t>
      </w:r>
      <w:r>
        <w:rPr>
          <w:rFonts w:hint="eastAsia"/>
        </w:rPr>
        <w:t>。</w:t>
      </w:r>
      <w:r>
        <w:t>则涵盖了数据接入、清洗、标注、过滤、去重和替换等一系列数据处理流程，并利用关系型数据库、对象存储、向量数据库、时序数据库、文档型数据库、缓存数据库和索引数据库等多种存储解决方案，确保数据的高效管理和利用。</w:t>
      </w:r>
    </w:p>
    <w:p w14:paraId="107EECAE">
      <w:pPr>
        <w:pStyle w:val="15"/>
      </w:pPr>
      <w:r>
        <w:t>AI基础平台，提供了大语言模型、视觉大模型、时序大模型和多模态大模型等基础大模型，以及智能体开发平台、公共能力和编排工具等，为智能服务与模型的构建奠定了坚实的基础。</w:t>
      </w:r>
    </w:p>
    <w:p w14:paraId="704A865B">
      <w:pPr>
        <w:pStyle w:val="15"/>
      </w:pPr>
      <w:r>
        <w:t>智能服务与模型</w:t>
      </w:r>
      <w:r>
        <w:rPr>
          <w:rFonts w:hint="eastAsia"/>
        </w:rPr>
        <w:t>。</w:t>
      </w:r>
      <w:r>
        <w:t>包括医学救援智能问答服务、指挥调度智能问答服务、智能方案生成服务和智能交互调度引擎等智能服务，以及预案知识抽取模型、队伍人员需求估算模型、预案知识图谱模型、队伍调度优化模型、预案智能推荐模型、救援物资需求估算模型、时空聚集预警模型、救援物资调度模型和通用评估模型等机器学习模型，这些服务和模型共同构成了智能支撑平台的核心能力。</w:t>
      </w:r>
    </w:p>
    <w:p w14:paraId="76114545">
      <w:pPr>
        <w:pStyle w:val="15"/>
      </w:pPr>
      <w:r>
        <w:t>应急知识库</w:t>
      </w:r>
      <w:r>
        <w:rPr>
          <w:rFonts w:hint="eastAsia"/>
        </w:rPr>
        <w:t>。包括</w:t>
      </w:r>
      <w:r>
        <w:t>预案知识、案例知识、法律法规、培训教材、SOP指南、标准规范、科研成果、专家共识、救援技术和</w:t>
      </w:r>
      <w:r>
        <w:rPr>
          <w:rFonts w:hint="eastAsia"/>
          <w:lang w:eastAsia="zh-CN"/>
        </w:rPr>
        <w:t>其他</w:t>
      </w:r>
      <w:r>
        <w:t>相关知识，为智能服务与模型提供丰富的知识支持，确保决策的准确性和科学性。</w:t>
      </w:r>
    </w:p>
    <w:p w14:paraId="0F9B5DC8">
      <w:pPr>
        <w:pStyle w:val="15"/>
      </w:pPr>
      <w:r>
        <w:t>AI智能辅助决策系统</w:t>
      </w:r>
      <w:r>
        <w:rPr>
          <w:rFonts w:hint="eastAsia"/>
        </w:rPr>
        <w:t>。</w:t>
      </w:r>
      <w:r>
        <w:t>将智能服务与模型和应急知识库进行整合，形成一个完整的决策支持体系，能够根据具体业务场景提供智能化的分析、预测和建议。</w:t>
      </w:r>
    </w:p>
    <w:p w14:paraId="566982EB">
      <w:pPr>
        <w:pStyle w:val="15"/>
      </w:pPr>
      <w:r>
        <w:t>在AI应用</w:t>
      </w:r>
      <w:r>
        <w:rPr>
          <w:rFonts w:hint="eastAsia"/>
        </w:rPr>
        <w:t>。</w:t>
      </w:r>
      <w:r>
        <w:t>业务应用系统中调用了智能辅助决策的能力，实现了AI应用场景与每个业务系统环节的深度融合。</w:t>
      </w:r>
    </w:p>
    <w:p w14:paraId="28D0533B">
      <w:pPr>
        <w:pStyle w:val="7"/>
        <w:keepNext/>
        <w:keepLines/>
        <w:pageBreakBefore w:val="0"/>
        <w:widowControl w:val="0"/>
        <w:kinsoku/>
        <w:wordWrap/>
        <w:overflowPunct/>
        <w:topLinePunct w:val="0"/>
        <w:autoSpaceDE/>
        <w:autoSpaceDN/>
        <w:bidi w:val="0"/>
        <w:adjustRightInd w:val="0"/>
        <w:snapToGrid w:val="0"/>
        <w:spacing w:before="240" w:after="240"/>
        <w:textAlignment w:val="auto"/>
        <w:outlineLvl w:val="2"/>
        <w:rPr>
          <w:rFonts w:hint="eastAsia"/>
        </w:rPr>
      </w:pPr>
      <w:r>
        <w:rPr>
          <w:rFonts w:hint="eastAsia"/>
        </w:rPr>
        <w:t>紧急医学救援智能服务组件</w:t>
      </w:r>
    </w:p>
    <w:p w14:paraId="5B15BA73">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智能问答服务组件</w:t>
      </w:r>
    </w:p>
    <w:p w14:paraId="6B9EBA92">
      <w:pPr>
        <w:pStyle w:val="15"/>
      </w:pPr>
      <w:r>
        <w:rPr>
          <w:rFonts w:hint="eastAsia"/>
        </w:rPr>
        <w:t>基于紧急医学救援行业大模型的多源数据理解与总结能力，结合专业知识构建针对紧急医学救援调度场景智能问答，迅速响应用户查询，提供准确、及时的信息和建议，使得从一线救援人员到指挥调度人，在面对紧急情况或日常运营时，都能快速获取所需信息，无论是处理突发事件、规划策略还是制定政策，智答都能提供基于实证的建议和解决方案，帮助用户做出更加明智的决策。</w:t>
      </w:r>
    </w:p>
    <w:p w14:paraId="4368695A">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基于仿真模型智能问答</w:t>
      </w:r>
    </w:p>
    <w:p w14:paraId="179E7458">
      <w:pPr>
        <w:pStyle w:val="15"/>
      </w:pPr>
      <w:r>
        <w:rPr>
          <w:rFonts w:hint="eastAsia"/>
        </w:rPr>
        <w:t>采用预训练的LLM模型，将自然语言解析成树状结构并映射到API调用，基于私有研发的模型接口的智能回答，可智能化辅助用户进行灾损研判、后果预测、处置决策等。</w:t>
      </w:r>
    </w:p>
    <w:p w14:paraId="34E214DC">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系统数据资源问答</w:t>
      </w:r>
    </w:p>
    <w:p w14:paraId="6046FAEF">
      <w:pPr>
        <w:pStyle w:val="15"/>
      </w:pPr>
      <w:r>
        <w:rPr>
          <w:rFonts w:hint="eastAsia"/>
        </w:rPr>
        <w:t>通过语义分析和理解用户意图，实现agent智能调用系统现有API，实现基于当前系统知识库的智能问答，实现自然语言和系统进行交互，直接获取相应的查询结果。如当前事件最新进展、应急资源使用情况等查询等。</w:t>
      </w:r>
    </w:p>
    <w:p w14:paraId="1E1599D0">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基于行业知识智能问答</w:t>
      </w:r>
    </w:p>
    <w:p w14:paraId="3DBA851F">
      <w:pPr>
        <w:pStyle w:val="15"/>
      </w:pPr>
      <w:r>
        <w:rPr>
          <w:rFonts w:hint="eastAsia"/>
        </w:rPr>
        <w:t>采用智能体+外挂知识库的技术框架，结合历史案例库、应急预案、法律法规、标准规范等私域知识，实现公共安全行业知识智能问答。</w:t>
      </w:r>
    </w:p>
    <w:p w14:paraId="3791D7D2">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知识来源说明</w:t>
      </w:r>
    </w:p>
    <w:p w14:paraId="711159CB">
      <w:pPr>
        <w:pStyle w:val="15"/>
      </w:pPr>
      <w:r>
        <w:rPr>
          <w:rFonts w:hint="eastAsia"/>
        </w:rPr>
        <w:t>当结合大模型和智能体以及外挂知识库，对用户意图识别并进行智能回答后，将附录展示知识来源说明，包括知识库匹配、外网链接等说明，方便用户对知识来源相关段落的查看和信息对比。</w:t>
      </w:r>
    </w:p>
    <w:p w14:paraId="41AEBE07">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智能问数组件</w:t>
      </w:r>
    </w:p>
    <w:p w14:paraId="67BCE0FE">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问数基础能力</w:t>
      </w:r>
    </w:p>
    <w:p w14:paraId="541050EE">
      <w:pPr>
        <w:pStyle w:val="15"/>
      </w:pPr>
      <w:r>
        <w:rPr>
          <w:rFonts w:hint="eastAsia"/>
        </w:rPr>
        <w:t>1.交互式问答</w:t>
      </w:r>
    </w:p>
    <w:p w14:paraId="10FDA071">
      <w:pPr>
        <w:pStyle w:val="15"/>
      </w:pPr>
      <w:r>
        <w:rPr>
          <w:rFonts w:hint="eastAsia"/>
        </w:rPr>
        <w:t>支持基于自然语言的交互式对话模式对数据进行分析，系统通过先进的自然语言处理能力，将用户的指令实时转换为文本提示词，基于大模型解析问题意图和实体，根据训练数据生成候选SQL，验证并优化SQL查询，之后执行查询获取结果，将结果转换为自然语言回答并可视化。</w:t>
      </w:r>
    </w:p>
    <w:p w14:paraId="6D00CAB1">
      <w:pPr>
        <w:pStyle w:val="15"/>
      </w:pPr>
      <w:r>
        <w:rPr>
          <w:rFonts w:hint="eastAsia"/>
        </w:rPr>
        <w:t>2.信息检索增强</w:t>
      </w:r>
    </w:p>
    <w:p w14:paraId="526CD89E">
      <w:pPr>
        <w:pStyle w:val="15"/>
      </w:pPr>
      <w:r>
        <w:rPr>
          <w:rFonts w:hint="eastAsia"/>
        </w:rPr>
        <w:t>AI问数智能体通过引入先进的Agentic-RAG技术，显著提升了对模糊表达和复杂问题的解析能力。RAG应用使得系统能够在面对用户提出的不明确或含糊的查询条件时，不再局限于简单的关键词匹配，而是能够深入挖掘与问题相关的背景信息和潜在意图。系统会基于检索到的丰富信息，从而精准锁定用户的真实需求。这种智能化的处理方式不仅提高了问题解析的准确性，还大大提升了用户体验，确保用户能够快速获取到最贴合需求的答案。</w:t>
      </w:r>
    </w:p>
    <w:p w14:paraId="34BF0A07">
      <w:pPr>
        <w:pStyle w:val="15"/>
      </w:pPr>
      <w:r>
        <w:rPr>
          <w:rFonts w:hint="eastAsia"/>
        </w:rPr>
        <w:t>3.多模态向量数据库</w:t>
      </w:r>
    </w:p>
    <w:p w14:paraId="1FF08636">
      <w:pPr>
        <w:pStyle w:val="15"/>
      </w:pPr>
      <w:r>
        <w:rPr>
          <w:rFonts w:hint="eastAsia"/>
        </w:rPr>
        <w:t>多模态向量数据库，专为处理多模态数据而设计，能够将这些数据向量化并进行高效检索与分析。它</w:t>
      </w:r>
      <w:r>
        <w:rPr>
          <w:rFonts w:hint="eastAsia"/>
          <w:lang w:eastAsia="zh-CN"/>
        </w:rPr>
        <w:t>支持</w:t>
      </w:r>
      <w:r>
        <w:rPr>
          <w:rFonts w:hint="eastAsia"/>
        </w:rPr>
        <w:t>文本非结构化和结构化数据多种数据类型存储，具备高效的向量检索能力，能够快速检索数据并支持实时查询。</w:t>
      </w:r>
    </w:p>
    <w:p w14:paraId="69598D06">
      <w:pPr>
        <w:pStyle w:val="15"/>
        <w:keepNext/>
      </w:pPr>
      <w:r>
        <w:rPr>
          <w:rFonts w:hint="eastAsia"/>
        </w:rPr>
        <w:t>4.自然语言转SQL</w:t>
      </w:r>
    </w:p>
    <w:p w14:paraId="2B83FCFE">
      <w:pPr>
        <w:pStyle w:val="15"/>
      </w:pPr>
      <w:r>
        <w:rPr>
          <w:rFonts w:hint="eastAsia"/>
        </w:rPr>
        <w:t>将用户自然语言问题自动转换为可执行的SQL查询。多数据库支持：支持Mysql、PostgreSQL等多种主流数据库。用户通过自然语言描述的问题，智能问数从知识向量库中通过语义检索出相关的内容，组装进入提示词，通过大语言模型生成SQL查询。</w:t>
      </w:r>
    </w:p>
    <w:p w14:paraId="018D5FA3">
      <w:pPr>
        <w:pStyle w:val="15"/>
      </w:pPr>
      <w:r>
        <w:rPr>
          <w:rFonts w:hint="eastAsia"/>
        </w:rPr>
        <w:t>5.可视化展示</w:t>
      </w:r>
    </w:p>
    <w:p w14:paraId="279AAF02">
      <w:pPr>
        <w:pStyle w:val="15"/>
      </w:pPr>
      <w:r>
        <w:rPr>
          <w:rFonts w:hint="eastAsia"/>
        </w:rPr>
        <w:t>根据查询结果自动选择最可视化形式，并支持对结果进行总结和解读。</w:t>
      </w:r>
    </w:p>
    <w:p w14:paraId="74389B71">
      <w:pPr>
        <w:pStyle w:val="15"/>
      </w:pPr>
      <w:r>
        <w:rPr>
          <w:rFonts w:hint="eastAsia"/>
        </w:rPr>
        <w:t>6.数据导出下载</w:t>
      </w:r>
    </w:p>
    <w:p w14:paraId="3AB040D7">
      <w:pPr>
        <w:pStyle w:val="15"/>
      </w:pPr>
      <w:r>
        <w:rPr>
          <w:rFonts w:hint="eastAsia"/>
        </w:rPr>
        <w:t>支持对查询的结果进行下载到本地，方便用户进一步查看数据详情和分析数据，</w:t>
      </w:r>
    </w:p>
    <w:p w14:paraId="16B440DD">
      <w:pPr>
        <w:pStyle w:val="15"/>
      </w:pPr>
      <w:r>
        <w:rPr>
          <w:rFonts w:hint="eastAsia"/>
        </w:rPr>
        <w:t>7.模型训练</w:t>
      </w:r>
    </w:p>
    <w:p w14:paraId="1C292013">
      <w:pPr>
        <w:pStyle w:val="15"/>
      </w:pPr>
      <w:r>
        <w:rPr>
          <w:rFonts w:hint="eastAsia"/>
        </w:rPr>
        <w:t>AI问数智能体支持整合上下文数据（元数据、数据定义语言DDL、查询等），这些数据被“训练”并嵌入使用，通过加入一个“分类器”层来提高准确性——将包括过去查询在内的最相关上下文发送到任务中，从而显著提高结果的准确性。包括DDL训练、文档训练、SQL训练和批量训练。</w:t>
      </w:r>
    </w:p>
    <w:p w14:paraId="70C03ECF">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紧急医学救援问数数据训练</w:t>
      </w:r>
    </w:p>
    <w:p w14:paraId="1A367719">
      <w:pPr>
        <w:pStyle w:val="15"/>
      </w:pPr>
      <w:r>
        <w:rPr>
          <w:rFonts w:hint="eastAsia"/>
        </w:rPr>
        <w:t>紧急医学救援AI问数通过对紧急医学救援数据进行DDL训练、文档训练、SQL训练和批量训练，构建大模型智能体和专用语料库训练的知识库，为用户提供数据查询、数据分析和数据可视化功能。</w:t>
      </w:r>
    </w:p>
    <w:p w14:paraId="3683C323">
      <w:pPr>
        <w:pStyle w:val="15"/>
      </w:pPr>
      <w:r>
        <w:rPr>
          <w:rFonts w:hint="eastAsia"/>
        </w:rPr>
        <w:t>1.紧急医学救援DDL训练</w:t>
      </w:r>
    </w:p>
    <w:p w14:paraId="77E1F35F">
      <w:pPr>
        <w:pStyle w:val="15"/>
      </w:pPr>
      <w:r>
        <w:rPr>
          <w:rFonts w:hint="eastAsia"/>
        </w:rPr>
        <w:t>通过紧急医学救援数据库模式定义训练模型理解数据结构。解析CREATETABLE语句，提取表关系、字段类型、主外键约束，构建数据库结构的向量库。</w:t>
      </w:r>
    </w:p>
    <w:p w14:paraId="324285AA">
      <w:pPr>
        <w:pStyle w:val="15"/>
      </w:pPr>
      <w:r>
        <w:rPr>
          <w:rFonts w:hint="eastAsia"/>
        </w:rPr>
        <w:t>2.紧急医学救援文档训练</w:t>
      </w:r>
    </w:p>
    <w:p w14:paraId="3D0E91DE">
      <w:pPr>
        <w:pStyle w:val="15"/>
      </w:pPr>
      <w:r>
        <w:rPr>
          <w:rFonts w:hint="eastAsia"/>
        </w:rPr>
        <w:t>通过提取紧急医学救援业务文档来增强模型对特定领域知识的理解，提取PDF、Excel、Word等文档中的知识和业务术语将文档内容向量化存储以便语义检索。</w:t>
      </w:r>
    </w:p>
    <w:p w14:paraId="72FEB395">
      <w:pPr>
        <w:pStyle w:val="15"/>
      </w:pPr>
      <w:r>
        <w:rPr>
          <w:rFonts w:hint="eastAsia"/>
        </w:rPr>
        <w:t>3.紧急医学救援SQL训练</w:t>
      </w:r>
    </w:p>
    <w:p w14:paraId="303C5557">
      <w:pPr>
        <w:pStyle w:val="15"/>
      </w:pPr>
      <w:r>
        <w:rPr>
          <w:rFonts w:hint="eastAsia"/>
        </w:rPr>
        <w:t>通过提供紧急医学救援问答-SQL</w:t>
      </w:r>
      <w:r>
        <w:rPr>
          <w:rFonts w:hint="eastAsia"/>
          <w:lang w:eastAsia="zh-CN"/>
        </w:rPr>
        <w:t>对</w:t>
      </w:r>
      <w:r>
        <w:rPr>
          <w:rFonts w:hint="eastAsia"/>
        </w:rPr>
        <w:t>训练模型生成准确的查询，支持存储问题与对应SQL的映射关系、学习自然语言到SQL的转换模式、优化相似问题的SQL生成。</w:t>
      </w:r>
    </w:p>
    <w:p w14:paraId="15A2A7FA">
      <w:pPr>
        <w:pStyle w:val="15"/>
      </w:pPr>
      <w:r>
        <w:rPr>
          <w:rFonts w:hint="eastAsia"/>
        </w:rPr>
        <w:t>4.紧急医学救援批量训练</w:t>
      </w:r>
    </w:p>
    <w:p w14:paraId="1C12CC3B">
      <w:pPr>
        <w:pStyle w:val="15"/>
        <w:keepNext w:val="0"/>
        <w:keepLines w:val="0"/>
        <w:pageBreakBefore w:val="0"/>
        <w:widowControl w:val="0"/>
        <w:kinsoku/>
        <w:wordWrap/>
        <w:overflowPunct/>
        <w:topLinePunct w:val="0"/>
        <w:autoSpaceDE/>
        <w:autoSpaceDN/>
        <w:bidi w:val="0"/>
        <w:adjustRightInd/>
        <w:snapToGrid/>
        <w:textAlignment w:val="auto"/>
      </w:pPr>
      <w:r>
        <w:rPr>
          <w:rFonts w:hint="eastAsia"/>
        </w:rPr>
        <w:t>自动从紧急医学救援用户交互中学习改进，记录用户修正的SQL语句、分析查询执行反馈、构建新的训练数据、持续优化模型表现。</w:t>
      </w:r>
    </w:p>
    <w:p w14:paraId="1831C5EF">
      <w:pPr>
        <w:pStyle w:val="15"/>
      </w:pPr>
      <w:r>
        <w:rPr>
          <w:rFonts w:hint="eastAsia"/>
        </w:rPr>
        <w:t>5.紧急医学救援数据查询</w:t>
      </w:r>
    </w:p>
    <w:p w14:paraId="488314C6">
      <w:pPr>
        <w:pStyle w:val="15"/>
      </w:pPr>
      <w:r>
        <w:rPr>
          <w:rFonts w:hint="eastAsia"/>
        </w:rPr>
        <w:t>用户可以通过自然语言快速获取紧急医学所需数据，无需复杂的操作。</w:t>
      </w:r>
    </w:p>
    <w:p w14:paraId="67C0DD8C">
      <w:pPr>
        <w:pStyle w:val="15"/>
      </w:pPr>
      <w:r>
        <w:rPr>
          <w:rFonts w:hint="eastAsia"/>
        </w:rPr>
        <w:t>6.紧急医学救援数据分析</w:t>
      </w:r>
    </w:p>
    <w:p w14:paraId="6D003A18">
      <w:pPr>
        <w:pStyle w:val="15"/>
      </w:pPr>
      <w:r>
        <w:rPr>
          <w:rFonts w:hint="eastAsia"/>
        </w:rPr>
        <w:t>能够对紧急医学救援数据进行深入分析，进行数据可视化展示和获取数据分析结果，帮助用户更好地理解数据背后的趋势和规律。</w:t>
      </w:r>
    </w:p>
    <w:p w14:paraId="3CC19CAF">
      <w:pPr>
        <w:pStyle w:val="15"/>
      </w:pPr>
      <w:r>
        <w:rPr>
          <w:rFonts w:hint="eastAsia"/>
        </w:rPr>
        <w:t>7.紧急医学救援数据可视化</w:t>
      </w:r>
    </w:p>
    <w:p w14:paraId="6AA4CA0D">
      <w:pPr>
        <w:pStyle w:val="15"/>
      </w:pPr>
      <w:r>
        <w:rPr>
          <w:rFonts w:hint="eastAsia"/>
        </w:rPr>
        <w:t>将复杂的紧急医学救援数据以直观的图表形式呈现，便于用户解读。</w:t>
      </w:r>
    </w:p>
    <w:p w14:paraId="4EE844D1">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医学救援智能文档生成引擎组件</w:t>
      </w:r>
    </w:p>
    <w:p w14:paraId="3FA4D593">
      <w:pPr>
        <w:pStyle w:val="15"/>
      </w:pPr>
      <w:r>
        <w:t>基于</w:t>
      </w:r>
      <w:r>
        <w:rPr>
          <w:rFonts w:hint="eastAsia"/>
        </w:rPr>
        <w:t>紧急医学救援行业大模型</w:t>
      </w:r>
      <w:r>
        <w:t>，结合对</w:t>
      </w:r>
      <w:r>
        <w:rPr>
          <w:rFonts w:hint="eastAsia"/>
        </w:rPr>
        <w:t>医疗救援</w:t>
      </w:r>
      <w:r>
        <w:t>行业的业务理解，向用户提供</w:t>
      </w:r>
      <w:r>
        <w:rPr>
          <w:rFonts w:hint="eastAsia"/>
        </w:rPr>
        <w:t>行业方案</w:t>
      </w:r>
      <w:r>
        <w:t>生成能力。</w:t>
      </w:r>
    </w:p>
    <w:p w14:paraId="31A24577">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行业方案生成支撑</w:t>
      </w:r>
    </w:p>
    <w:p w14:paraId="394FB0A3">
      <w:pPr>
        <w:pStyle w:val="15"/>
      </w:pPr>
      <w:r>
        <w:rPr>
          <w:rFonts w:hint="eastAsia"/>
        </w:rPr>
        <w:t>满足紧急医学救援场景应用下的方案、报告等各类公文的智能生成需求。通过预设的丰富模板，用户可以快速响应突发事件的分析报告生成，或者在复杂业务场景中高效输出专业的文档内容。例如，针对指挥调度场景，模板生成引擎能够结合资源需求和现状，快速生成精准的调度方案。通过行业智能体的深度学习与自然语言处理能力，模板生成引擎能够理解用户输入的关键信息，并自动填充到预设模板的相应位置，同时优化文本结构和语言表达，确保生成的文档逻辑连贯、内容精准且符合行业规范，极大地提升了文档创作效率和质量。</w:t>
      </w:r>
    </w:p>
    <w:p w14:paraId="41381EDA">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智能组件协同调度</w:t>
      </w:r>
    </w:p>
    <w:p w14:paraId="21046F88">
      <w:pPr>
        <w:pStyle w:val="15"/>
        <w:keepNext w:val="0"/>
        <w:keepLines w:val="0"/>
        <w:pageBreakBefore w:val="0"/>
        <w:widowControl w:val="0"/>
        <w:kinsoku/>
        <w:wordWrap/>
        <w:overflowPunct/>
        <w:topLinePunct w:val="0"/>
        <w:autoSpaceDE/>
        <w:autoSpaceDN/>
        <w:bidi w:val="0"/>
        <w:adjustRightInd/>
        <w:snapToGrid/>
        <w:textAlignment w:val="auto"/>
      </w:pPr>
      <w:r>
        <w:rPr>
          <w:rFonts w:hint="eastAsia"/>
        </w:rPr>
        <w:t>通过高效协同各类智能组件工具，为方案生成提供强大的底层支持。模板生成引擎在接收到用户的模板生成意图后，会精准解析用户需求，随后调度智能体服务。智能体服务作为核心调度中心，能够灵活调用各类智能组件工具，从多源数据中获取相应的数据、知识、图片、音频和视频等资源。这些智能组件工具各自具备专业能力，例如数据处理工具负责收集和分析数据，知识图谱工具提供结构化知识，多媒体工具则负责搜索和处理图片、音频和视频素材。智能体服务将这些组件的输出进行整合优化，最终生成一个内容丰富、逻辑连贯、形式多样的完整方案，满足用户在不同场景下的多样化需求。</w:t>
      </w:r>
    </w:p>
    <w:p w14:paraId="4237822F">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智能交互调度引擎</w:t>
      </w:r>
    </w:p>
    <w:p w14:paraId="668A0D61">
      <w:pPr>
        <w:pStyle w:val="15"/>
      </w:pPr>
      <w:r>
        <w:rPr>
          <w:rFonts w:hint="eastAsia"/>
        </w:rPr>
        <w:t>将语音识别、语义理解、指令解析等基础能力进行能力的提升并进一步的封装成统一接口提供给指挥平台应用。通过意图分析库构建，在大量累积的指挥调度人员在日常保障和战时指挥场景下的指挥指令集中，通过向量提取技术、图谱技术对指挥场景以及上下句指令的关联分析实现语音智能调度。通过指令库构建，大量提取指挥人员在日常管理、应急演练、指挥调度管理中应用需求，以及指挥人员在应用时不同人员的不同说话习惯、不同表达方式转化为统一标准，来提升在调度场景中的语音指令准确率，达到提升语音指令在紧急医学救援行业的实用性，构建紧急医学救援特征，形成具备信息提取与解析、网页自动化浏览、任务自动化调度能力，符合实战指挥需求的智能交互调度服务。</w:t>
      </w:r>
    </w:p>
    <w:p w14:paraId="593026F1">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核心能力封装与接口</w:t>
      </w:r>
    </w:p>
    <w:p w14:paraId="2752CA30">
      <w:pPr>
        <w:pStyle w:val="15"/>
      </w:pPr>
      <w:r>
        <w:t>接收指挥平台应用传来的语音或文本指令，处理后向应用返回结构化的解析结果，确保上层应用能够便捷、稳定地调用底层智能交互功能。</w:t>
      </w:r>
    </w:p>
    <w:p w14:paraId="2E2356B9">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意图分析与场景理解</w:t>
      </w:r>
    </w:p>
    <w:p w14:paraId="1CC2D565">
      <w:pPr>
        <w:pStyle w:val="15"/>
      </w:pPr>
      <w:r>
        <w:t>通过构建意图分析库，专门针对指挥调度场景进行训练和优化。</w:t>
      </w:r>
    </w:p>
    <w:p w14:paraId="79814387">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指令库与标准化</w:t>
      </w:r>
    </w:p>
    <w:p w14:paraId="6F0888F4">
      <w:pPr>
        <w:pStyle w:val="15"/>
      </w:pPr>
      <w:r>
        <w:t>构建指令库，以提升语音指令的准确率和实用性。</w:t>
      </w:r>
    </w:p>
    <w:p w14:paraId="357ADCAC">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自动化调度执行</w:t>
      </w:r>
    </w:p>
    <w:p w14:paraId="457078D8">
      <w:pPr>
        <w:pStyle w:val="15"/>
      </w:pPr>
      <w:r>
        <w:t>将解析后的指令转化为具体的自动化操作，直接驱动相关系统或服务。</w:t>
      </w:r>
    </w:p>
    <w:p w14:paraId="06D8BF74">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bookmarkStart w:id="6" w:name="OLE_LINK10"/>
      <w:bookmarkStart w:id="7" w:name="OLE_LINK9"/>
      <w:r>
        <w:rPr>
          <w:rFonts w:hint="eastAsia"/>
        </w:rPr>
        <w:t>紧急医学救援数字人</w:t>
      </w:r>
    </w:p>
    <w:p w14:paraId="44357578">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信息交互</w:t>
      </w:r>
    </w:p>
    <w:p w14:paraId="51E85C80">
      <w:pPr>
        <w:pStyle w:val="15"/>
      </w:pPr>
      <w:r>
        <w:rPr>
          <w:rFonts w:hint="eastAsia"/>
        </w:rPr>
        <w:t>提供针对不同用户访问和信息推送的权限认证服务、</w:t>
      </w:r>
      <w:r>
        <w:rPr>
          <w:rFonts w:hint="eastAsia"/>
          <w:lang w:eastAsia="zh-CN"/>
        </w:rPr>
        <w:t>接收</w:t>
      </w:r>
      <w:r>
        <w:rPr>
          <w:rFonts w:hint="eastAsia"/>
        </w:rPr>
        <w:t>语音和文本的信息输入服务及通过扫码与大屏终端的交互服务。</w:t>
      </w:r>
    </w:p>
    <w:p w14:paraId="5A318785">
      <w:pPr>
        <w:pStyle w:val="15"/>
      </w:pPr>
      <w:r>
        <w:rPr>
          <w:rFonts w:hint="eastAsia"/>
        </w:rPr>
        <w:t>1.权限认证</w:t>
      </w:r>
    </w:p>
    <w:p w14:paraId="3928DE2C">
      <w:pPr>
        <w:pStyle w:val="15"/>
      </w:pPr>
      <w:r>
        <w:rPr>
          <w:rFonts w:hint="eastAsia"/>
        </w:rPr>
        <w:t>访问权限设置：针对领导、操作员、参观人员等不同角色用户设置访问权限。包括：角色定义、角色识别、终端交互授权、主题访问授权、指令访问授权等，登录时根据身份认证信息对系统功能进行授权访问。</w:t>
      </w:r>
    </w:p>
    <w:p w14:paraId="6FE00431">
      <w:pPr>
        <w:pStyle w:val="15"/>
      </w:pPr>
      <w:r>
        <w:rPr>
          <w:rFonts w:hint="eastAsia"/>
        </w:rPr>
        <w:t>2.语音接入</w:t>
      </w:r>
    </w:p>
    <w:p w14:paraId="000DAD36">
      <w:pPr>
        <w:pStyle w:val="15"/>
      </w:pPr>
      <w:r>
        <w:rPr>
          <w:rFonts w:hint="eastAsia"/>
        </w:rPr>
        <w:t>支持移动端语音输入与大屏语音输出能力。</w:t>
      </w:r>
    </w:p>
    <w:p w14:paraId="27BAA931">
      <w:pPr>
        <w:pStyle w:val="15"/>
      </w:pPr>
      <w:r>
        <w:rPr>
          <w:rFonts w:hint="eastAsia"/>
        </w:rPr>
        <w:t>3.文本接入</w:t>
      </w:r>
    </w:p>
    <w:p w14:paraId="3EF97599">
      <w:pPr>
        <w:pStyle w:val="15"/>
      </w:pPr>
      <w:r>
        <w:rPr>
          <w:rFonts w:hint="eastAsia"/>
        </w:rPr>
        <w:t>支持移动端和大屏双向文本接入能力。</w:t>
      </w:r>
    </w:p>
    <w:p w14:paraId="032149EC">
      <w:pPr>
        <w:pStyle w:val="15"/>
      </w:pPr>
      <w:r>
        <w:rPr>
          <w:rFonts w:hint="eastAsia"/>
        </w:rPr>
        <w:t>4.二维码生成</w:t>
      </w:r>
    </w:p>
    <w:p w14:paraId="2F1DA652">
      <w:pPr>
        <w:pStyle w:val="15"/>
      </w:pPr>
      <w:r>
        <w:rPr>
          <w:rFonts w:hint="eastAsia"/>
        </w:rPr>
        <w:t>提供大屏端二维码动态生成能力，二维码内容由系统识别码+前端token组成，用户通过手机扫码登录小程序方式，建立远程语音控制。</w:t>
      </w:r>
    </w:p>
    <w:p w14:paraId="1F826B7D">
      <w:pPr>
        <w:pStyle w:val="15"/>
      </w:pPr>
      <w:r>
        <w:rPr>
          <w:rFonts w:hint="eastAsia"/>
        </w:rPr>
        <w:t>5.应答信息生成</w:t>
      </w:r>
    </w:p>
    <w:p w14:paraId="696260C4">
      <w:pPr>
        <w:pStyle w:val="15"/>
      </w:pPr>
      <w:r>
        <w:rPr>
          <w:rFonts w:hint="eastAsia"/>
        </w:rPr>
        <w:t>支持文字、图片、表格、文档、网页等多模态应答信息生成。</w:t>
      </w:r>
    </w:p>
    <w:p w14:paraId="7E272E8B">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指令控制</w:t>
      </w:r>
    </w:p>
    <w:p w14:paraId="4031878D">
      <w:pPr>
        <w:pStyle w:val="15"/>
      </w:pPr>
      <w:r>
        <w:rPr>
          <w:rFonts w:hint="eastAsia"/>
        </w:rPr>
        <w:t>提供信息查询、系统操作、资源调度、知识推荐等相关系统服务的接入能力、用户指令创建、接口映射与指令上下文等指令配置服务及用户指令转化为系统操作的解析服务。</w:t>
      </w:r>
    </w:p>
    <w:p w14:paraId="472A0C35">
      <w:pPr>
        <w:pStyle w:val="15"/>
      </w:pPr>
      <w:r>
        <w:rPr>
          <w:rFonts w:hint="eastAsia"/>
        </w:rPr>
        <w:t>1.指令创建</w:t>
      </w:r>
    </w:p>
    <w:p w14:paraId="33231AE1">
      <w:pPr>
        <w:pStyle w:val="15"/>
      </w:pPr>
      <w:r>
        <w:rPr>
          <w:rFonts w:hint="eastAsia"/>
        </w:rPr>
        <w:t>定义信息查询、系统操作、调度、知识推荐等相关指令，包括：指令主题关联的主题、参数定义、提示模板等参数设置。</w:t>
      </w:r>
    </w:p>
    <w:p w14:paraId="64CB0A78">
      <w:pPr>
        <w:pStyle w:val="15"/>
      </w:pPr>
      <w:r>
        <w:rPr>
          <w:rFonts w:hint="eastAsia"/>
        </w:rPr>
        <w:t>2.接口映射</w:t>
      </w:r>
    </w:p>
    <w:p w14:paraId="5C5D8A8A">
      <w:pPr>
        <w:pStyle w:val="15"/>
      </w:pPr>
      <w:r>
        <w:rPr>
          <w:rFonts w:hint="eastAsia"/>
        </w:rPr>
        <w:t>创建的指令需要与系统接口建立映射关系，而系统接口实际执行系统相关操作。</w:t>
      </w:r>
    </w:p>
    <w:p w14:paraId="0B98AE06">
      <w:pPr>
        <w:pStyle w:val="15"/>
        <w:keepNext/>
      </w:pPr>
      <w:r>
        <w:rPr>
          <w:rFonts w:hint="eastAsia"/>
        </w:rPr>
        <w:t>3.服务配置</w:t>
      </w:r>
    </w:p>
    <w:p w14:paraId="7B58C024">
      <w:pPr>
        <w:pStyle w:val="15"/>
      </w:pPr>
      <w:r>
        <w:rPr>
          <w:rFonts w:hint="eastAsia"/>
        </w:rPr>
        <w:t>支持对系统服务接口的注册与管理。</w:t>
      </w:r>
    </w:p>
    <w:p w14:paraId="16D02C7A">
      <w:pPr>
        <w:pStyle w:val="15"/>
      </w:pPr>
      <w:r>
        <w:rPr>
          <w:rFonts w:hint="eastAsia"/>
        </w:rPr>
        <w:t>4.信息查询指令控制</w:t>
      </w:r>
    </w:p>
    <w:p w14:paraId="4B47007D">
      <w:pPr>
        <w:pStyle w:val="15"/>
      </w:pPr>
      <w:r>
        <w:rPr>
          <w:rFonts w:hint="eastAsia"/>
        </w:rPr>
        <w:t>基于指令意图的理解，自动查询数据库或调用预警接口返回用户需要的统计结果，如：某时段的预警事件统计、历史警情、智能报表等信息。</w:t>
      </w:r>
    </w:p>
    <w:p w14:paraId="7DEA8FC7">
      <w:pPr>
        <w:pStyle w:val="15"/>
      </w:pPr>
      <w:r>
        <w:rPr>
          <w:rFonts w:hint="eastAsia"/>
        </w:rPr>
        <w:t>5.系统操作指令控制</w:t>
      </w:r>
    </w:p>
    <w:p w14:paraId="2A9AB35D">
      <w:pPr>
        <w:pStyle w:val="15"/>
      </w:pPr>
      <w:r>
        <w:rPr>
          <w:rFonts w:hint="eastAsia"/>
        </w:rPr>
        <w:t>实现对大屏系统的信息面板控制、地图操作、专题视图切换、功能调用等操作指令的控制。</w:t>
      </w:r>
    </w:p>
    <w:p w14:paraId="0BDFCA2F">
      <w:pPr>
        <w:pStyle w:val="15"/>
      </w:pPr>
      <w:r>
        <w:rPr>
          <w:rFonts w:hint="eastAsia"/>
        </w:rPr>
        <w:t>6.调度指令控制</w:t>
      </w:r>
    </w:p>
    <w:p w14:paraId="235C26EC">
      <w:pPr>
        <w:pStyle w:val="15"/>
      </w:pPr>
      <w:r>
        <w:rPr>
          <w:rFonts w:hint="eastAsia"/>
        </w:rPr>
        <w:t>实现对物资、队伍、专家、风险源、历史事故等资源调度指令的控制。</w:t>
      </w:r>
    </w:p>
    <w:p w14:paraId="214DE7E7">
      <w:pPr>
        <w:pStyle w:val="15"/>
      </w:pPr>
      <w:r>
        <w:rPr>
          <w:rFonts w:hint="eastAsia"/>
        </w:rPr>
        <w:t>7.知识推荐</w:t>
      </w:r>
    </w:p>
    <w:p w14:paraId="44C65D4A">
      <w:pPr>
        <w:pStyle w:val="15"/>
      </w:pPr>
      <w:r>
        <w:rPr>
          <w:rFonts w:hint="eastAsia"/>
        </w:rPr>
        <w:t>提供法律法规、流程制度、处置措施、应急预案、培训材料、事故案例、历史报告等专业知识的智能提取与关联检索功能。</w:t>
      </w:r>
    </w:p>
    <w:p w14:paraId="08F5A798">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AI能力</w:t>
      </w:r>
    </w:p>
    <w:p w14:paraId="532B1F2D">
      <w:pPr>
        <w:pStyle w:val="15"/>
      </w:pPr>
      <w:r>
        <w:rPr>
          <w:rFonts w:hint="eastAsia"/>
        </w:rPr>
        <w:t>提供输入语音转文本、用户意图识别、关键要素自动提取与参数匹配、数字人语音播报、应答信息文本生成等能力。</w:t>
      </w:r>
    </w:p>
    <w:p w14:paraId="3857DA97">
      <w:pPr>
        <w:pStyle w:val="15"/>
      </w:pPr>
      <w:r>
        <w:rPr>
          <w:rFonts w:hint="eastAsia"/>
        </w:rPr>
        <w:t>1.语音识别</w:t>
      </w:r>
    </w:p>
    <w:p w14:paraId="1D699325">
      <w:pPr>
        <w:pStyle w:val="15"/>
      </w:pPr>
      <w:r>
        <w:rPr>
          <w:rFonts w:hint="eastAsia"/>
        </w:rPr>
        <w:t>摆脱生僻字和拼音障碍，使用语音即时转写，标准普通话、略带口音的普通话有效识别，并可根据句意自动纠错、自动断句添加标点，让输入更快捷，沟通交流更顺畅。</w:t>
      </w:r>
    </w:p>
    <w:p w14:paraId="763EC66F">
      <w:pPr>
        <w:pStyle w:val="15"/>
      </w:pPr>
      <w:r>
        <w:rPr>
          <w:rFonts w:hint="eastAsia"/>
        </w:rPr>
        <w:t>2.意图识别</w:t>
      </w:r>
    </w:p>
    <w:p w14:paraId="614F81EA">
      <w:pPr>
        <w:pStyle w:val="15"/>
      </w:pPr>
      <w:r>
        <w:rPr>
          <w:rFonts w:hint="eastAsia"/>
        </w:rPr>
        <w:t>基于大模型的底层能力，对用户输入的文本语义进行识别，可识别指令、文本分类等用户意图。</w:t>
      </w:r>
    </w:p>
    <w:p w14:paraId="4237D5EF">
      <w:pPr>
        <w:pStyle w:val="15"/>
      </w:pPr>
      <w:r>
        <w:rPr>
          <w:rFonts w:hint="eastAsia"/>
        </w:rPr>
        <w:t>3.提示词模板</w:t>
      </w:r>
    </w:p>
    <w:p w14:paraId="73170930">
      <w:pPr>
        <w:pStyle w:val="15"/>
      </w:pPr>
      <w:r>
        <w:rPr>
          <w:rFonts w:hint="eastAsia"/>
        </w:rPr>
        <w:t>内设系统提示词、工具集提示词、智能体路由提示词、ReAct提示词、各类指令输出提示词等多种提示词模板。</w:t>
      </w:r>
    </w:p>
    <w:p w14:paraId="55C86EB2">
      <w:pPr>
        <w:pStyle w:val="15"/>
      </w:pPr>
      <w:r>
        <w:rPr>
          <w:rFonts w:hint="eastAsia"/>
        </w:rPr>
        <w:t>4.关键要素提取</w:t>
      </w:r>
    </w:p>
    <w:p w14:paraId="054B910A">
      <w:pPr>
        <w:pStyle w:val="15"/>
      </w:pPr>
      <w:r>
        <w:rPr>
          <w:rFonts w:hint="eastAsia"/>
        </w:rPr>
        <w:t>基于大模型的底层能力，对识别意图文本进行关键词提取。</w:t>
      </w:r>
    </w:p>
    <w:p w14:paraId="3F07CF1A">
      <w:pPr>
        <w:pStyle w:val="15"/>
        <w:keepNext/>
      </w:pPr>
      <w:r>
        <w:rPr>
          <w:rFonts w:hint="eastAsia"/>
        </w:rPr>
        <w:t>5.参数匹配</w:t>
      </w:r>
    </w:p>
    <w:p w14:paraId="29A0E134">
      <w:pPr>
        <w:pStyle w:val="15"/>
      </w:pPr>
      <w:r>
        <w:rPr>
          <w:rFonts w:hint="eastAsia"/>
        </w:rPr>
        <w:t>提取的关键词与注册的接口参数进行匹配与标准化转换。</w:t>
      </w:r>
    </w:p>
    <w:p w14:paraId="1BEC49AE">
      <w:pPr>
        <w:pStyle w:val="15"/>
      </w:pPr>
      <w:r>
        <w:rPr>
          <w:rFonts w:hint="eastAsia"/>
        </w:rPr>
        <w:t>6.语音合成</w:t>
      </w:r>
    </w:p>
    <w:p w14:paraId="52D35E1E">
      <w:pPr>
        <w:pStyle w:val="15"/>
      </w:pPr>
      <w:r>
        <w:rPr>
          <w:rFonts w:hint="eastAsia"/>
        </w:rPr>
        <w:t>提供旁白</w:t>
      </w:r>
      <w:r>
        <w:rPr>
          <w:rFonts w:hint="eastAsia"/>
          <w:lang w:eastAsia="zh-CN"/>
        </w:rPr>
        <w:t>男声</w:t>
      </w:r>
      <w:r>
        <w:rPr>
          <w:rFonts w:hint="eastAsia"/>
        </w:rPr>
        <w:t>、知识男主播、旁白女声、知识女主播等多种音库的实时语音合成。可对音库语速、音调、音量进行灵活设置，满足个性化需求。</w:t>
      </w:r>
    </w:p>
    <w:p w14:paraId="11CE90CC">
      <w:pPr>
        <w:pStyle w:val="15"/>
      </w:pPr>
      <w:r>
        <w:rPr>
          <w:rFonts w:hint="eastAsia"/>
        </w:rPr>
        <w:t>7.应答信息生成</w:t>
      </w:r>
    </w:p>
    <w:p w14:paraId="3C95AB2A">
      <w:pPr>
        <w:pStyle w:val="15"/>
      </w:pPr>
      <w:r>
        <w:rPr>
          <w:rFonts w:hint="eastAsia"/>
        </w:rPr>
        <w:t>基于大模型与智能体技术，经过上下文记忆存储、提示词解析、智能体路由分析、系统工具识别、工具参数构造、结构化信息生成与自然语言文本总结等自动文本处理过程，最终生成应答信息。</w:t>
      </w:r>
    </w:p>
    <w:p w14:paraId="54D447EB">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数字人管理</w:t>
      </w:r>
    </w:p>
    <w:p w14:paraId="6ED7DE28">
      <w:pPr>
        <w:pStyle w:val="15"/>
      </w:pPr>
      <w:r>
        <w:rPr>
          <w:rFonts w:hint="eastAsia"/>
        </w:rPr>
        <w:t>提供数字人模型的上传、角色定义、数字人模型动画的三维渲染服务。</w:t>
      </w:r>
    </w:p>
    <w:p w14:paraId="6A7291ED">
      <w:pPr>
        <w:pStyle w:val="15"/>
      </w:pPr>
      <w:r>
        <w:rPr>
          <w:rFonts w:hint="eastAsia"/>
        </w:rPr>
        <w:t>1.数字人模型</w:t>
      </w:r>
    </w:p>
    <w:p w14:paraId="4855126E">
      <w:pPr>
        <w:pStyle w:val="15"/>
      </w:pPr>
      <w:r>
        <w:rPr>
          <w:rFonts w:hint="eastAsia"/>
        </w:rPr>
        <w:t>男性数字人主题：制作男性等适于主题场景的数字人角色模型。</w:t>
      </w:r>
    </w:p>
    <w:p w14:paraId="02B0DDEE">
      <w:pPr>
        <w:pStyle w:val="15"/>
      </w:pPr>
      <w:r>
        <w:rPr>
          <w:rFonts w:hint="eastAsia"/>
        </w:rPr>
        <w:t>女性数字人主题：制作女性等适于主题场景的数字人角色模型。</w:t>
      </w:r>
    </w:p>
    <w:p w14:paraId="563EB060">
      <w:pPr>
        <w:pStyle w:val="15"/>
      </w:pPr>
      <w:r>
        <w:rPr>
          <w:rFonts w:hint="eastAsia"/>
        </w:rPr>
        <w:t>正装数字人主题：制作正装等适于主题场景的数字人角色模型。</w:t>
      </w:r>
    </w:p>
    <w:p w14:paraId="3E014691">
      <w:pPr>
        <w:pStyle w:val="15"/>
      </w:pPr>
      <w:r>
        <w:rPr>
          <w:rFonts w:hint="eastAsia"/>
        </w:rPr>
        <w:t>可爱数字人主题：制作可爱等适于主题场景的数字人角色模型。</w:t>
      </w:r>
    </w:p>
    <w:p w14:paraId="51FD0489">
      <w:pPr>
        <w:pStyle w:val="15"/>
      </w:pPr>
      <w:r>
        <w:rPr>
          <w:rFonts w:hint="eastAsia"/>
        </w:rPr>
        <w:t>2.数字人动画</w:t>
      </w:r>
    </w:p>
    <w:p w14:paraId="72A3F021">
      <w:pPr>
        <w:pStyle w:val="15"/>
      </w:pPr>
      <w:r>
        <w:rPr>
          <w:rFonts w:hint="eastAsia"/>
        </w:rPr>
        <w:t>男性数字人动画：制作男性在常态与会话时肢体与表情动画。</w:t>
      </w:r>
    </w:p>
    <w:p w14:paraId="16402591">
      <w:pPr>
        <w:pStyle w:val="15"/>
      </w:pPr>
      <w:r>
        <w:rPr>
          <w:rFonts w:hint="eastAsia"/>
        </w:rPr>
        <w:t>女性数字人动画：制作女性在常态与会话时肢体与表情动画。</w:t>
      </w:r>
    </w:p>
    <w:p w14:paraId="35EDDDA7">
      <w:pPr>
        <w:pStyle w:val="15"/>
      </w:pPr>
      <w:r>
        <w:rPr>
          <w:rFonts w:hint="eastAsia"/>
        </w:rPr>
        <w:t>正装数字人主题：制作正装在常态与会话时肢体与表情动画。</w:t>
      </w:r>
    </w:p>
    <w:p w14:paraId="015D2F6E">
      <w:pPr>
        <w:pStyle w:val="15"/>
      </w:pPr>
      <w:r>
        <w:rPr>
          <w:rFonts w:hint="eastAsia"/>
        </w:rPr>
        <w:t>可爱数字人主题：制作可爱在常态与会话时肢体与表情动画。</w:t>
      </w:r>
    </w:p>
    <w:p w14:paraId="6EF147AE">
      <w:pPr>
        <w:pStyle w:val="15"/>
      </w:pPr>
      <w:r>
        <w:rPr>
          <w:rFonts w:hint="eastAsia"/>
        </w:rPr>
        <w:t>3.数字人角色定义</w:t>
      </w:r>
    </w:p>
    <w:p w14:paraId="3957CB4F">
      <w:pPr>
        <w:pStyle w:val="15"/>
      </w:pPr>
      <w:r>
        <w:rPr>
          <w:rFonts w:hint="eastAsia"/>
        </w:rPr>
        <w:t>针对主题场景定义数字人角色，包括数字人形象图片上传、数字人模型绑定、数字人角色性别设定、数字人声音类型选择、数字人适用场景、数字人系统默认设置等。</w:t>
      </w:r>
    </w:p>
    <w:p w14:paraId="781F66B2">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交互式问答</w:t>
      </w:r>
    </w:p>
    <w:p w14:paraId="67B3A210">
      <w:pPr>
        <w:pStyle w:val="15"/>
      </w:pPr>
      <w:r>
        <w:rPr>
          <w:rFonts w:hint="eastAsia"/>
        </w:rPr>
        <w:t>提供语音、文本两种交互方式并针对用户意图不明确的问题提供追问能力。</w:t>
      </w:r>
    </w:p>
    <w:p w14:paraId="715D3320">
      <w:pPr>
        <w:pStyle w:val="15"/>
        <w:keepNext/>
        <w:keepLines w:val="0"/>
        <w:pageBreakBefore w:val="0"/>
        <w:widowControl/>
        <w:kinsoku/>
        <w:wordWrap/>
        <w:overflowPunct/>
        <w:topLinePunct w:val="0"/>
        <w:autoSpaceDE/>
        <w:autoSpaceDN/>
        <w:bidi w:val="0"/>
        <w:adjustRightInd/>
        <w:snapToGrid/>
        <w:textAlignment w:val="auto"/>
      </w:pPr>
      <w:r>
        <w:rPr>
          <w:rFonts w:hint="eastAsia"/>
        </w:rPr>
        <w:t>1.语音输入</w:t>
      </w:r>
    </w:p>
    <w:p w14:paraId="1F7F415F">
      <w:pPr>
        <w:pStyle w:val="15"/>
      </w:pPr>
      <w:r>
        <w:rPr>
          <w:rFonts w:hint="eastAsia"/>
        </w:rPr>
        <w:t>支持移动端协议解析、网络编码、格式转换、录音存储、异常输入检测、流式处理、录音转文字、文字合成、文字检验。</w:t>
      </w:r>
    </w:p>
    <w:p w14:paraId="6FFB9EF8">
      <w:pPr>
        <w:pStyle w:val="15"/>
      </w:pPr>
      <w:r>
        <w:rPr>
          <w:rFonts w:hint="eastAsia"/>
        </w:rPr>
        <w:t>2.文本输入</w:t>
      </w:r>
    </w:p>
    <w:p w14:paraId="230E788C">
      <w:pPr>
        <w:pStyle w:val="15"/>
      </w:pPr>
      <w:r>
        <w:rPr>
          <w:rFonts w:hint="eastAsia"/>
        </w:rPr>
        <w:t>支持移动端与大屏端，文字信息解析、异常输入检测与流式处理。</w:t>
      </w:r>
    </w:p>
    <w:p w14:paraId="7D334E6D">
      <w:pPr>
        <w:pStyle w:val="15"/>
      </w:pPr>
      <w:r>
        <w:rPr>
          <w:rFonts w:hint="eastAsia"/>
        </w:rPr>
        <w:t>3.交互问答</w:t>
      </w:r>
    </w:p>
    <w:p w14:paraId="345494F3">
      <w:pPr>
        <w:pStyle w:val="15"/>
      </w:pPr>
      <w:r>
        <w:rPr>
          <w:rFonts w:hint="eastAsia"/>
        </w:rPr>
        <w:t>支持移动端与大屏端对不完整指令、指令参数缺失、参数格式不匹配等意图不明确的问题提供追问提醒。</w:t>
      </w:r>
    </w:p>
    <w:p w14:paraId="2BE2F0BE">
      <w:pPr>
        <w:pStyle w:val="15"/>
      </w:pPr>
      <w:r>
        <w:rPr>
          <w:rFonts w:hint="eastAsia"/>
        </w:rPr>
        <w:t>4.数字人响应</w:t>
      </w:r>
    </w:p>
    <w:p w14:paraId="3C3A60EC">
      <w:pPr>
        <w:pStyle w:val="15"/>
      </w:pPr>
      <w:r>
        <w:rPr>
          <w:rFonts w:hint="eastAsia"/>
        </w:rPr>
        <w:t>数字人识别大模型生成的应答信息与主题场景信息自动响应表情与肢体动画。基于信息长度控制播报语速保持与文字显示同步。</w:t>
      </w:r>
    </w:p>
    <w:p w14:paraId="26A5048B">
      <w:pPr>
        <w:pStyle w:val="15"/>
      </w:pPr>
      <w:r>
        <w:rPr>
          <w:rFonts w:hint="eastAsia"/>
        </w:rPr>
        <w:t>5.应答信息多端同步</w:t>
      </w:r>
    </w:p>
    <w:p w14:paraId="23AC14ED">
      <w:pPr>
        <w:pStyle w:val="15"/>
      </w:pPr>
      <w:r>
        <w:rPr>
          <w:rFonts w:hint="eastAsia"/>
        </w:rPr>
        <w:t>实现大模型生成的应答信息流式处理并在大屏端与移动端同步控制。</w:t>
      </w:r>
    </w:p>
    <w:p w14:paraId="1BAB8611">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主题管理</w:t>
      </w:r>
    </w:p>
    <w:p w14:paraId="1E42F5F9">
      <w:pPr>
        <w:pStyle w:val="15"/>
      </w:pPr>
      <w:r>
        <w:rPr>
          <w:rFonts w:hint="eastAsia"/>
        </w:rPr>
        <w:t>1.信息查询主题</w:t>
      </w:r>
    </w:p>
    <w:p w14:paraId="09E302FD">
      <w:pPr>
        <w:pStyle w:val="15"/>
      </w:pPr>
      <w:r>
        <w:rPr>
          <w:rFonts w:hint="eastAsia"/>
        </w:rPr>
        <w:t>对应急资源、预警信息、事件信息、区域查询、时序查询、信息统计等相关话题定义主题，主题场景提供标准问题样例供用户快速选择并获得精准结果。</w:t>
      </w:r>
    </w:p>
    <w:p w14:paraId="64F659DB">
      <w:pPr>
        <w:pStyle w:val="15"/>
      </w:pPr>
      <w:r>
        <w:rPr>
          <w:rFonts w:hint="eastAsia"/>
        </w:rPr>
        <w:t>2.资源调度主题</w:t>
      </w:r>
    </w:p>
    <w:p w14:paraId="59E21E5E">
      <w:pPr>
        <w:pStyle w:val="15"/>
      </w:pPr>
      <w:r>
        <w:rPr>
          <w:rFonts w:hint="eastAsia"/>
        </w:rPr>
        <w:t>对物资、队伍、专家、历史事故等应急相关话题定义主题，主题场景提供标准问题样例供用户快速选择并获得精准结果。</w:t>
      </w:r>
    </w:p>
    <w:p w14:paraId="52B3E6FF">
      <w:pPr>
        <w:pStyle w:val="15"/>
      </w:pPr>
      <w:r>
        <w:rPr>
          <w:rFonts w:hint="eastAsia"/>
        </w:rPr>
        <w:t>3.系统操作主题</w:t>
      </w:r>
    </w:p>
    <w:p w14:paraId="5AB19F39">
      <w:pPr>
        <w:pStyle w:val="15"/>
      </w:pPr>
      <w:r>
        <w:rPr>
          <w:rFonts w:hint="eastAsia"/>
        </w:rPr>
        <w:t>对大屏的信息面板控制、专题视图切换、地图操作、功能调用等相关系统操作定义主题，主题场景提供标准问题样例供用户快速选择并获得精准结果。</w:t>
      </w:r>
    </w:p>
    <w:p w14:paraId="6B363EB2">
      <w:pPr>
        <w:pStyle w:val="15"/>
      </w:pPr>
      <w:r>
        <w:rPr>
          <w:rFonts w:hint="eastAsia"/>
        </w:rPr>
        <w:t>4.知识库主题</w:t>
      </w:r>
    </w:p>
    <w:p w14:paraId="1B102F92">
      <w:pPr>
        <w:pStyle w:val="15"/>
      </w:pPr>
      <w:r>
        <w:rPr>
          <w:rFonts w:hint="eastAsia"/>
        </w:rPr>
        <w:t>对法律法规、流程制度、处置措施、应急预案、事故案例、培训材料、历史报告等相关话题定义主题，主题场景提供标准问题样例供用户快速选择并获得精准结果。</w:t>
      </w:r>
    </w:p>
    <w:p w14:paraId="56FDC616">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会话管理</w:t>
      </w:r>
    </w:p>
    <w:p w14:paraId="60A50FDC">
      <w:pPr>
        <w:pStyle w:val="15"/>
      </w:pPr>
      <w:r>
        <w:rPr>
          <w:rFonts w:hint="eastAsia"/>
        </w:rPr>
        <w:t>会话管理支持会话记录的创建、历史查询、信息统计等功能。</w:t>
      </w:r>
    </w:p>
    <w:p w14:paraId="375E4AE8">
      <w:pPr>
        <w:pStyle w:val="15"/>
      </w:pPr>
      <w:r>
        <w:rPr>
          <w:rFonts w:hint="eastAsia"/>
        </w:rPr>
        <w:t>1.会话记录</w:t>
      </w:r>
    </w:p>
    <w:p w14:paraId="376C73E8">
      <w:pPr>
        <w:pStyle w:val="15"/>
      </w:pPr>
      <w:r>
        <w:rPr>
          <w:rFonts w:hint="eastAsia"/>
        </w:rPr>
        <w:t>支持实时记录会话时间、用户问题、关联主题、关联指令、提问用户、应答信息、应答信息点赞、应答信息差评等会话信息。</w:t>
      </w:r>
    </w:p>
    <w:p w14:paraId="56A76C03">
      <w:pPr>
        <w:pStyle w:val="15"/>
      </w:pPr>
      <w:r>
        <w:rPr>
          <w:rFonts w:hint="eastAsia"/>
        </w:rPr>
        <w:t>2.会话查询</w:t>
      </w:r>
    </w:p>
    <w:p w14:paraId="6FE79C08">
      <w:pPr>
        <w:pStyle w:val="15"/>
      </w:pPr>
      <w:r>
        <w:rPr>
          <w:rFonts w:hint="eastAsia"/>
        </w:rPr>
        <w:t>支持基于关键词、主题、指令、点赞、差评等多条件查询会话历史信息的查询。</w:t>
      </w:r>
    </w:p>
    <w:p w14:paraId="2359E328">
      <w:pPr>
        <w:pStyle w:val="15"/>
      </w:pPr>
      <w:r>
        <w:rPr>
          <w:rFonts w:hint="eastAsia"/>
        </w:rPr>
        <w:t>3.会话信息统计</w:t>
      </w:r>
    </w:p>
    <w:p w14:paraId="4A6C3FEF">
      <w:pPr>
        <w:pStyle w:val="15"/>
      </w:pPr>
      <w:r>
        <w:rPr>
          <w:rFonts w:hint="eastAsia"/>
        </w:rPr>
        <w:t>支持近一周/一个月/三个月或任意指定时间区间，提供按主题、指令、用户、应答效果等多种维度统计会话信息。</w:t>
      </w:r>
    </w:p>
    <w:p w14:paraId="35DD9BD3">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信息呈现</w:t>
      </w:r>
    </w:p>
    <w:p w14:paraId="11AFCBFD">
      <w:pPr>
        <w:pStyle w:val="15"/>
      </w:pPr>
      <w:r>
        <w:rPr>
          <w:rFonts w:hint="eastAsia"/>
        </w:rPr>
        <w:t>提供文本、语音、文档、图表、网页连接等应答信息的综合展示功能。</w:t>
      </w:r>
    </w:p>
    <w:p w14:paraId="203176B0">
      <w:pPr>
        <w:pStyle w:val="15"/>
      </w:pPr>
      <w:r>
        <w:rPr>
          <w:rFonts w:hint="eastAsia"/>
        </w:rPr>
        <w:t>1.文本信息呈现</w:t>
      </w:r>
    </w:p>
    <w:p w14:paraId="24A3063F">
      <w:pPr>
        <w:pStyle w:val="15"/>
      </w:pPr>
      <w:r>
        <w:rPr>
          <w:rFonts w:hint="eastAsia"/>
        </w:rPr>
        <w:t>支持移动端、大屏对输入和应答文本进行可视化呈现。</w:t>
      </w:r>
    </w:p>
    <w:p w14:paraId="1D335D3B">
      <w:pPr>
        <w:pStyle w:val="15"/>
      </w:pPr>
      <w:r>
        <w:rPr>
          <w:rFonts w:hint="eastAsia"/>
        </w:rPr>
        <w:t>2.语音信息呈现</w:t>
      </w:r>
    </w:p>
    <w:p w14:paraId="568C58B4">
      <w:pPr>
        <w:pStyle w:val="15"/>
      </w:pPr>
      <w:r>
        <w:rPr>
          <w:rFonts w:hint="eastAsia"/>
        </w:rPr>
        <w:t>支持移动端语音回放与语音实时转写功能。</w:t>
      </w:r>
    </w:p>
    <w:p w14:paraId="6133DB0A">
      <w:pPr>
        <w:pStyle w:val="15"/>
      </w:pPr>
      <w:r>
        <w:rPr>
          <w:rFonts w:hint="eastAsia"/>
        </w:rPr>
        <w:t>3.图表信息呈现</w:t>
      </w:r>
    </w:p>
    <w:p w14:paraId="1D66ECD2">
      <w:pPr>
        <w:pStyle w:val="15"/>
      </w:pPr>
      <w:r>
        <w:rPr>
          <w:rFonts w:hint="eastAsia"/>
        </w:rPr>
        <w:t>支持对应急资源、事件等信息统计图表的动态生成与展示。</w:t>
      </w:r>
    </w:p>
    <w:p w14:paraId="1097F422">
      <w:pPr>
        <w:pStyle w:val="15"/>
      </w:pPr>
      <w:r>
        <w:rPr>
          <w:rFonts w:hint="eastAsia"/>
        </w:rPr>
        <w:t>4.文档链接</w:t>
      </w:r>
    </w:p>
    <w:p w14:paraId="307D668A">
      <w:pPr>
        <w:pStyle w:val="15"/>
      </w:pPr>
      <w:r>
        <w:rPr>
          <w:rFonts w:hint="eastAsia"/>
        </w:rPr>
        <w:t>支持知识文档的匹配关联与在线预览、下载。</w:t>
      </w:r>
    </w:p>
    <w:p w14:paraId="55D379B9">
      <w:pPr>
        <w:pStyle w:val="15"/>
      </w:pPr>
      <w:r>
        <w:rPr>
          <w:rFonts w:hint="eastAsia"/>
        </w:rPr>
        <w:t>5.网页链接</w:t>
      </w:r>
    </w:p>
    <w:p w14:paraId="2CF193E3">
      <w:pPr>
        <w:pStyle w:val="15"/>
      </w:pPr>
      <w:r>
        <w:rPr>
          <w:rFonts w:hint="eastAsia"/>
        </w:rPr>
        <w:t>支持相关网站的匹配关联与在线预览。</w:t>
      </w:r>
    </w:p>
    <w:p w14:paraId="4AC33199">
      <w:pPr>
        <w:pStyle w:val="15"/>
      </w:pPr>
      <w:r>
        <w:rPr>
          <w:rFonts w:hint="eastAsia"/>
        </w:rPr>
        <w:t>6.系统交互展示</w:t>
      </w:r>
    </w:p>
    <w:p w14:paraId="3D529505">
      <w:pPr>
        <w:pStyle w:val="15"/>
      </w:pPr>
      <w:r>
        <w:rPr>
          <w:rFonts w:hint="eastAsia"/>
        </w:rPr>
        <w:t>支持信息面板控制、专题视图切换、地图操作、功能调用等系统互动展示。</w:t>
      </w:r>
    </w:p>
    <w:p w14:paraId="242BC3E0">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终端应用-语音指令交互系统</w:t>
      </w:r>
    </w:p>
    <w:p w14:paraId="3E0620CC">
      <w:pPr>
        <w:pStyle w:val="15"/>
      </w:pPr>
      <w:r>
        <w:rPr>
          <w:rFonts w:hint="eastAsia"/>
        </w:rPr>
        <w:t>支持扫码登录，语音及文本指令输入，指令解析、</w:t>
      </w:r>
      <w:r>
        <w:rPr>
          <w:rFonts w:hint="eastAsia"/>
          <w:lang w:eastAsia="zh-CN"/>
        </w:rPr>
        <w:t>远程</w:t>
      </w:r>
      <w:r>
        <w:rPr>
          <w:rFonts w:hint="eastAsia"/>
        </w:rPr>
        <w:t>指令控制及信息呈现。</w:t>
      </w:r>
    </w:p>
    <w:p w14:paraId="0C250356">
      <w:pPr>
        <w:pStyle w:val="15"/>
        <w:keepNext/>
      </w:pPr>
      <w:r>
        <w:rPr>
          <w:rFonts w:hint="eastAsia"/>
        </w:rPr>
        <w:t>1.扫码登录</w:t>
      </w:r>
    </w:p>
    <w:p w14:paraId="02FDA9D3">
      <w:pPr>
        <w:pStyle w:val="15"/>
      </w:pPr>
      <w:r>
        <w:rPr>
          <w:rFonts w:hint="eastAsia"/>
        </w:rPr>
        <w:t>手机通过扫描大屏二维码通过用户授权登录语音指令交互小程序。</w:t>
      </w:r>
    </w:p>
    <w:p w14:paraId="5868C43D">
      <w:pPr>
        <w:pStyle w:val="15"/>
      </w:pPr>
      <w:r>
        <w:rPr>
          <w:rFonts w:hint="eastAsia"/>
        </w:rPr>
        <w:t>2.语音输入</w:t>
      </w:r>
    </w:p>
    <w:p w14:paraId="463D4808">
      <w:pPr>
        <w:pStyle w:val="15"/>
      </w:pPr>
      <w:r>
        <w:rPr>
          <w:rFonts w:hint="eastAsia"/>
        </w:rPr>
        <w:t>提供语音输入提示、语音输入解析、语音实时转写、音频流式处理等功能。</w:t>
      </w:r>
    </w:p>
    <w:p w14:paraId="38012CA7">
      <w:pPr>
        <w:pStyle w:val="15"/>
      </w:pPr>
      <w:r>
        <w:rPr>
          <w:rFonts w:hint="eastAsia"/>
        </w:rPr>
        <w:t>3.文本输入</w:t>
      </w:r>
    </w:p>
    <w:p w14:paraId="201AE307">
      <w:pPr>
        <w:pStyle w:val="15"/>
      </w:pPr>
      <w:r>
        <w:rPr>
          <w:rFonts w:hint="eastAsia"/>
        </w:rPr>
        <w:t>提供文本信息输入。</w:t>
      </w:r>
    </w:p>
    <w:p w14:paraId="42844DA6">
      <w:pPr>
        <w:pStyle w:val="15"/>
      </w:pPr>
      <w:r>
        <w:rPr>
          <w:rFonts w:hint="eastAsia"/>
        </w:rPr>
        <w:t>4.指令输入助手</w:t>
      </w:r>
    </w:p>
    <w:p w14:paraId="68A3A56E">
      <w:pPr>
        <w:pStyle w:val="15"/>
      </w:pPr>
      <w:r>
        <w:rPr>
          <w:rFonts w:hint="eastAsia"/>
        </w:rPr>
        <w:t>提供各类主题推荐问题选择、指令输入规范、示例及操作流程说明。</w:t>
      </w:r>
    </w:p>
    <w:p w14:paraId="690E5BC7">
      <w:pPr>
        <w:pStyle w:val="15"/>
      </w:pPr>
      <w:r>
        <w:rPr>
          <w:rFonts w:hint="eastAsia"/>
        </w:rPr>
        <w:t>5.指令解析</w:t>
      </w:r>
    </w:p>
    <w:p w14:paraId="66E3D3EE">
      <w:pPr>
        <w:pStyle w:val="15"/>
      </w:pPr>
      <w:r>
        <w:rPr>
          <w:rFonts w:hint="eastAsia"/>
        </w:rPr>
        <w:t>识别的用户指令需经过解析、匹配、转换变为系统可执行的操作指令。</w:t>
      </w:r>
    </w:p>
    <w:p w14:paraId="4D464E37">
      <w:pPr>
        <w:pStyle w:val="15"/>
      </w:pPr>
      <w:r>
        <w:rPr>
          <w:rFonts w:hint="eastAsia"/>
        </w:rPr>
        <w:t>6.远程指令控制</w:t>
      </w:r>
    </w:p>
    <w:p w14:paraId="1D337E62">
      <w:pPr>
        <w:pStyle w:val="15"/>
      </w:pPr>
      <w:r>
        <w:rPr>
          <w:rFonts w:hint="eastAsia"/>
        </w:rPr>
        <w:t>基于消息中间件实现移动端到大屏端的同步或异步指令调用。</w:t>
      </w:r>
    </w:p>
    <w:p w14:paraId="5B842661">
      <w:pPr>
        <w:pStyle w:val="15"/>
      </w:pPr>
      <w:r>
        <w:rPr>
          <w:rFonts w:hint="eastAsia"/>
        </w:rPr>
        <w:t>7.信息交互展示</w:t>
      </w:r>
    </w:p>
    <w:p w14:paraId="77C13A97">
      <w:pPr>
        <w:pStyle w:val="15"/>
      </w:pPr>
      <w:r>
        <w:rPr>
          <w:rFonts w:hint="eastAsia"/>
        </w:rPr>
        <w:t>移动端为文本、语音等信息的交互展示。</w:t>
      </w:r>
    </w:p>
    <w:p w14:paraId="4AF1AD83">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终端应用-大屏数字人</w:t>
      </w:r>
    </w:p>
    <w:p w14:paraId="349A61C4">
      <w:pPr>
        <w:pStyle w:val="15"/>
      </w:pPr>
      <w:r>
        <w:rPr>
          <w:rFonts w:hint="eastAsia"/>
        </w:rPr>
        <w:t>以语音会话的交互方式实现系统大屏场景无接触控制及数据精准调取、查询，并通过语音高效指挥调度多方人员、物资、设施等资源进行联动指挥。</w:t>
      </w:r>
    </w:p>
    <w:p w14:paraId="21A57A9D">
      <w:pPr>
        <w:pStyle w:val="15"/>
      </w:pPr>
      <w:r>
        <w:rPr>
          <w:rFonts w:hint="eastAsia"/>
        </w:rPr>
        <w:t>1.数字人展示</w:t>
      </w:r>
    </w:p>
    <w:p w14:paraId="645DADC7">
      <w:pPr>
        <w:pStyle w:val="15"/>
      </w:pPr>
      <w:r>
        <w:rPr>
          <w:rFonts w:hint="eastAsia"/>
        </w:rPr>
        <w:t>数字人模型三维加载、渲染、常态与会话状态下的动画展示，数字人作为全局浮动窗口可在大屏端的任何主题页面上可视化展示并支持任意拖动。</w:t>
      </w:r>
    </w:p>
    <w:p w14:paraId="78E095D6">
      <w:pPr>
        <w:pStyle w:val="15"/>
      </w:pPr>
      <w:r>
        <w:rPr>
          <w:rFonts w:hint="eastAsia"/>
        </w:rPr>
        <w:t>2.数字人前端设置</w:t>
      </w:r>
    </w:p>
    <w:p w14:paraId="5AE13E2F">
      <w:pPr>
        <w:pStyle w:val="15"/>
      </w:pPr>
      <w:r>
        <w:rPr>
          <w:rFonts w:hint="eastAsia"/>
        </w:rPr>
        <w:t>用户可依据实际展示效果随时更改数字人形象、播报声音选择并替换系统默认设置。</w:t>
      </w:r>
    </w:p>
    <w:p w14:paraId="0E1B6C44">
      <w:pPr>
        <w:pStyle w:val="15"/>
      </w:pPr>
      <w:r>
        <w:rPr>
          <w:rFonts w:hint="eastAsia"/>
        </w:rPr>
        <w:t>3.会话窗口</w:t>
      </w:r>
    </w:p>
    <w:p w14:paraId="4D15225A">
      <w:pPr>
        <w:pStyle w:val="15"/>
      </w:pPr>
      <w:r>
        <w:rPr>
          <w:rFonts w:hint="eastAsia"/>
        </w:rPr>
        <w:t>用户可随时开启会话窗口，会话窗口提供主题选择、信息交互展示、文本输入、新建会话、二维码展示、会话辅助等功能，其中主题选择，切换主题展示主题推荐问题，用户点击推荐问题可快速实现应答。信息交互展示，提供文本、图表、文档等信息要素的综合展示。新建会话，开启新一轮会话。二维码展示，手机端通过扫码大屏的二维码可随时登录语音指令交互小程序，通过语音输入实现与系统大屏场景无接触交互控制。会话辅助，提供点赞、差评、历史信息语音回放等辅助功能。</w:t>
      </w:r>
    </w:p>
    <w:bookmarkEnd w:id="6"/>
    <w:bookmarkEnd w:id="7"/>
    <w:p w14:paraId="3ED3B2A2">
      <w:pPr>
        <w:pStyle w:val="7"/>
        <w:keepNext/>
        <w:keepLines/>
        <w:pageBreakBefore w:val="0"/>
        <w:widowControl w:val="0"/>
        <w:kinsoku/>
        <w:wordWrap/>
        <w:overflowPunct/>
        <w:topLinePunct w:val="0"/>
        <w:autoSpaceDE/>
        <w:autoSpaceDN/>
        <w:bidi w:val="0"/>
        <w:adjustRightInd w:val="0"/>
        <w:snapToGrid w:val="0"/>
        <w:spacing w:before="240" w:after="240"/>
        <w:textAlignment w:val="auto"/>
        <w:outlineLvl w:val="2"/>
        <w:rPr>
          <w:rFonts w:hint="eastAsia"/>
        </w:rPr>
      </w:pPr>
      <w:bookmarkStart w:id="8" w:name="OLE_LINK14"/>
      <w:r>
        <w:rPr>
          <w:rFonts w:hint="eastAsia"/>
        </w:rPr>
        <w:t>紧急医学救援</w:t>
      </w:r>
      <w:bookmarkEnd w:id="8"/>
      <w:r>
        <w:rPr>
          <w:rFonts w:hint="eastAsia"/>
        </w:rPr>
        <w:t>专业模型</w:t>
      </w:r>
    </w:p>
    <w:p w14:paraId="5A78C5D2">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预案知识抽取模型</w:t>
      </w:r>
    </w:p>
    <w:p w14:paraId="6649E260">
      <w:pPr>
        <w:pStyle w:val="15"/>
      </w:pPr>
      <w:r>
        <w:rPr>
          <w:rFonts w:hint="eastAsia"/>
        </w:rPr>
        <w:t>预案知识抽取模型基于预案文件管理中的大量预案文本，包括国家、省、市、</w:t>
      </w:r>
      <w:r>
        <w:rPr>
          <w:rFonts w:hint="eastAsia"/>
          <w:lang w:eastAsia="zh-CN"/>
        </w:rPr>
        <w:t>县</w:t>
      </w:r>
      <w:r>
        <w:rPr>
          <w:rFonts w:hint="eastAsia"/>
        </w:rPr>
        <w:t>突发事件总体预案、医疗应急专项预案、卫健体系相关部门预案、卫生应急队伍预案的等预案文本，对各预案文本关键信息进行自动化抽取，输出结构化文本并匹配到预案数字化中，为预案数字化提供智能支撑。主要包括预案要素抽取、预案响应条件抽取、应急响应条件抽取、应急响应条件抽取、应急响应措施抽取、组织指挥体系抽取。</w:t>
      </w:r>
    </w:p>
    <w:p w14:paraId="3B7E7BF4">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预案要素抽取</w:t>
      </w:r>
    </w:p>
    <w:p w14:paraId="7E661BE0">
      <w:pPr>
        <w:pStyle w:val="15"/>
      </w:pPr>
      <w:r>
        <w:rPr>
          <w:rFonts w:hint="eastAsia"/>
        </w:rPr>
        <w:t>预案要素抽取，为识别和提取应急预案中的关键属性信息提供支撑。抽取模型快速解析预案文本，精准定位并提取诸如预案级别（如国家级、省级、市级、县级等）、预案类型（如自然灾害类、事故灾难类、公共卫生事件类、社会安全事件类等）、适用范围（如特定区域等）等核心要素，并对提取结果进行结构化整理和分类存储，为后续的预案管理和应用提供有力支持，从而为应急预案的精细化管理和高效应用奠定坚实基础。</w:t>
      </w:r>
    </w:p>
    <w:p w14:paraId="2E485138">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预警响应条件抽取</w:t>
      </w:r>
    </w:p>
    <w:p w14:paraId="27609A1A">
      <w:pPr>
        <w:pStyle w:val="15"/>
      </w:pPr>
      <w:r>
        <w:rPr>
          <w:rFonts w:hint="eastAsia"/>
        </w:rPr>
        <w:t>预案预警响应条件抽取，为识别和提取应急预案中的预警响应条件抽取提供支撑。抽取模型快速解析预案文本，精准定位并提取预警响应分类或分级条件等核心要素，并对提取结果进行结构化整理和分类存储，为后续的预案管理和应用提供有力支持，从而为应急预案的精细化管理和高效应用奠定坚实基础。</w:t>
      </w:r>
    </w:p>
    <w:p w14:paraId="4004993C">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应急响应条件抽取</w:t>
      </w:r>
    </w:p>
    <w:p w14:paraId="0B7758B5">
      <w:pPr>
        <w:pStyle w:val="15"/>
      </w:pPr>
      <w:r>
        <w:rPr>
          <w:rFonts w:hint="eastAsia"/>
        </w:rPr>
        <w:t>预案应急响应条件抽取，为识别和提取应急预案中的应急响应条件抽取提供支撑。抽取模型快速解析预案文本，精准定位并提取应急响应一至四级响应启动条件等核心要素，并对提取结果进行结构化整理和分类存储，为后续的预案管理和应用提供有力支持，从而为应急预案的精细化管理和高效应用奠定坚实基础。</w:t>
      </w:r>
    </w:p>
    <w:p w14:paraId="7C92DD49">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预警响应措施抽取</w:t>
      </w:r>
    </w:p>
    <w:p w14:paraId="294028F1">
      <w:pPr>
        <w:pStyle w:val="15"/>
      </w:pPr>
      <w:r>
        <w:rPr>
          <w:rFonts w:hint="eastAsia"/>
        </w:rPr>
        <w:t>预案预警响应措施抽取模型，为识别和提取应急预案中的预警响应措施抽取提供支撑。抽取模型快速解析预案文本，精准定位并提取分类或分级预警响应措施等核心要素，并对提取结果进行结构化整理和分类存储，为后续的预案管理和应用提供有力支持，从而为应急预案的精细化管理和高效应用奠定坚实基础。</w:t>
      </w:r>
    </w:p>
    <w:p w14:paraId="1D6F5CED">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应急响应措施抽取</w:t>
      </w:r>
    </w:p>
    <w:p w14:paraId="544CAC7D">
      <w:pPr>
        <w:pStyle w:val="15"/>
      </w:pPr>
      <w:r>
        <w:rPr>
          <w:rFonts w:hint="eastAsia"/>
        </w:rPr>
        <w:t>预案应急响应措施抽取，为识别和提取应急预案中的应急响应措施抽取提供支撑。抽取模型快速解析预案文本，精准定位并提取一至四级应急响应措施等核心要素，并对提取结果进行结构化整理和分类存储，为后续的预案管理和应用提供有力支持，从而为应急预案的精细化管理和高效应用奠定坚实基础。</w:t>
      </w:r>
    </w:p>
    <w:p w14:paraId="1C8220B0">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单位职责抽取</w:t>
      </w:r>
    </w:p>
    <w:p w14:paraId="472CBB48">
      <w:pPr>
        <w:pStyle w:val="15"/>
      </w:pPr>
      <w:r>
        <w:rPr>
          <w:rFonts w:hint="eastAsia"/>
        </w:rPr>
        <w:t>单位职责抽取模型，为识别和提取应急预案中的预警响应措施和应急响应措施中涉及的单位职责抽取提供支撑。抽取模型快速解析预案文本，精准定位并提取预警和应急响应措施中涉及的单位措施等核心要素，并对提取结果进行结构化整理和分类存储，为后续的预案管理和应用提供有力支持，从而为应急预案的精细化管理和高效应用奠定坚实基础。</w:t>
      </w:r>
    </w:p>
    <w:p w14:paraId="1A198D9A">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组织指挥体系抽取</w:t>
      </w:r>
    </w:p>
    <w:p w14:paraId="615A1B9E">
      <w:pPr>
        <w:pStyle w:val="15"/>
      </w:pPr>
      <w:r>
        <w:rPr>
          <w:rFonts w:hint="eastAsia"/>
        </w:rPr>
        <w:t>组织指挥体系抽取模型，为识别和提取应急预案中的组织指挥体系提供支撑。抽取模型快速解析预案文本，精准定位并提取诸如指挥部、办公室、工作组、成员单位等核心要素，并对提取结果进行结构化整理和分类存储，为后续的预案管理和应用提供有力支持，从而为应急预案的精细化管理和高效应用奠定坚实基础。</w:t>
      </w:r>
    </w:p>
    <w:p w14:paraId="58E271F6">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预案智能推荐模型</w:t>
      </w:r>
    </w:p>
    <w:p w14:paraId="023AC3FC">
      <w:pPr>
        <w:pStyle w:val="15"/>
      </w:pPr>
      <w:r>
        <w:rPr>
          <w:rFonts w:hint="eastAsia"/>
        </w:rPr>
        <w:t>基于数字化预案库，针对不同灾害事故的上报的灾情信息、人员伤亡信息、历史案例信息等，实现应急预案的匹配、预案响应级别的推荐、响应措施推荐、指挥体系本地化智能推荐。</w:t>
      </w:r>
    </w:p>
    <w:p w14:paraId="237D5751">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应急预案智能匹配推荐</w:t>
      </w:r>
    </w:p>
    <w:p w14:paraId="1A8B7DD2">
      <w:pPr>
        <w:pStyle w:val="15"/>
      </w:pPr>
      <w:r>
        <w:rPr>
          <w:rFonts w:hint="eastAsia"/>
        </w:rPr>
        <w:t>基于各类灾害事件的专项预案响应分析模型，结合实时数据与事件信息接报数据，基于大模型和知识图谱技术，对灾害事件进行分析研判。模型能够智能匹配并推荐适配的应急预案，并通过知识图谱数据链路分析，快速定位决策依据，为应急指挥提供科学、高效的决策支持，提升灾害应对的科学性和精准性。</w:t>
      </w:r>
    </w:p>
    <w:p w14:paraId="74669F07">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响应级别智能推荐</w:t>
      </w:r>
    </w:p>
    <w:p w14:paraId="1FEFC329">
      <w:pPr>
        <w:pStyle w:val="15"/>
      </w:pPr>
      <w:r>
        <w:rPr>
          <w:rFonts w:hint="eastAsia"/>
        </w:rPr>
        <w:t>基于预案响应分析模型和应急预案智能推荐模型，系统基于多源数据整合的实时分析，通过预案响应分析研判，向用户智能推荐当前建议启动的响应级别，确保应急决策的科学性和时效性。同时，用户可通过知识图谱直观定位决策依据，提升应急响应的协同性和精准度。</w:t>
      </w:r>
    </w:p>
    <w:p w14:paraId="4C1EB9DC">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响应措施智能推荐</w:t>
      </w:r>
    </w:p>
    <w:p w14:paraId="51CD0F14">
      <w:pPr>
        <w:pStyle w:val="15"/>
      </w:pPr>
      <w:r>
        <w:rPr>
          <w:rFonts w:hint="eastAsia"/>
        </w:rPr>
        <w:t>基于预案响应分析模型、应急预案智能推荐模型和响应级别智能推荐模型，提供响应措施情景分析，当用户启动预警或应急响应后，向用户智能推荐当前当下的、各级各部门各人员的预警响应措施，用户可通过图谱定位到决策依据，提升应急响应的协同性和精准度。</w:t>
      </w:r>
    </w:p>
    <w:p w14:paraId="42C84A28">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指挥体系智能推荐</w:t>
      </w:r>
    </w:p>
    <w:p w14:paraId="18D1BCD8">
      <w:pPr>
        <w:pStyle w:val="15"/>
      </w:pPr>
      <w:r>
        <w:rPr>
          <w:rFonts w:hint="eastAsia"/>
        </w:rPr>
        <w:t>基于预案响应分析模型、应急预案智能推荐模型和响应级别智能推荐模型，提供组织指挥体系情景分析，当用户启动预警或应急响应后，向用户智能推荐适配当前响应级别的组织指挥体系，用户可通过图谱定位到决策依据，提升应急响应的协同性和精准度。</w:t>
      </w:r>
    </w:p>
    <w:p w14:paraId="41467BEB">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应急预案知识图谱模型</w:t>
      </w:r>
    </w:p>
    <w:p w14:paraId="480CAADB">
      <w:pPr>
        <w:pStyle w:val="15"/>
      </w:pPr>
      <w:r>
        <w:t>应急预案知识图谱模型</w:t>
      </w:r>
      <w:r>
        <w:rPr>
          <w:rFonts w:hint="eastAsia"/>
        </w:rPr>
        <w:t>，依托数字化预案库和知识抽取模型，</w:t>
      </w:r>
      <w:r>
        <w:t>聚焦“事件-组织-流程-资源-措施”的业务闭环，支撑应急响应中的事件等级判定、责任组织分配、应急资源调度等关键场景。依据应急业务规则构建本体，明确各业务要素的关联关系，</w:t>
      </w:r>
      <w:r>
        <w:rPr>
          <w:rFonts w:hint="eastAsia"/>
        </w:rPr>
        <w:t>然后</w:t>
      </w:r>
      <w:r>
        <w:t>通过领域专业规则捕捉应急术语、结合算法提取实体与关系，形成结构化知识</w:t>
      </w:r>
      <w:r>
        <w:rPr>
          <w:rFonts w:hint="eastAsia"/>
        </w:rPr>
        <w:t>，经过</w:t>
      </w:r>
      <w:r>
        <w:t>知识融合消歧保障信息一致性，最终依托推理模型衔接业务需求，实现事件触发对应响应、自动匹配责任组织与适配资源，让技术流程与应急业务深度耦合。</w:t>
      </w:r>
    </w:p>
    <w:p w14:paraId="29036E26">
      <w:pPr>
        <w:pStyle w:val="15"/>
      </w:pPr>
      <w:r>
        <w:rPr>
          <w:rFonts w:hint="eastAsia"/>
        </w:rPr>
        <w:t>主要包括适用的灾害类型、预案类型、预案级别、适用范围、应急响应、预警响应、成员单位及其职责等基本信息。可以支撑预案数字化、预警响应工作部署、应急响应工作部署等业务场景。突发事件发生后，指挥部会采用相应应急预案，根据事件影响程度启动相应级别的预警响应和应急响应，指挥调配各类应急资源对该突发事件进行灾害救治，降低因突发事件的影响产生的次生、衍生事件。</w:t>
      </w:r>
    </w:p>
    <w:p w14:paraId="03A57270">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知识图谱构建</w:t>
      </w:r>
    </w:p>
    <w:p w14:paraId="7D23E2DD">
      <w:pPr>
        <w:pStyle w:val="15"/>
      </w:pPr>
      <w:r>
        <w:t>依托数字化预案库和知识抽取模型，聚焦“事件-组织-流程-资源-措施”的业务闭环，依据应急业务规则构建本体，明确各业务要素的关联关系，通过领域专业规则捕捉应急术语、结合算法提取实体与关系，形成结构化知识，经过知识融合消歧保障信息一致性。</w:t>
      </w:r>
    </w:p>
    <w:p w14:paraId="64C3309E">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推理与业务耦合</w:t>
      </w:r>
    </w:p>
    <w:p w14:paraId="2F2D12D0">
      <w:pPr>
        <w:pStyle w:val="15"/>
      </w:pPr>
      <w:r>
        <w:t>依托推理模型衔接业务需求，实现事件触发对应响应、自动匹配责任组织与适配资源，让技术流程与应急业务深度耦合，支撑应急响应中的事件等级判定、责任组织分配、应急资源调度等关键场景。</w:t>
      </w:r>
    </w:p>
    <w:p w14:paraId="6F37813D">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灾害类型与预案类型</w:t>
      </w:r>
    </w:p>
    <w:p w14:paraId="3F65EC88">
      <w:pPr>
        <w:pStyle w:val="15"/>
      </w:pPr>
      <w:r>
        <w:t>主要包括适用的灾害类型、预案类型等基本信息。</w:t>
      </w:r>
    </w:p>
    <w:p w14:paraId="4430027C">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预案级别与适用范围</w:t>
      </w:r>
    </w:p>
    <w:p w14:paraId="00DC2A2A">
      <w:pPr>
        <w:pStyle w:val="15"/>
      </w:pPr>
      <w:r>
        <w:t>主要包括预案级别、适用范围等基本信息。</w:t>
      </w:r>
    </w:p>
    <w:p w14:paraId="194A3BF1">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响应机制与成员职责</w:t>
      </w:r>
    </w:p>
    <w:p w14:paraId="4FEA463F">
      <w:pPr>
        <w:pStyle w:val="15"/>
      </w:pPr>
      <w:r>
        <w:t>主要包括应急响应、预警响应、成员单位及其职责等基本信息。</w:t>
      </w:r>
    </w:p>
    <w:p w14:paraId="6995BEFB">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预警响应工作部署</w:t>
      </w:r>
    </w:p>
    <w:p w14:paraId="30CC8E7B">
      <w:pPr>
        <w:pStyle w:val="15"/>
      </w:pPr>
      <w:r>
        <w:t>支撑预警响应工作部署业务场景。</w:t>
      </w:r>
    </w:p>
    <w:p w14:paraId="3282E2B8">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应急响应工作部署</w:t>
      </w:r>
    </w:p>
    <w:p w14:paraId="6240851C">
      <w:pPr>
        <w:pStyle w:val="15"/>
      </w:pPr>
      <w:r>
        <w:t>支撑应急响应工作部署业务场景。</w:t>
      </w:r>
    </w:p>
    <w:p w14:paraId="603F5BF6">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队伍需求估算模型</w:t>
      </w:r>
    </w:p>
    <w:p w14:paraId="79B7CF92">
      <w:pPr>
        <w:pStyle w:val="15"/>
      </w:pPr>
      <w:r>
        <w:rPr>
          <w:rFonts w:hint="eastAsia"/>
        </w:rPr>
        <w:t>主要针对地震、洪涝、泥石</w:t>
      </w:r>
      <w:r>
        <w:rPr>
          <w:rFonts w:hint="eastAsia"/>
          <w:lang w:eastAsia="zh-CN"/>
        </w:rPr>
        <w:t>流等</w:t>
      </w:r>
      <w:r>
        <w:rPr>
          <w:rFonts w:hint="eastAsia"/>
        </w:rPr>
        <w:t>重大突发事件，基于灾害类型、事件特征、事发地特征、伤亡情况。模型可在事件发生第一时间，输出所选区域所需医疗救援队伍类型以及人数需求总量，为后续队伍组建和调度提供重要支撑。模型主要输入参数包括：灾害类型、事发时间、地点、响应等级、当前伤亡人数及类型等。输出结果为人员需求清单，包括人员类型、人员要求、人员数量。包括模型设计、模型构建、算法验证和参数优化、算法服务接口开发。</w:t>
      </w:r>
    </w:p>
    <w:p w14:paraId="1BA300C3">
      <w:pPr>
        <w:pStyle w:val="15"/>
      </w:pPr>
      <w:r>
        <w:rPr>
          <w:rFonts w:hint="eastAsia"/>
        </w:rPr>
        <w:t>（1）队伍需求估算模型设计</w:t>
      </w:r>
    </w:p>
    <w:p w14:paraId="576101E5">
      <w:pPr>
        <w:pStyle w:val="15"/>
      </w:pPr>
      <w:r>
        <w:t>模块聚焦于明确“灾害事件-伤病发生-医护需求”的内在逻辑关系，采用系统动力学与因果分析相结合的方法构建机理框架。</w:t>
      </w:r>
      <w:r>
        <w:rPr>
          <w:rFonts w:hint="eastAsia"/>
        </w:rPr>
        <w:t>梳理</w:t>
      </w:r>
      <w:r>
        <w:t>识别灾害强度</w:t>
      </w:r>
      <w:r>
        <w:rPr>
          <w:rFonts w:hint="eastAsia"/>
        </w:rPr>
        <w:t>与</w:t>
      </w:r>
      <w:r>
        <w:t>伤病发生率</w:t>
      </w:r>
      <w:r>
        <w:rPr>
          <w:rFonts w:hint="eastAsia"/>
        </w:rPr>
        <w:t>，</w:t>
      </w:r>
      <w:r>
        <w:t>救援时间窗口</w:t>
      </w:r>
      <w:r>
        <w:rPr>
          <w:rFonts w:hint="eastAsia"/>
        </w:rPr>
        <w:t>与</w:t>
      </w:r>
      <w:r>
        <w:t>伤病严重程度等关键因果链条</w:t>
      </w:r>
      <w:r>
        <w:rPr>
          <w:rFonts w:hint="eastAsia"/>
        </w:rPr>
        <w:t>。量化分析灾害类型对伤病谱构成的影响权重，明确伤病数量、现场救治、医护配置的传递路径。同时考虑灾害医学救援分类要求核定不同灾种救援窗口期及现场医护人员工作强度等因素，最终形成可量化可验证的模型机理框架。</w:t>
      </w:r>
    </w:p>
    <w:p w14:paraId="3F928BDA">
      <w:pPr>
        <w:pStyle w:val="15"/>
      </w:pPr>
      <w:r>
        <w:rPr>
          <w:rFonts w:hint="eastAsia"/>
        </w:rPr>
        <w:t>（2）队伍需求估算模型构建</w:t>
      </w:r>
    </w:p>
    <w:p w14:paraId="740C05FB">
      <w:pPr>
        <w:pStyle w:val="15"/>
      </w:pPr>
      <w:r>
        <w:rPr>
          <w:rFonts w:hint="eastAsia"/>
        </w:rPr>
        <w:t>模型构建基于</w:t>
      </w:r>
      <w:r>
        <w:t>机理梳理模块的理论框架，整合数据制备模块的基础数据，通过伤病测算</w:t>
      </w:r>
      <w:r>
        <w:rPr>
          <w:rFonts w:hint="eastAsia"/>
        </w:rPr>
        <w:t>、</w:t>
      </w:r>
      <w:r>
        <w:t>配置标准</w:t>
      </w:r>
      <w:r>
        <w:rPr>
          <w:rFonts w:hint="eastAsia"/>
        </w:rPr>
        <w:t>、</w:t>
      </w:r>
      <w:r>
        <w:t>总量计算</w:t>
      </w:r>
      <w:r>
        <w:rPr>
          <w:rFonts w:hint="eastAsia"/>
        </w:rPr>
        <w:t>、</w:t>
      </w:r>
      <w:r>
        <w:t>动态调整</w:t>
      </w:r>
      <w:r>
        <w:rPr>
          <w:rFonts w:hint="eastAsia"/>
        </w:rPr>
        <w:t>等算法</w:t>
      </w:r>
      <w:r>
        <w:t>，实现从灾害场景输入到医护需求输出的全流程计算</w:t>
      </w:r>
      <w:r>
        <w:rPr>
          <w:rFonts w:hint="eastAsia"/>
        </w:rPr>
        <w:t>，</w:t>
      </w:r>
      <w:r>
        <w:t>将抽象的机理逻辑转化为可执行的算法模型，最终输出贴合现场救援需求的医护人员总量及专业构成方案。</w:t>
      </w:r>
      <w:r>
        <w:rPr>
          <w:rFonts w:hint="eastAsia"/>
        </w:rPr>
        <w:t>主要包括灾害伤病谱评估模块、现场救援医护配置模块、医护需求总量测算模块、动态调整模块。</w:t>
      </w:r>
    </w:p>
    <w:p w14:paraId="0C4E5B95">
      <w:pPr>
        <w:pStyle w:val="15"/>
      </w:pPr>
      <w:r>
        <w:rPr>
          <w:rFonts w:hint="eastAsia"/>
        </w:rPr>
        <w:t>1）灾害伤病谱评估模块。</w:t>
      </w:r>
      <w:r>
        <w:t>采用Meta分析</w:t>
      </w:r>
      <w:r>
        <w:rPr>
          <w:rFonts w:hint="eastAsia"/>
        </w:rPr>
        <w:t>、</w:t>
      </w:r>
      <w:r>
        <w:t>机器学习融合算法</w:t>
      </w:r>
      <w:r>
        <w:rPr>
          <w:rFonts w:hint="eastAsia"/>
        </w:rPr>
        <w:t>和</w:t>
      </w:r>
      <w:r>
        <w:t>LSTM长短期记忆网络模型</w:t>
      </w:r>
      <w:r>
        <w:rPr>
          <w:rFonts w:hint="eastAsia"/>
        </w:rPr>
        <w:t>等，构建伤病类型和分布，</w:t>
      </w:r>
      <w:r>
        <w:t>估算特定灾害发生后早期各类伤病的数量分布</w:t>
      </w:r>
      <w:r>
        <w:rPr>
          <w:rFonts w:hint="eastAsia"/>
        </w:rPr>
        <w:t>，</w:t>
      </w:r>
      <w:r>
        <w:t>输出符合当前灾害实际情况的伤病数量分布数据，为后续医护需求计算提供基础依据。</w:t>
      </w:r>
    </w:p>
    <w:p w14:paraId="351C1E19">
      <w:pPr>
        <w:pStyle w:val="15"/>
      </w:pPr>
      <w:r>
        <w:rPr>
          <w:rFonts w:hint="eastAsia"/>
        </w:rPr>
        <w:t>2）医护匹配模块。确定各类灾种医学救援现场所需医护人员</w:t>
      </w:r>
      <w:r>
        <w:rPr>
          <w:rFonts w:hint="eastAsia"/>
          <w:lang w:eastAsia="zh-CN"/>
        </w:rPr>
        <w:t>最佳</w:t>
      </w:r>
      <w:r>
        <w:rPr>
          <w:rFonts w:hint="eastAsia"/>
        </w:rPr>
        <w:t>配置比例。通过历史案例典型手术医护参数及相关性分析，以及</w:t>
      </w:r>
      <w:r>
        <w:t>Pearson相关系数识别</w:t>
      </w:r>
      <w:r>
        <w:rPr>
          <w:rFonts w:hint="eastAsia"/>
        </w:rPr>
        <w:t>不同科室转运人员的效率和关联墙洞，构建遗传算法优化模型，以手术时长最短、医护协作效率最高为目标，结合临床手术操作基本要求为约束，构建标准化的手术医护配置字典，为需求测算提供基准。</w:t>
      </w:r>
    </w:p>
    <w:p w14:paraId="12BB7D0D">
      <w:pPr>
        <w:pStyle w:val="15"/>
      </w:pPr>
      <w:r>
        <w:rPr>
          <w:rFonts w:hint="eastAsia"/>
        </w:rPr>
        <w:t>3）需求总量测算模块。该模块</w:t>
      </w:r>
      <w:r>
        <w:t>负责计算特定救援场景下各科室医护人员的需求总量及构成比例</w:t>
      </w:r>
      <w:r>
        <w:rPr>
          <w:rFonts w:hint="eastAsia"/>
        </w:rPr>
        <w:t>。</w:t>
      </w:r>
      <w:r>
        <w:t>以灾害伤病谱评估结果为基础，结合临床路径知识库确定各类伤病对应的手术类型及数量</w:t>
      </w:r>
      <w:r>
        <w:rPr>
          <w:rFonts w:hint="eastAsia"/>
        </w:rPr>
        <w:t>，</w:t>
      </w:r>
      <w:r>
        <w:t>调用典型手术医护配置字典，通过矩阵运算初步计算各科室医护人员的基础需求量</w:t>
      </w:r>
      <w:r>
        <w:rPr>
          <w:rFonts w:hint="eastAsia"/>
        </w:rPr>
        <w:t>。再引用基于线性规划工作分摊算法、结合救援时间窗口动态调整医护人员的工作时间等，通过层次分析法确定和修正相关数据，最后输出初步测算结果。</w:t>
      </w:r>
    </w:p>
    <w:p w14:paraId="3DB918A4">
      <w:pPr>
        <w:pStyle w:val="15"/>
      </w:pPr>
      <w:r>
        <w:rPr>
          <w:rFonts w:hint="eastAsia"/>
        </w:rPr>
        <w:t>4）动态调整子模块。</w:t>
      </w:r>
      <w:r>
        <w:t>该模块的功能是根据现场实时情况优化初步测算结果，提升模型适应性</w:t>
      </w:r>
      <w:r>
        <w:rPr>
          <w:rFonts w:hint="eastAsia"/>
        </w:rPr>
        <w:t>，</w:t>
      </w:r>
      <w:r>
        <w:t>根据调整系数实时修正医护需求总量及各科室人员构成比例，确保输出结果与现场实际条件高度匹配</w:t>
      </w:r>
      <w:r>
        <w:rPr>
          <w:rFonts w:hint="eastAsia"/>
        </w:rPr>
        <w:t>。</w:t>
      </w:r>
    </w:p>
    <w:p w14:paraId="00F318E9">
      <w:pPr>
        <w:pStyle w:val="15"/>
      </w:pPr>
      <w:r>
        <w:rPr>
          <w:rFonts w:hint="eastAsia"/>
        </w:rPr>
        <w:t>（3）算法验证和参数优化</w:t>
      </w:r>
    </w:p>
    <w:p w14:paraId="090F4125">
      <w:pPr>
        <w:pStyle w:val="15"/>
      </w:pPr>
      <w:r>
        <w:t>该模块主要保障模型测算精度，重点结合用户实际数据开展验证，并优化关键参数</w:t>
      </w:r>
      <w:r>
        <w:rPr>
          <w:rFonts w:hint="eastAsia"/>
        </w:rPr>
        <w:t>。</w:t>
      </w:r>
      <w:r>
        <w:t>在算法验证方面，可接入用户提供的历史灾害救援数据</w:t>
      </w:r>
      <w:r>
        <w:rPr>
          <w:rFonts w:hint="eastAsia"/>
        </w:rPr>
        <w:t>进行数据验证，同时</w:t>
      </w:r>
      <w:r>
        <w:t>结合用户组织的灾害模拟演练，对比模型输出的医护需求方案与用户</w:t>
      </w:r>
      <w:r>
        <w:rPr>
          <w:rFonts w:hint="eastAsia"/>
        </w:rPr>
        <w:t>实际情况进行比对验证。参数优化主要考虑各参数的取值空间确定优化范围，</w:t>
      </w:r>
      <w:r>
        <w:t>运用粒子群优化算法对参数进行迭代寻优</w:t>
      </w:r>
      <w:r>
        <w:rPr>
          <w:rFonts w:hint="eastAsia"/>
        </w:rPr>
        <w:t>，</w:t>
      </w:r>
      <w:r>
        <w:t>同时通过敏感性分析识别对结果影响最大的参数</w:t>
      </w:r>
      <w:r>
        <w:rPr>
          <w:rFonts w:hint="eastAsia"/>
        </w:rPr>
        <w:t>，</w:t>
      </w:r>
      <w:r>
        <w:t>重点优化以提升模型在用户实际场景中的鲁棒性</w:t>
      </w:r>
      <w:r>
        <w:rPr>
          <w:rFonts w:hint="eastAsia"/>
        </w:rPr>
        <w:t>。</w:t>
      </w:r>
    </w:p>
    <w:p w14:paraId="2942D926">
      <w:pPr>
        <w:pStyle w:val="15"/>
        <w:keepNext/>
      </w:pPr>
      <w:r>
        <w:rPr>
          <w:rFonts w:hint="eastAsia"/>
        </w:rPr>
        <w:t>（4）服务接口开发</w:t>
      </w:r>
    </w:p>
    <w:p w14:paraId="04914855">
      <w:pPr>
        <w:pStyle w:val="15"/>
      </w:pPr>
      <w:r>
        <w:t>主要设计三类核心接口，重点明确外部调用方式与对接流程，支撑智能体调度使用</w:t>
      </w:r>
      <w:r>
        <w:rPr>
          <w:rFonts w:hint="eastAsia"/>
        </w:rPr>
        <w:t>。主要包括参数输入接口、结果输出接口、历史查询接口，接口设计采用JSON格式、支持HTTP/HTTPS、SESTfulAPI设计规范，方便辅助决策等系统友好对接。</w:t>
      </w:r>
    </w:p>
    <w:p w14:paraId="5490A594">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队伍调度优化模型</w:t>
      </w:r>
    </w:p>
    <w:p w14:paraId="4C2D05E7">
      <w:pPr>
        <w:pStyle w:val="15"/>
      </w:pPr>
      <w:r>
        <w:rPr>
          <w:rFonts w:hint="eastAsia"/>
        </w:rPr>
        <w:t>模型可在事件发生第一时间，以最大程度满足灾区需求为目的，侧重于队伍选择、队伍分配和站点选择，为决策者提供医疗救援队伍从驻地到最终灾区的全过程投送方案，包括行径时间、途经站点和行径路径等，模型核心定位在基于时间、受灾情况等考虑要素，辅助用户进行调度决策，为后续队伍出动后提供投送参考方案，保证队伍最快速度到达灾区，实现一趟专列沿线运送，一趟专机汇合出发，最大程度满足运力资源合理分配。</w:t>
      </w:r>
    </w:p>
    <w:p w14:paraId="76485D0F">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物资需求估算模型</w:t>
      </w:r>
    </w:p>
    <w:p w14:paraId="5127091A">
      <w:pPr>
        <w:pStyle w:val="15"/>
      </w:pPr>
      <w:r>
        <w:rPr>
          <w:rFonts w:hint="eastAsia"/>
        </w:rPr>
        <w:t>主要针对地震、洪涝、台风、森林火灾、烈性传染</w:t>
      </w:r>
      <w:r>
        <w:rPr>
          <w:rFonts w:hint="eastAsia"/>
          <w:lang w:eastAsia="zh-CN"/>
        </w:rPr>
        <w:t>病等</w:t>
      </w:r>
      <w:r>
        <w:rPr>
          <w:rFonts w:hint="eastAsia"/>
        </w:rPr>
        <w:t>重大突发事件，基于灾害类型、事件特征、事发地特征、伤亡情况。模型可在事件发生第一时间，输出所选区域所需医疗物资种类以及各类物资需求总量，为后续物资分配和物资调度提供重要支撑。</w:t>
      </w:r>
    </w:p>
    <w:p w14:paraId="6194FFA3">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物资调度优化模型</w:t>
      </w:r>
    </w:p>
    <w:p w14:paraId="2C1FFE36">
      <w:pPr>
        <w:pStyle w:val="15"/>
      </w:pPr>
      <w:r>
        <w:rPr>
          <w:rFonts w:hint="eastAsia"/>
        </w:rPr>
        <w:t>解决的是多安置点、多储备库、多集散点、多交通工具的条件下的多种类物资分配以及运输路径规划问题。可根据实际</w:t>
      </w:r>
      <w:r>
        <w:rPr>
          <w:rFonts w:hint="eastAsia"/>
          <w:lang w:eastAsia="zh-CN"/>
        </w:rPr>
        <w:t>情况</w:t>
      </w:r>
      <w:r>
        <w:rPr>
          <w:rFonts w:hint="eastAsia"/>
        </w:rPr>
        <w:t>的需求对方案局部进行修改，最终生成完整物资调配方案。指导用户第一时间指挥安排资源分配和运送，最大程度上满足长远基本医疗物资需求。</w:t>
      </w:r>
    </w:p>
    <w:p w14:paraId="626829F8">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时空聚集模型</w:t>
      </w:r>
    </w:p>
    <w:p w14:paraId="511EEC74">
      <w:pPr>
        <w:pStyle w:val="15"/>
      </w:pPr>
      <w:r>
        <w:rPr>
          <w:rFonts w:hint="eastAsia"/>
        </w:rPr>
        <w:t>时空聚集模型</w:t>
      </w:r>
      <w:r>
        <w:t>自动识别出在相近时间和空间聚集的急救车群组，忽略零星分布或孤立车辆。当检测到满足条件的聚类时，系统立即触发异常聚集预警，提示可能发生了突发事件或重大事故，需紧急响应。该方法能有效发现任意形状的密集区域，抗噪声能力强，无需预先指定聚类数量，</w:t>
      </w:r>
      <w:r>
        <w:rPr>
          <w:rFonts w:hint="eastAsia"/>
        </w:rPr>
        <w:t>实现</w:t>
      </w:r>
      <w:r>
        <w:t>动态、实时</w:t>
      </w:r>
      <w:r>
        <w:rPr>
          <w:rFonts w:hint="eastAsia"/>
        </w:rPr>
        <w:t>的急救车辆异常预警</w:t>
      </w:r>
      <w:r>
        <w:t>，提升应急指挥的智能化水平。</w:t>
      </w:r>
    </w:p>
    <w:p w14:paraId="2A62046B">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通用能力评估模型</w:t>
      </w:r>
    </w:p>
    <w:p w14:paraId="0D505464">
      <w:pPr>
        <w:pStyle w:val="15"/>
      </w:pPr>
      <w:r>
        <w:rPr>
          <w:rFonts w:hint="eastAsia"/>
        </w:rPr>
        <w:t>包括指标量化方法、权重分析方法、能力评估算法、分级算法等基础算法支撑，通过选择评估方法、构建指标体系、对指标进行权重计算、量化规则设置，对紧急医学救援相关能力进行基础评估。</w:t>
      </w:r>
    </w:p>
    <w:p w14:paraId="5DC239CC">
      <w:pPr>
        <w:pStyle w:val="7"/>
        <w:keepNext/>
        <w:keepLines/>
        <w:pageBreakBefore w:val="0"/>
        <w:widowControl w:val="0"/>
        <w:kinsoku/>
        <w:wordWrap/>
        <w:overflowPunct/>
        <w:topLinePunct w:val="0"/>
        <w:autoSpaceDE/>
        <w:autoSpaceDN/>
        <w:bidi w:val="0"/>
        <w:adjustRightInd w:val="0"/>
        <w:snapToGrid w:val="0"/>
        <w:spacing w:before="240" w:after="240"/>
        <w:textAlignment w:val="auto"/>
        <w:outlineLvl w:val="2"/>
        <w:rPr>
          <w:rFonts w:hint="eastAsia"/>
        </w:rPr>
      </w:pPr>
      <w:r>
        <w:rPr>
          <w:rFonts w:hint="eastAsia"/>
        </w:rPr>
        <w:t>医学救援知识库</w:t>
      </w:r>
    </w:p>
    <w:p w14:paraId="7F302D28">
      <w:pPr>
        <w:pStyle w:val="15"/>
      </w:pPr>
      <w:r>
        <w:rPr>
          <w:rFonts w:hint="eastAsia"/>
        </w:rPr>
        <w:t>依托省立医院教育培训中心、国家紧急医学救援（福建）队、省急救中心等业务和知识积累，以公共渠道作为知识补充，构建医学救援知识库，为AI智能算法及辅助决策分析提供知识支撑，辅助依法决策、科学决策，相关知识通过知识管理。主要知识包括：预案知识、案例知识、法律法规、培训教材、SOP指南、标准规范、科研成果、专家共识、救援技术知识等内容。</w:t>
      </w:r>
    </w:p>
    <w:p w14:paraId="764166DE">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预案知识</w:t>
      </w:r>
    </w:p>
    <w:p w14:paraId="46143EEB">
      <w:pPr>
        <w:pStyle w:val="15"/>
      </w:pPr>
      <w:r>
        <w:rPr>
          <w:rFonts w:hint="eastAsia"/>
        </w:rPr>
        <w:t>预案知识涵盖不同层级与场景的应急方案，既包括国家层面明确跨区域、跨部门应对重特大地震、传染病疫情等事件的组织架构与资源调配机制的顶层预案如《国家突发公共事件医疗卫生救援应急预案》，也包含国家紧急医学救援基地的人员集结、物资调度的队伍应急预案、基地医院相关应急预案等，以及按自然灾害（地震、洪水）、事故灾难（爆炸、中毒）、公共卫生事件、社会安全事件专项救援救治预案。</w:t>
      </w:r>
      <w:r>
        <w:t>福建省</w:t>
      </w:r>
      <w:r>
        <w:rPr>
          <w:rFonts w:hint="eastAsia"/>
        </w:rPr>
        <w:t>相关</w:t>
      </w:r>
      <w:r>
        <w:t>预案，包括《福建省突发事件紧急医学救援应急预案》、福建省立医院针对福建台风、暴雨多发特点编制的防汛防台应急响应预案</w:t>
      </w:r>
      <w:r>
        <w:rPr>
          <w:rFonts w:hint="eastAsia"/>
        </w:rPr>
        <w:t>等</w:t>
      </w:r>
      <w:r>
        <w:t>。</w:t>
      </w:r>
    </w:p>
    <w:p w14:paraId="11BEA959">
      <w:pPr>
        <w:pStyle w:val="15"/>
      </w:pPr>
      <w:r>
        <w:rPr>
          <w:rFonts w:hint="eastAsia"/>
        </w:rPr>
        <w:t>相关知识主要依托省立医院和</w:t>
      </w:r>
      <w:r>
        <w:rPr>
          <w:rFonts w:hint="eastAsia"/>
          <w:lang w:eastAsia="zh-CN"/>
        </w:rPr>
        <w:t>福建省</w:t>
      </w:r>
      <w:r>
        <w:rPr>
          <w:rFonts w:hint="eastAsia"/>
        </w:rPr>
        <w:t>卫健委协调提供，同时可通过国务院、</w:t>
      </w:r>
      <w:r>
        <w:t>国家卫健委、应急管理部官方</w:t>
      </w:r>
      <w:r>
        <w:rPr>
          <w:rFonts w:hint="eastAsia"/>
        </w:rPr>
        <w:t>、地方政府及</w:t>
      </w:r>
      <w:r>
        <w:t>中华医学会</w:t>
      </w:r>
      <w:r>
        <w:rPr>
          <w:rFonts w:hint="eastAsia"/>
        </w:rPr>
        <w:t>等相关协会渠道。</w:t>
      </w:r>
    </w:p>
    <w:p w14:paraId="5A7364FE">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案例知识</w:t>
      </w:r>
    </w:p>
    <w:p w14:paraId="17F63DD1">
      <w:pPr>
        <w:pStyle w:val="15"/>
      </w:pPr>
      <w:r>
        <w:t>案例知识包含多类紧急医学救援实践案例，</w:t>
      </w:r>
      <w:r>
        <w:rPr>
          <w:rFonts w:hint="eastAsia"/>
        </w:rPr>
        <w:t>包括国家紧急医学救援（福建）队参与救援救治的省内重大事件，</w:t>
      </w:r>
      <w:r>
        <w:rPr>
          <w:rFonts w:hint="eastAsia"/>
          <w:lang w:eastAsia="zh-CN"/>
        </w:rPr>
        <w:t>以及</w:t>
      </w:r>
      <w:r>
        <w:rPr>
          <w:rFonts w:hint="eastAsia"/>
        </w:rPr>
        <w:t>福建省卫健委及省立医院急救中心统计或记录素材</w:t>
      </w:r>
      <w:r>
        <w:rPr>
          <w:rFonts w:hint="eastAsia"/>
          <w:lang w:eastAsia="zh-CN"/>
        </w:rPr>
        <w:t>为</w:t>
      </w:r>
      <w:r>
        <w:rPr>
          <w:rFonts w:hint="eastAsia"/>
        </w:rPr>
        <w:t>基础构建，同时收集国家卫健委、应急管理部通报的重大突发事件、相关期刊和研究公布的案例等。</w:t>
      </w:r>
    </w:p>
    <w:p w14:paraId="5CAE30B9">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法律法规</w:t>
      </w:r>
    </w:p>
    <w:p w14:paraId="21901315">
      <w:pPr>
        <w:pStyle w:val="15"/>
      </w:pPr>
      <w:r>
        <w:t>法律法规知识覆盖紧急医学救援相关的各级各类法律规范，其中国家层面法律含《</w:t>
      </w:r>
      <w:r>
        <w:rPr>
          <w:rFonts w:hint="eastAsia"/>
          <w:lang w:eastAsia="zh-CN"/>
        </w:rPr>
        <w:t>中华人民共和国突发事件应对法</w:t>
      </w:r>
      <w:r>
        <w:t>》《传染病防治法》等界定医疗机构与人员权责、资源保障的条款</w:t>
      </w:r>
      <w:r>
        <w:rPr>
          <w:rFonts w:hint="eastAsia"/>
        </w:rPr>
        <w:t>。</w:t>
      </w:r>
      <w:r>
        <w:t>行政法规与规章涵盖国务院《突发公共卫生事件应急条例》、国家卫健委《突发事件紧急医学救援管理办法》</w:t>
      </w:r>
      <w:r>
        <w:rPr>
          <w:rFonts w:hint="eastAsia"/>
        </w:rPr>
        <w:t>，以及福建省相关法律法规。主要以</w:t>
      </w:r>
      <w:r>
        <w:t>全国人大及常委会颁布的法律文本、国务院与</w:t>
      </w:r>
      <w:r>
        <w:rPr>
          <w:rFonts w:hint="eastAsia"/>
        </w:rPr>
        <w:t>相关</w:t>
      </w:r>
      <w:r>
        <w:t>部委</w:t>
      </w:r>
      <w:r>
        <w:rPr>
          <w:rFonts w:hint="eastAsia"/>
        </w:rPr>
        <w:t>官网发布的法律法规信息为主。</w:t>
      </w:r>
    </w:p>
    <w:p w14:paraId="2F38D95B">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培训教材</w:t>
      </w:r>
    </w:p>
    <w:p w14:paraId="32F751E6">
      <w:pPr>
        <w:pStyle w:val="15"/>
      </w:pPr>
      <w:r>
        <w:t>针对国家紧急医学救援基地人员</w:t>
      </w:r>
      <w:r>
        <w:rPr>
          <w:rFonts w:hint="eastAsia"/>
        </w:rPr>
        <w:t>卫生应急</w:t>
      </w:r>
      <w:r>
        <w:t>管理人员与救援</w:t>
      </w:r>
      <w:r>
        <w:rPr>
          <w:rFonts w:hint="eastAsia"/>
        </w:rPr>
        <w:t>专业</w:t>
      </w:r>
      <w:r>
        <w:t>人员</w:t>
      </w:r>
      <w:r>
        <w:rPr>
          <w:rFonts w:hint="eastAsia"/>
        </w:rPr>
        <w:t>，</w:t>
      </w:r>
      <w:r>
        <w:t>配套实操手册与视频</w:t>
      </w:r>
      <w:r>
        <w:rPr>
          <w:rFonts w:hint="eastAsia"/>
        </w:rPr>
        <w:t>。</w:t>
      </w:r>
      <w:r>
        <w:t>针对地震、化学中毒等场景，</w:t>
      </w:r>
      <w:r>
        <w:rPr>
          <w:rFonts w:hint="eastAsia"/>
        </w:rPr>
        <w:t>对临</w:t>
      </w:r>
      <w:r>
        <w:t>时医疗点搭建、解毒剂使用等内容的分类事件教材</w:t>
      </w:r>
      <w:r>
        <w:rPr>
          <w:rFonts w:hint="eastAsia"/>
        </w:rPr>
        <w:t>。</w:t>
      </w:r>
      <w:r>
        <w:t>同时还有面向公众</w:t>
      </w:r>
      <w:r>
        <w:rPr>
          <w:rFonts w:hint="eastAsia"/>
        </w:rPr>
        <w:t>提供</w:t>
      </w:r>
      <w:r>
        <w:t>内容通俗易懂的自救互救科普教材。</w:t>
      </w:r>
    </w:p>
    <w:p w14:paraId="550DB63A">
      <w:pPr>
        <w:pStyle w:val="15"/>
      </w:pPr>
      <w:r>
        <w:rPr>
          <w:rFonts w:hint="eastAsia"/>
        </w:rPr>
        <w:t>优先对接教育培训中心系统，通过授权获取相关培训教材知识，</w:t>
      </w:r>
      <w:r>
        <w:t>包括</w:t>
      </w:r>
      <w:r>
        <w:rPr>
          <w:rFonts w:hint="eastAsia"/>
        </w:rPr>
        <w:t>省立医院自编教材、</w:t>
      </w:r>
      <w:r>
        <w:t>突发事件卫生应急培训教材系列</w:t>
      </w:r>
      <w:r>
        <w:rPr>
          <w:rFonts w:hint="eastAsia"/>
        </w:rPr>
        <w:t>等。</w:t>
      </w:r>
    </w:p>
    <w:p w14:paraId="0A14A877">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SOP指南</w:t>
      </w:r>
    </w:p>
    <w:p w14:paraId="558F8517">
      <w:pPr>
        <w:pStyle w:val="15"/>
      </w:pPr>
      <w:r>
        <w:t>SOP指南知识涵盖紧急医学救援各环节标准操作流程</w:t>
      </w:r>
      <w:r>
        <w:rPr>
          <w:rFonts w:hint="eastAsia"/>
        </w:rPr>
        <w:t>，包括</w:t>
      </w:r>
      <w:r>
        <w:t>不同响应级别下的队伍集结标准</w:t>
      </w:r>
      <w:r>
        <w:rPr>
          <w:rFonts w:hint="eastAsia"/>
        </w:rPr>
        <w:t>，</w:t>
      </w:r>
      <w:r>
        <w:t>现场救援</w:t>
      </w:r>
      <w:r>
        <w:rPr>
          <w:rFonts w:hint="eastAsia"/>
        </w:rPr>
        <w:t>检伤分类、相关急救操作、转运交接</w:t>
      </w:r>
      <w:r>
        <w:t>SOP规范</w:t>
      </w:r>
      <w:r>
        <w:rPr>
          <w:rFonts w:hint="eastAsia"/>
        </w:rPr>
        <w:t>、</w:t>
      </w:r>
      <w:r>
        <w:t>协同救治SOP</w:t>
      </w:r>
      <w:r>
        <w:rPr>
          <w:rFonts w:hint="eastAsia"/>
        </w:rPr>
        <w:t>的等内容。</w:t>
      </w:r>
    </w:p>
    <w:p w14:paraId="7DF1B578">
      <w:pPr>
        <w:pStyle w:val="15"/>
      </w:pPr>
      <w:r>
        <w:rPr>
          <w:rFonts w:hint="eastAsia"/>
        </w:rPr>
        <w:t>相关知识以</w:t>
      </w:r>
      <w:r>
        <w:t>整合基地经演练验证的内部SOP、国家卫健委</w:t>
      </w:r>
      <w:r>
        <w:rPr>
          <w:rFonts w:hint="eastAsia"/>
        </w:rPr>
        <w:t>及福建省文件，以及</w:t>
      </w:r>
      <w:r>
        <w:t>国际救援组织本土化指南</w:t>
      </w:r>
      <w:r>
        <w:rPr>
          <w:rFonts w:hint="eastAsia"/>
        </w:rPr>
        <w:t>为主</w:t>
      </w:r>
      <w:r>
        <w:t>。</w:t>
      </w:r>
    </w:p>
    <w:p w14:paraId="3CCBAEEF">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标准规范</w:t>
      </w:r>
    </w:p>
    <w:p w14:paraId="6D02E7DB">
      <w:pPr>
        <w:pStyle w:val="15"/>
      </w:pPr>
      <w:r>
        <w:rPr>
          <w:rFonts w:hint="eastAsia"/>
        </w:rPr>
        <w:t>主要包括</w:t>
      </w:r>
      <w:r>
        <w:t>国家标委会与卫健委发布的GB/WS标准，</w:t>
      </w:r>
      <w:r>
        <w:rPr>
          <w:rFonts w:hint="eastAsia"/>
        </w:rPr>
        <w:t>以及福建省地方标准，以及紧急医学救援相关团体标准。</w:t>
      </w:r>
    </w:p>
    <w:p w14:paraId="23859F04">
      <w:pPr>
        <w:pStyle w:val="8"/>
        <w:keepNext w:val="0"/>
        <w:keepLines w:val="0"/>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科研成果</w:t>
      </w:r>
    </w:p>
    <w:p w14:paraId="58322A01">
      <w:pPr>
        <w:pStyle w:val="15"/>
        <w:keepNext w:val="0"/>
        <w:keepLines w:val="0"/>
        <w:pageBreakBefore w:val="0"/>
        <w:widowControl w:val="0"/>
        <w:kinsoku/>
        <w:wordWrap/>
        <w:overflowPunct/>
        <w:topLinePunct w:val="0"/>
        <w:autoSpaceDE/>
        <w:autoSpaceDN/>
        <w:bidi w:val="0"/>
        <w:textAlignment w:val="auto"/>
      </w:pPr>
      <w:r>
        <w:t>国家紧急医学救援科研成果，聚焦</w:t>
      </w:r>
      <w:r>
        <w:rPr>
          <w:rFonts w:hint="eastAsia"/>
        </w:rPr>
        <w:t>省立医院及</w:t>
      </w:r>
      <w:r>
        <w:t>福建区域研发成果</w:t>
      </w:r>
      <w:r>
        <w:rPr>
          <w:rFonts w:hint="eastAsia"/>
        </w:rPr>
        <w:t>，以及与福建医科大学合作研究的成果，突出科学成果区域实用性。</w:t>
      </w:r>
    </w:p>
    <w:p w14:paraId="17824221">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专家共识</w:t>
      </w:r>
    </w:p>
    <w:p w14:paraId="7B2FB6B0">
      <w:pPr>
        <w:pStyle w:val="15"/>
      </w:pPr>
      <w:r>
        <w:t>包含国家层面分类事件专家共识，新增福建区域专项共识，</w:t>
      </w:r>
      <w:r>
        <w:rPr>
          <w:rFonts w:hint="eastAsia"/>
          <w:lang w:eastAsia="zh-CN"/>
        </w:rPr>
        <w:t>以</w:t>
      </w:r>
      <w:r>
        <w:t>中华医学会各分会共识为基础，福建省立医院联合</w:t>
      </w:r>
      <w:r>
        <w:rPr>
          <w:rFonts w:hint="eastAsia"/>
        </w:rPr>
        <w:t>其他医院</w:t>
      </w:r>
      <w:r>
        <w:t>形成的区域专家共识，及福建省卫健委组织的省内应急医学专家研讨会成果</w:t>
      </w:r>
      <w:r>
        <w:rPr>
          <w:rFonts w:hint="eastAsia"/>
        </w:rPr>
        <w:t>等</w:t>
      </w:r>
      <w:r>
        <w:t>。</w:t>
      </w:r>
      <w:r>
        <w:rPr>
          <w:rFonts w:hint="eastAsia" w:ascii="MS Gothic" w:hAnsi="MS Gothic" w:eastAsia="MS Gothic" w:cs="MS Gothic"/>
        </w:rPr>
        <w:t>​</w:t>
      </w:r>
    </w:p>
    <w:p w14:paraId="708081CF">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t>救援技术</w:t>
      </w:r>
      <w:r>
        <w:rPr>
          <w:rFonts w:hint="eastAsia"/>
        </w:rPr>
        <w:t>知识</w:t>
      </w:r>
    </w:p>
    <w:p w14:paraId="0D00D66B">
      <w:pPr>
        <w:pStyle w:val="15"/>
      </w:pPr>
      <w:r>
        <w:rPr>
          <w:rFonts w:hint="eastAsia"/>
        </w:rPr>
        <w:t>救</w:t>
      </w:r>
      <w:r>
        <w:t>援技术知识涵盖紧急医学救援各环节的实操技术</w:t>
      </w:r>
      <w:r>
        <w:rPr>
          <w:rFonts w:hint="eastAsia"/>
        </w:rPr>
        <w:t>，包括不限于搜索营救技术、检伤分类技术、急救复苏技术、救援手术技术、心理干预技术、卫生防疫技术、立体后送技术、极端环境下的医疗救援技术、战伤救治技术、核化生救治技术、安全防护技术等相关内容。相关知识以紧急医学救援队伍（福建）相关经验和成果以及相关专著知识汇聚。</w:t>
      </w:r>
    </w:p>
    <w:p w14:paraId="742E6FDB">
      <w:pPr>
        <w:pStyle w:val="7"/>
        <w:keepNext/>
        <w:keepLines/>
        <w:pageBreakBefore w:val="0"/>
        <w:widowControl w:val="0"/>
        <w:kinsoku/>
        <w:wordWrap/>
        <w:overflowPunct/>
        <w:topLinePunct w:val="0"/>
        <w:autoSpaceDE/>
        <w:autoSpaceDN/>
        <w:bidi w:val="0"/>
        <w:adjustRightInd w:val="0"/>
        <w:snapToGrid w:val="0"/>
        <w:spacing w:before="240" w:after="240"/>
        <w:textAlignment w:val="auto"/>
        <w:outlineLvl w:val="2"/>
        <w:rPr>
          <w:rFonts w:hint="eastAsia"/>
        </w:rPr>
      </w:pPr>
      <w:r>
        <w:rPr>
          <w:rFonts w:hint="eastAsia"/>
        </w:rPr>
        <w:t>智能体能力适配</w:t>
      </w:r>
    </w:p>
    <w:p w14:paraId="34860C1C">
      <w:pPr>
        <w:pStyle w:val="15"/>
      </w:pPr>
      <w:r>
        <w:rPr>
          <w:rFonts w:hint="eastAsia"/>
        </w:rPr>
        <w:t>为实现与系统数据、知识库的高效融合，通过全面的接口适配与能力优化，确保数据实时交互。深度整合知识库，提升模型的知识检索与推理能力，制定标准化接口，保障系统整体运行的高效性与兼容性，从而为用户提供更智能、更精准的决策支持。</w:t>
      </w:r>
    </w:p>
    <w:p w14:paraId="158B6936">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通用模型/智能体接口适配（对接算力中心AI基础平台）</w:t>
      </w:r>
    </w:p>
    <w:p w14:paraId="20500AB2">
      <w:pPr>
        <w:pStyle w:val="15"/>
      </w:pPr>
      <w:r>
        <w:rPr>
          <w:rFonts w:hint="eastAsia"/>
        </w:rPr>
        <w:t>完成与AI智能基础平台通用模型能力适配，以及紧急医学救援调度智能体的接口适配。</w:t>
      </w:r>
    </w:p>
    <w:p w14:paraId="39B70C7B">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模型调用接口开发</w:t>
      </w:r>
    </w:p>
    <w:p w14:paraId="3E669EE7">
      <w:pPr>
        <w:pStyle w:val="15"/>
      </w:pPr>
      <w:r>
        <w:t>RESTfulAPI接口开发、gRPC服务接口封装、SDK集成与配置</w:t>
      </w:r>
      <w:r>
        <w:rPr>
          <w:rFonts w:hint="eastAsia"/>
        </w:rPr>
        <w:t>。</w:t>
      </w:r>
    </w:p>
    <w:p w14:paraId="01EAE40E">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数据格式规范制定</w:t>
      </w:r>
    </w:p>
    <w:p w14:paraId="2B3BA249">
      <w:pPr>
        <w:pStyle w:val="15"/>
      </w:pPr>
      <w:r>
        <w:rPr>
          <w:rFonts w:hint="eastAsia"/>
        </w:rPr>
        <w:t>输入数据标准化模板定义、输出数据</w:t>
      </w:r>
      <w:r>
        <w:t>JSON格式规范、错误代码统一规范制定</w:t>
      </w:r>
      <w:r>
        <w:rPr>
          <w:rFonts w:hint="eastAsia"/>
        </w:rPr>
        <w:t>。</w:t>
      </w:r>
    </w:p>
    <w:p w14:paraId="29CDA304">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结果解析处理</w:t>
      </w:r>
    </w:p>
    <w:p w14:paraId="50F3886D">
      <w:pPr>
        <w:pStyle w:val="15"/>
      </w:pPr>
      <w:r>
        <w:rPr>
          <w:rFonts w:hint="eastAsia"/>
        </w:rPr>
        <w:t>推理结果结构化解析、置信度过滤阈值设置、多模型结果融合策略。</w:t>
      </w:r>
    </w:p>
    <w:p w14:paraId="29C58B60">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错误处理机制</w:t>
      </w:r>
    </w:p>
    <w:p w14:paraId="1A80AA2F">
      <w:pPr>
        <w:pStyle w:val="15"/>
      </w:pPr>
      <w:r>
        <w:rPr>
          <w:rFonts w:hint="eastAsia"/>
        </w:rPr>
        <w:t>超时重试机制实现、降级容错方案设计、错误日志记录与监控。</w:t>
      </w:r>
    </w:p>
    <w:p w14:paraId="550D8B6A">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服务监控保障</w:t>
      </w:r>
    </w:p>
    <w:p w14:paraId="03AA4025">
      <w:pPr>
        <w:pStyle w:val="15"/>
      </w:pPr>
      <w:r>
        <w:rPr>
          <w:rFonts w:hint="eastAsia"/>
        </w:rPr>
        <w:t>服务心跳检测机制、调用性能指标监控、资源使用率预警设置。</w:t>
      </w:r>
    </w:p>
    <w:p w14:paraId="356B8EBA">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通信协议配置</w:t>
      </w:r>
    </w:p>
    <w:p w14:paraId="7A4F53C0">
      <w:pPr>
        <w:pStyle w:val="15"/>
      </w:pPr>
      <w:r>
        <w:t>HTTPS/TLS安全传输配置、通信协议版本管理、数据压缩传输优化</w:t>
      </w:r>
      <w:r>
        <w:rPr>
          <w:rFonts w:hint="eastAsia"/>
        </w:rPr>
        <w:t>。</w:t>
      </w:r>
    </w:p>
    <w:p w14:paraId="504CF951">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权限认证配置</w:t>
      </w:r>
    </w:p>
    <w:p w14:paraId="340568FA">
      <w:pPr>
        <w:pStyle w:val="15"/>
      </w:pPr>
      <w:r>
        <w:t>API密钥轮换机制、OAuth2.0认证集成、访问权限分级控制</w:t>
      </w:r>
      <w:r>
        <w:rPr>
          <w:rFonts w:hint="eastAsia"/>
        </w:rPr>
        <w:t>。</w:t>
      </w:r>
    </w:p>
    <w:p w14:paraId="4E98FC69">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请求响应机制</w:t>
      </w:r>
    </w:p>
    <w:p w14:paraId="5E182DD2">
      <w:pPr>
        <w:pStyle w:val="15"/>
      </w:pPr>
      <w:r>
        <w:rPr>
          <w:rFonts w:hint="eastAsia"/>
        </w:rPr>
        <w:t>异步请求队列管理、同步响应超时控制、批量处理功能实现。</w:t>
      </w:r>
    </w:p>
    <w:p w14:paraId="60A2BDC9">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数据传输安全</w:t>
      </w:r>
    </w:p>
    <w:p w14:paraId="5E57A275">
      <w:pPr>
        <w:pStyle w:val="15"/>
      </w:pPr>
      <w:r>
        <w:rPr>
          <w:rFonts w:hint="eastAsia"/>
        </w:rPr>
        <w:t>端到端加密传输、敏感数据脱敏处理、数据传输完整性校验。</w:t>
      </w:r>
    </w:p>
    <w:p w14:paraId="6300458F">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能力验证测试</w:t>
      </w:r>
    </w:p>
    <w:p w14:paraId="1C795DBC">
      <w:pPr>
        <w:pStyle w:val="15"/>
      </w:pPr>
      <w:r>
        <w:rPr>
          <w:rFonts w:hint="eastAsia"/>
        </w:rPr>
        <w:t>业务场景功能测试、并发性能压力测试、长时运行稳定性测试。</w:t>
      </w:r>
    </w:p>
    <w:p w14:paraId="770DC684">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系统接口适配</w:t>
      </w:r>
    </w:p>
    <w:p w14:paraId="6685B242">
      <w:pPr>
        <w:pStyle w:val="15"/>
      </w:pPr>
      <w:r>
        <w:rPr>
          <w:rFonts w:hint="eastAsia"/>
        </w:rPr>
        <w:t>完成紧急医学救援调度智能体与指挥平台及其它相关业务系统的接口适配，确保数据在系统间准确、高效传输与处理。根据实际业务需求筛选接口输出信息，保证信息的有效性与完整性。通过提示词工程，编写符合大模型解析规范的提示词，确保模型能够以自然语言方式完整总结系统接口数据，支撑特定业务场景下的智能应用，提升决策支持、自动化处理与智能分析能力。</w:t>
      </w:r>
    </w:p>
    <w:p w14:paraId="32147501">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接口测试</w:t>
      </w:r>
    </w:p>
    <w:p w14:paraId="55D977D6">
      <w:pPr>
        <w:pStyle w:val="15"/>
      </w:pPr>
      <w:r>
        <w:rPr>
          <w:rFonts w:hint="eastAsia"/>
        </w:rPr>
        <w:t>数据安全性测试、数据完整性测试、数据实时性测试、数据兼容性测试、接口输出有效性测试。</w:t>
      </w:r>
    </w:p>
    <w:p w14:paraId="12D729BB">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接口开发</w:t>
      </w:r>
    </w:p>
    <w:p w14:paraId="6368AE5E">
      <w:pPr>
        <w:pStyle w:val="15"/>
      </w:pPr>
      <w:r>
        <w:rPr>
          <w:rFonts w:hint="eastAsia"/>
        </w:rPr>
        <w:t>智能体封装系统数据接口开发。</w:t>
      </w:r>
    </w:p>
    <w:p w14:paraId="41F63845">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提示词优化</w:t>
      </w:r>
    </w:p>
    <w:p w14:paraId="1DD98D07">
      <w:pPr>
        <w:pStyle w:val="15"/>
      </w:pPr>
      <w:r>
        <w:rPr>
          <w:rFonts w:hint="eastAsia"/>
        </w:rPr>
        <w:t>系统提示词优化、智能体能力分类提示词优化、工具描述提示词优化、工具参数描述提示词优化、用户提示词优化。</w:t>
      </w:r>
    </w:p>
    <w:p w14:paraId="3E0416D7">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提示词模板设计与测试</w:t>
      </w:r>
    </w:p>
    <w:p w14:paraId="3DED1304">
      <w:pPr>
        <w:pStyle w:val="15"/>
      </w:pPr>
      <w:r>
        <w:rPr>
          <w:rFonts w:hint="eastAsia"/>
        </w:rPr>
        <w:t>提示词模板定义、提示词模拟测试。</w:t>
      </w:r>
    </w:p>
    <w:p w14:paraId="4AFF6348">
      <w:pPr>
        <w:pStyle w:val="8"/>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outlineLvl w:val="3"/>
        <w:rPr>
          <w:rFonts w:hint="eastAsia"/>
        </w:rPr>
      </w:pPr>
      <w:r>
        <w:rPr>
          <w:rFonts w:hint="eastAsia"/>
        </w:rPr>
        <w:t>知识库适配</w:t>
      </w:r>
    </w:p>
    <w:p w14:paraId="4290B166">
      <w:pPr>
        <w:pStyle w:val="15"/>
      </w:pPr>
      <w:r>
        <w:rPr>
          <w:rFonts w:hint="eastAsia"/>
        </w:rPr>
        <w:t>结合本项目所构建的中毒专病库、急救知识库、历史案例库、指令库、意图库、敏感词库等专业知识数据集，完成知识库与智能体及业务系统的全面适配。</w:t>
      </w:r>
    </w:p>
    <w:p w14:paraId="43F273A4">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知识库接口对接与预处理</w:t>
      </w:r>
    </w:p>
    <w:p w14:paraId="474B2F66">
      <w:pPr>
        <w:pStyle w:val="15"/>
      </w:pPr>
      <w:r>
        <w:rPr>
          <w:rFonts w:hint="eastAsia"/>
        </w:rPr>
        <w:t>知识库名称提前录入、查询性能优化、知识灵活调取机制设计。</w:t>
      </w:r>
    </w:p>
    <w:p w14:paraId="2A662736">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接口适配</w:t>
      </w:r>
    </w:p>
    <w:p w14:paraId="2BFAFD36">
      <w:pPr>
        <w:pStyle w:val="15"/>
      </w:pPr>
      <w:r>
        <w:rPr>
          <w:rFonts w:hint="eastAsia"/>
        </w:rPr>
        <w:t>知识库调取功能工具化封装、知识提取接口适配、知识检索接口适配。</w:t>
      </w:r>
    </w:p>
    <w:p w14:paraId="56D0DC1B">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知识获取与溯源</w:t>
      </w:r>
    </w:p>
    <w:p w14:paraId="2598C955">
      <w:pPr>
        <w:pStyle w:val="15"/>
      </w:pPr>
      <w:r>
        <w:rPr>
          <w:rFonts w:hint="eastAsia"/>
        </w:rPr>
        <w:t>知识来源获取接口开发、关联文档获取接口开发。</w:t>
      </w:r>
    </w:p>
    <w:p w14:paraId="71708D54">
      <w:pPr>
        <w:pStyle w:val="9"/>
        <w:keepNext/>
        <w:keepLines/>
        <w:pageBreakBefore w:val="0"/>
        <w:widowControl w:val="0"/>
        <w:kinsoku/>
        <w:wordWrap/>
        <w:overflowPunct/>
        <w:topLinePunct w:val="0"/>
        <w:autoSpaceDE/>
        <w:autoSpaceDN/>
        <w:bidi w:val="0"/>
        <w:adjustRightInd w:val="0"/>
        <w:snapToGrid w:val="0"/>
        <w:spacing w:line="377" w:lineRule="auto"/>
        <w:ind w:left="0"/>
        <w:textAlignment w:val="auto"/>
        <w:outlineLvl w:val="4"/>
        <w:rPr>
          <w:rFonts w:hint="eastAsia"/>
        </w:rPr>
      </w:pPr>
      <w:r>
        <w:rPr>
          <w:rFonts w:hint="eastAsia"/>
        </w:rPr>
        <w:t>提示词优化与测试</w:t>
      </w:r>
    </w:p>
    <w:p w14:paraId="2FD3C806">
      <w:pPr>
        <w:pStyle w:val="15"/>
        <w:rPr>
          <w:rFonts w:hint="eastAsia"/>
          <w:lang w:val="en-US" w:eastAsia="zh-CN"/>
        </w:rPr>
      </w:pPr>
      <w:r>
        <w:rPr>
          <w:rFonts w:hint="eastAsia"/>
        </w:rPr>
        <w:t>知识库查询提示词优化、知识库查询提示词模板设计、提示词测试、多知识库协同调用测试。</w:t>
      </w:r>
    </w:p>
    <w:sectPr>
      <w:pgSz w:w="11906" w:h="16838"/>
      <w:pgMar w:top="1417" w:right="1418" w:bottom="1417" w:left="1418"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Calibri Light">
    <w:panose1 w:val="020F0302020204030204"/>
    <w:charset w:val="00"/>
    <w:family w:val="auto"/>
    <w:pitch w:val="default"/>
    <w:sig w:usb0="E0002AFF" w:usb1="C0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MS Gothic">
    <w:panose1 w:val="020B0609070205080204"/>
    <w:charset w:val="80"/>
    <w:family w:val="modern"/>
    <w:pitch w:val="default"/>
    <w:sig w:usb0="E00002FF" w:usb1="6AC7FDFB" w:usb2="08000012" w:usb3="00000000" w:csb0="4002009F" w:csb1="DFD7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B83E1C"/>
    <w:multiLevelType w:val="multilevel"/>
    <w:tmpl w:val="00B83E1C"/>
    <w:lvl w:ilvl="0" w:tentative="0">
      <w:start w:val="1"/>
      <w:numFmt w:val="decimal"/>
      <w:pStyle w:val="5"/>
      <w:suff w:val="space"/>
      <w:lvlText w:val="第%1章"/>
      <w:lvlJc w:val="left"/>
      <w:pPr>
        <w:ind w:left="0" w:firstLine="0"/>
      </w:pPr>
      <w:rPr>
        <w:rFonts w:hint="eastAsia"/>
      </w:rPr>
    </w:lvl>
    <w:lvl w:ilvl="1" w:tentative="0">
      <w:start w:val="1"/>
      <w:numFmt w:val="decimal"/>
      <w:pStyle w:val="6"/>
      <w:suff w:val="space"/>
      <w:lvlText w:val="%1.%2"/>
      <w:lvlJc w:val="left"/>
      <w:pPr>
        <w:ind w:left="0" w:firstLine="0"/>
      </w:pPr>
      <w:rPr>
        <w:rFonts w:hint="eastAsia"/>
      </w:rPr>
    </w:lvl>
    <w:lvl w:ilvl="2" w:tentative="0">
      <w:start w:val="1"/>
      <w:numFmt w:val="decimal"/>
      <w:pStyle w:val="7"/>
      <w:suff w:val="space"/>
      <w:lvlText w:val="%1.%2.%3"/>
      <w:lvlJc w:val="left"/>
      <w:pPr>
        <w:ind w:left="0" w:firstLine="0"/>
      </w:pPr>
      <w:rPr>
        <w:rFonts w:hint="eastAsia"/>
      </w:rPr>
    </w:lvl>
    <w:lvl w:ilvl="3" w:tentative="0">
      <w:start w:val="1"/>
      <w:numFmt w:val="decimal"/>
      <w:pStyle w:val="8"/>
      <w:suff w:val="space"/>
      <w:lvlText w:val="%1.%2.%3.%4"/>
      <w:lvlJc w:val="left"/>
      <w:pPr>
        <w:ind w:left="284" w:firstLine="0"/>
      </w:pPr>
      <w:rPr>
        <w:rFonts w:hint="eastAsia"/>
      </w:rPr>
    </w:lvl>
    <w:lvl w:ilvl="4" w:tentative="0">
      <w:start w:val="1"/>
      <w:numFmt w:val="decimal"/>
      <w:pStyle w:val="9"/>
      <w:suff w:val="space"/>
      <w:lvlText w:val="%1.%2.%3.%4.%5"/>
      <w:lvlJc w:val="left"/>
      <w:pPr>
        <w:ind w:left="710" w:firstLine="0"/>
      </w:pPr>
      <w:rPr>
        <w:rFonts w:hint="eastAsia"/>
      </w:rPr>
    </w:lvl>
    <w:lvl w:ilvl="5" w:tentative="0">
      <w:start w:val="1"/>
      <w:numFmt w:val="decimal"/>
      <w:pStyle w:val="10"/>
      <w:suff w:val="space"/>
      <w:lvlText w:val="%1.%2.%3.%4.%5.%6"/>
      <w:lvlJc w:val="left"/>
      <w:pPr>
        <w:ind w:left="568" w:firstLine="0"/>
      </w:pPr>
      <w:rPr>
        <w:rFonts w:hint="eastAsia"/>
      </w:rPr>
    </w:lvl>
    <w:lvl w:ilvl="6" w:tentative="0">
      <w:start w:val="1"/>
      <w:numFmt w:val="decimal"/>
      <w:suff w:val="space"/>
      <w:lvlText w:val="%1.%2.%3.%4.%5.%6.%7"/>
      <w:lvlJc w:val="left"/>
      <w:pPr>
        <w:ind w:left="0" w:firstLine="0"/>
      </w:pPr>
      <w:rPr>
        <w:rFonts w:hint="eastAsia"/>
      </w:rPr>
    </w:lvl>
    <w:lvl w:ilvl="7" w:tentative="0">
      <w:start w:val="1"/>
      <w:numFmt w:val="decimal"/>
      <w:suff w:val="space"/>
      <w:lvlText w:val="%1.%2.%3.%4.%5.%6.%7.%8"/>
      <w:lvlJc w:val="left"/>
      <w:pPr>
        <w:ind w:left="0" w:firstLine="0"/>
      </w:pPr>
      <w:rPr>
        <w:rFonts w:hint="eastAsia"/>
      </w:rPr>
    </w:lvl>
    <w:lvl w:ilvl="8" w:tentative="0">
      <w:start w:val="1"/>
      <w:numFmt w:val="decimal"/>
      <w:suff w:val="space"/>
      <w:lvlText w:val="%1.%2.%3.%4.%5.%6.%7.%8.%9"/>
      <w:lvlJc w:val="left"/>
      <w:pPr>
        <w:ind w:left="0" w:firstLine="0"/>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zQ5MzM4NGJkNmU2YjZhOWMxMTcyNDNkZWIyM2IzYzgifQ=="/>
  </w:docVars>
  <w:rsids>
    <w:rsidRoot w:val="2A212BF9"/>
    <w:rsid w:val="000B693E"/>
    <w:rsid w:val="000D400C"/>
    <w:rsid w:val="00120E85"/>
    <w:rsid w:val="001D6F0C"/>
    <w:rsid w:val="002C4F38"/>
    <w:rsid w:val="00384C7E"/>
    <w:rsid w:val="004335F5"/>
    <w:rsid w:val="00444D7F"/>
    <w:rsid w:val="004505A4"/>
    <w:rsid w:val="004A0241"/>
    <w:rsid w:val="004C03F9"/>
    <w:rsid w:val="004D488D"/>
    <w:rsid w:val="00676903"/>
    <w:rsid w:val="00676F69"/>
    <w:rsid w:val="007A4271"/>
    <w:rsid w:val="007F20E3"/>
    <w:rsid w:val="00834478"/>
    <w:rsid w:val="008F22E6"/>
    <w:rsid w:val="0093305D"/>
    <w:rsid w:val="00977571"/>
    <w:rsid w:val="009A0095"/>
    <w:rsid w:val="009D124E"/>
    <w:rsid w:val="009E5941"/>
    <w:rsid w:val="00BE6AF1"/>
    <w:rsid w:val="00C07623"/>
    <w:rsid w:val="00CB1923"/>
    <w:rsid w:val="00E35F4C"/>
    <w:rsid w:val="00EC1F4E"/>
    <w:rsid w:val="00EC61D9"/>
    <w:rsid w:val="00EE4E56"/>
    <w:rsid w:val="04096F7B"/>
    <w:rsid w:val="054C057A"/>
    <w:rsid w:val="05917228"/>
    <w:rsid w:val="09030688"/>
    <w:rsid w:val="09A64A64"/>
    <w:rsid w:val="0F4016EF"/>
    <w:rsid w:val="190E24E6"/>
    <w:rsid w:val="19DF45AE"/>
    <w:rsid w:val="222138E3"/>
    <w:rsid w:val="228C4BA7"/>
    <w:rsid w:val="23F00E68"/>
    <w:rsid w:val="24130DED"/>
    <w:rsid w:val="244020ED"/>
    <w:rsid w:val="27846795"/>
    <w:rsid w:val="28974A46"/>
    <w:rsid w:val="292A0C96"/>
    <w:rsid w:val="29FF0355"/>
    <w:rsid w:val="2A212BF9"/>
    <w:rsid w:val="2D314CC9"/>
    <w:rsid w:val="2D973E07"/>
    <w:rsid w:val="309335A5"/>
    <w:rsid w:val="30AB637E"/>
    <w:rsid w:val="3211722E"/>
    <w:rsid w:val="361C5DEB"/>
    <w:rsid w:val="371143AA"/>
    <w:rsid w:val="3779005F"/>
    <w:rsid w:val="38AC1AB3"/>
    <w:rsid w:val="3B351E28"/>
    <w:rsid w:val="3B81506E"/>
    <w:rsid w:val="3C4A24E1"/>
    <w:rsid w:val="42054D50"/>
    <w:rsid w:val="439B388B"/>
    <w:rsid w:val="465B295F"/>
    <w:rsid w:val="482D0A5D"/>
    <w:rsid w:val="4A3E1CA5"/>
    <w:rsid w:val="4A9A6357"/>
    <w:rsid w:val="4B221C9D"/>
    <w:rsid w:val="4B9E7576"/>
    <w:rsid w:val="4C277703"/>
    <w:rsid w:val="4EB47B84"/>
    <w:rsid w:val="4FE90FDC"/>
    <w:rsid w:val="51A25E57"/>
    <w:rsid w:val="54B56DB3"/>
    <w:rsid w:val="55A35789"/>
    <w:rsid w:val="56AE04EC"/>
    <w:rsid w:val="59004A92"/>
    <w:rsid w:val="5E0B08A5"/>
    <w:rsid w:val="5FE175D9"/>
    <w:rsid w:val="63AF3770"/>
    <w:rsid w:val="63C55C20"/>
    <w:rsid w:val="667545F2"/>
    <w:rsid w:val="67A17EFC"/>
    <w:rsid w:val="684546D0"/>
    <w:rsid w:val="6974145B"/>
    <w:rsid w:val="6CB71DEE"/>
    <w:rsid w:val="6DAC2F2D"/>
    <w:rsid w:val="6F5778B8"/>
    <w:rsid w:val="71844269"/>
    <w:rsid w:val="75E856EE"/>
    <w:rsid w:val="778D20C9"/>
    <w:rsid w:val="7BB826D5"/>
    <w:rsid w:val="7ED7632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0"/>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9" w:semiHidden="0" w:name="Normal"/>
    <w:lsdException w:qFormat="1" w:unhideWhenUsed="0" w:uiPriority="9" w:semiHidden="0" w:name="heading 1"/>
    <w:lsdException w:qFormat="1" w:unhideWhenUsed="0" w:uiPriority="9" w:semiHidden="0" w:name="heading 2"/>
    <w:lsdException w:qFormat="1" w:unhideWhenUsed="0" w:uiPriority="9" w:semiHidden="0" w:name="heading 3"/>
    <w:lsdException w:qFormat="1" w:unhideWhenUsed="0" w:uiPriority="9" w:semiHidden="0" w:name="heading 4"/>
    <w:lsdException w:qFormat="1" w:unhideWhenUsed="0" w:uiPriority="9"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iPriority="99" w:semiHidden="0" w:name="Normal Indent"/>
    <w:lsdException w:qFormat="1" w:unhideWhenUsed="0" w:uiPriority="99"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qFormat="1"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iPriority="99"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9"/>
    <w:pPr>
      <w:widowControl w:val="0"/>
      <w:jc w:val="both"/>
    </w:pPr>
    <w:rPr>
      <w:rFonts w:asciiTheme="minorHAnsi" w:hAnsiTheme="minorHAnsi" w:eastAsiaTheme="minorEastAsia" w:cstheme="minorBidi"/>
      <w:kern w:val="2"/>
      <w:sz w:val="21"/>
      <w:szCs w:val="21"/>
      <w:lang w:val="en-US" w:eastAsia="zh-CN" w:bidi="ar-SA"/>
    </w:rPr>
  </w:style>
  <w:style w:type="paragraph" w:styleId="5">
    <w:name w:val="heading 1"/>
    <w:basedOn w:val="1"/>
    <w:next w:val="1"/>
    <w:qFormat/>
    <w:uiPriority w:val="9"/>
    <w:pPr>
      <w:keepNext/>
      <w:keepLines/>
      <w:pageBreakBefore/>
      <w:numPr>
        <w:ilvl w:val="0"/>
        <w:numId w:val="1"/>
      </w:numPr>
      <w:spacing w:before="240" w:beforeLines="50" w:afterLines="50" w:line="360" w:lineRule="auto"/>
      <w:jc w:val="center"/>
      <w:outlineLvl w:val="0"/>
    </w:pPr>
    <w:rPr>
      <w:rFonts w:ascii="等线" w:hAnsi="等线" w:eastAsia="黑体" w:cs="Times New Roman"/>
      <w:b/>
      <w:bCs/>
      <w:kern w:val="44"/>
      <w:sz w:val="32"/>
      <w:szCs w:val="44"/>
    </w:rPr>
  </w:style>
  <w:style w:type="paragraph" w:styleId="6">
    <w:name w:val="heading 2"/>
    <w:basedOn w:val="1"/>
    <w:next w:val="1"/>
    <w:autoRedefine/>
    <w:qFormat/>
    <w:uiPriority w:val="9"/>
    <w:pPr>
      <w:keepNext/>
      <w:keepLines/>
      <w:numPr>
        <w:ilvl w:val="1"/>
        <w:numId w:val="1"/>
      </w:numPr>
      <w:snapToGrid w:val="0"/>
      <w:spacing w:line="360" w:lineRule="auto"/>
      <w:contextualSpacing/>
      <w:outlineLvl w:val="1"/>
    </w:pPr>
    <w:rPr>
      <w:rFonts w:ascii="Times New Roman" w:hAnsi="Times New Roman" w:eastAsia="黑体" w:cstheme="majorBidi"/>
      <w:b/>
      <w:bCs/>
      <w:color w:val="000000" w:themeColor="text1"/>
      <w:sz w:val="30"/>
      <w:szCs w:val="32"/>
      <w14:textFill>
        <w14:solidFill>
          <w14:schemeClr w14:val="tx1"/>
        </w14:solidFill>
      </w14:textFill>
    </w:rPr>
  </w:style>
  <w:style w:type="paragraph" w:styleId="7">
    <w:name w:val="heading 3"/>
    <w:basedOn w:val="1"/>
    <w:next w:val="1"/>
    <w:link w:val="29"/>
    <w:autoRedefine/>
    <w:qFormat/>
    <w:uiPriority w:val="9"/>
    <w:pPr>
      <w:keepNext/>
      <w:keepLines/>
      <w:numPr>
        <w:ilvl w:val="2"/>
        <w:numId w:val="1"/>
      </w:numPr>
      <w:adjustRightInd w:val="0"/>
      <w:snapToGrid w:val="0"/>
      <w:spacing w:line="560" w:lineRule="exact"/>
      <w:contextualSpacing/>
      <w:outlineLvl w:val="2"/>
    </w:pPr>
    <w:rPr>
      <w:rFonts w:eastAsia="黑体"/>
      <w:b/>
      <w:bCs/>
      <w:color w:val="000000" w:themeColor="text1"/>
      <w:sz w:val="24"/>
      <w:szCs w:val="32"/>
      <w14:textFill>
        <w14:solidFill>
          <w14:schemeClr w14:val="tx1"/>
        </w14:solidFill>
      </w14:textFill>
    </w:rPr>
  </w:style>
  <w:style w:type="paragraph" w:styleId="8">
    <w:name w:val="heading 4"/>
    <w:basedOn w:val="7"/>
    <w:next w:val="9"/>
    <w:autoRedefine/>
    <w:qFormat/>
    <w:uiPriority w:val="9"/>
    <w:pPr>
      <w:keepNext/>
      <w:keepLines/>
      <w:numPr>
        <w:ilvl w:val="3"/>
        <w:numId w:val="1"/>
      </w:numPr>
      <w:spacing w:before="280" w:after="290" w:line="376" w:lineRule="auto"/>
      <w:outlineLvl w:val="3"/>
    </w:pPr>
    <w:rPr>
      <w:rFonts w:ascii="Times New Roman" w:hAnsi="Times New Roman" w:eastAsia="黑体" w:cstheme="majorBidi"/>
      <w:sz w:val="28"/>
      <w:szCs w:val="28"/>
    </w:rPr>
  </w:style>
  <w:style w:type="paragraph" w:styleId="9">
    <w:name w:val="heading 5"/>
    <w:basedOn w:val="8"/>
    <w:next w:val="10"/>
    <w:autoRedefine/>
    <w:qFormat/>
    <w:uiPriority w:val="9"/>
    <w:pPr>
      <w:keepNext/>
      <w:keepLines/>
      <w:numPr>
        <w:ilvl w:val="4"/>
        <w:numId w:val="1"/>
      </w:numPr>
      <w:spacing w:before="280" w:after="290" w:line="376" w:lineRule="auto"/>
      <w:outlineLvl w:val="4"/>
    </w:pPr>
    <w:rPr>
      <w:rFonts w:ascii="黑体" w:eastAsia="黑体"/>
      <w:sz w:val="24"/>
      <w:szCs w:val="28"/>
    </w:rPr>
  </w:style>
  <w:style w:type="paragraph" w:styleId="10">
    <w:name w:val="heading 6"/>
    <w:basedOn w:val="1"/>
    <w:next w:val="11"/>
    <w:qFormat/>
    <w:uiPriority w:val="0"/>
    <w:pPr>
      <w:keepNext/>
      <w:keepLines/>
      <w:numPr>
        <w:ilvl w:val="5"/>
        <w:numId w:val="1"/>
      </w:numPr>
      <w:spacing w:before="240" w:after="64" w:line="320" w:lineRule="auto"/>
      <w:outlineLvl w:val="5"/>
    </w:pPr>
    <w:rPr>
      <w:rFonts w:ascii="黑体" w:eastAsia="黑体" w:hAnsiTheme="majorHAnsi" w:cstheme="majorBidi"/>
      <w:b/>
      <w:bCs/>
      <w:kern w:val="2"/>
      <w:sz w:val="24"/>
      <w:szCs w:val="24"/>
      <w:lang w:val="en-US" w:eastAsia="zh-CN" w:bidi="ar-SA"/>
    </w:rPr>
  </w:style>
  <w:style w:type="paragraph" w:styleId="12">
    <w:name w:val="heading 7"/>
    <w:basedOn w:val="1"/>
    <w:next w:val="13"/>
    <w:link w:val="33"/>
    <w:autoRedefine/>
    <w:qFormat/>
    <w:uiPriority w:val="0"/>
    <w:pPr>
      <w:keepNext/>
      <w:widowControl/>
      <w:adjustRightInd w:val="0"/>
      <w:snapToGrid w:val="0"/>
      <w:spacing w:before="120" w:after="120" w:line="360" w:lineRule="auto"/>
      <w:contextualSpacing/>
      <w:jc w:val="left"/>
      <w:outlineLvl w:val="6"/>
    </w:pPr>
    <w:rPr>
      <w:rFonts w:ascii="Times New Roman" w:hAnsi="Times New Roman" w:eastAsia="宋体" w:cs="等线"/>
      <w:b/>
      <w:sz w:val="24"/>
    </w:rPr>
  </w:style>
  <w:style w:type="paragraph" w:styleId="14">
    <w:name w:val="heading 8"/>
    <w:basedOn w:val="1"/>
    <w:next w:val="15"/>
    <w:link w:val="34"/>
    <w:autoRedefine/>
    <w:qFormat/>
    <w:uiPriority w:val="0"/>
    <w:pPr>
      <w:keepNext/>
      <w:widowControl/>
      <w:snapToGrid w:val="0"/>
      <w:spacing w:before="120" w:after="120" w:line="360" w:lineRule="auto"/>
      <w:contextualSpacing/>
      <w:jc w:val="left"/>
      <w:outlineLvl w:val="7"/>
    </w:pPr>
    <w:rPr>
      <w:rFonts w:ascii="Times New Roman" w:hAnsi="Times New Roman" w:eastAsia="宋体" w:cs="等线"/>
      <w:b/>
      <w:sz w:val="24"/>
    </w:rPr>
  </w:style>
  <w:style w:type="paragraph" w:styleId="17">
    <w:name w:val="heading 9"/>
    <w:basedOn w:val="1"/>
    <w:next w:val="15"/>
    <w:link w:val="35"/>
    <w:autoRedefine/>
    <w:qFormat/>
    <w:uiPriority w:val="0"/>
    <w:pPr>
      <w:keepNext/>
      <w:widowControl/>
      <w:snapToGrid w:val="0"/>
      <w:spacing w:before="120" w:after="120" w:line="360" w:lineRule="auto"/>
      <w:contextualSpacing/>
      <w:jc w:val="left"/>
      <w:outlineLvl w:val="8"/>
    </w:pPr>
    <w:rPr>
      <w:rFonts w:ascii="Times New Roman" w:hAnsi="Times New Roman" w:eastAsia="宋体" w:cs="等线"/>
      <w:b/>
      <w:sz w:val="24"/>
    </w:rPr>
  </w:style>
  <w:style w:type="character" w:default="1" w:styleId="27">
    <w:name w:val="Default Paragraph Font"/>
    <w:autoRedefine/>
    <w:semiHidden/>
    <w:unhideWhenUsed/>
    <w:qFormat/>
    <w:uiPriority w:val="1"/>
  </w:style>
  <w:style w:type="table" w:default="1" w:styleId="25">
    <w:name w:val="Normal Table"/>
    <w:autoRedefine/>
    <w:semiHidden/>
    <w:unhideWhenUsed/>
    <w:qFormat/>
    <w:uiPriority w:val="99"/>
    <w:tblPr>
      <w:tblCellMar>
        <w:top w:w="0" w:type="dxa"/>
        <w:left w:w="108" w:type="dxa"/>
        <w:bottom w:w="0" w:type="dxa"/>
        <w:right w:w="108" w:type="dxa"/>
      </w:tblCellMar>
    </w:tblPr>
  </w:style>
  <w:style w:type="paragraph" w:styleId="2">
    <w:name w:val="Body Text"/>
    <w:basedOn w:val="1"/>
    <w:next w:val="3"/>
    <w:qFormat/>
    <w:uiPriority w:val="0"/>
    <w:pPr>
      <w:spacing w:after="120" w:line="360" w:lineRule="auto"/>
      <w:ind w:firstLine="200" w:firstLineChars="200"/>
    </w:pPr>
    <w:rPr>
      <w:rFonts w:ascii="Calibri" w:hAnsi="Calibri" w:eastAsia="宋体" w:cs="Times New Roman"/>
      <w:sz w:val="24"/>
      <w:szCs w:val="24"/>
    </w:rPr>
  </w:style>
  <w:style w:type="paragraph" w:styleId="3">
    <w:name w:val="Body Text First Indent 2"/>
    <w:basedOn w:val="4"/>
    <w:autoRedefine/>
    <w:qFormat/>
    <w:uiPriority w:val="0"/>
    <w:pPr>
      <w:spacing w:after="120"/>
      <w:ind w:left="420" w:leftChars="200" w:firstLine="420" w:firstLineChars="200"/>
    </w:pPr>
    <w:rPr>
      <w:sz w:val="21"/>
    </w:rPr>
  </w:style>
  <w:style w:type="paragraph" w:styleId="4">
    <w:name w:val="Body Text Indent"/>
    <w:basedOn w:val="1"/>
    <w:autoRedefine/>
    <w:qFormat/>
    <w:uiPriority w:val="0"/>
    <w:pPr>
      <w:ind w:firstLine="645"/>
    </w:pPr>
    <w:rPr>
      <w:rFonts w:ascii="Arial" w:hAnsi="Arial" w:eastAsia="仿宋_GB2312"/>
      <w:sz w:val="28"/>
    </w:rPr>
  </w:style>
  <w:style w:type="paragraph" w:customStyle="1" w:styleId="11">
    <w:name w:val="FC正文"/>
    <w:basedOn w:val="1"/>
    <w:qFormat/>
    <w:uiPriority w:val="0"/>
    <w:pPr>
      <w:spacing w:line="360" w:lineRule="auto"/>
      <w:ind w:firstLine="200" w:firstLineChars="200"/>
    </w:pPr>
    <w:rPr>
      <w:rFonts w:ascii="宋体" w:eastAsia="宋体" w:hAnsiTheme="minorEastAsia" w:cstheme="minorEastAsia"/>
      <w:sz w:val="24"/>
    </w:rPr>
  </w:style>
  <w:style w:type="paragraph" w:customStyle="1" w:styleId="13">
    <w:name w:val="HS   正文"/>
    <w:autoRedefine/>
    <w:qFormat/>
    <w:locked/>
    <w:uiPriority w:val="0"/>
    <w:pPr>
      <w:widowControl w:val="0"/>
      <w:snapToGrid w:val="0"/>
      <w:spacing w:before="50" w:beforeLines="50" w:after="50" w:afterLines="50" w:line="360" w:lineRule="auto"/>
      <w:ind w:firstLine="480" w:firstLineChars="200"/>
      <w:contextualSpacing/>
      <w:jc w:val="both"/>
    </w:pPr>
    <w:rPr>
      <w:rFonts w:ascii="宋体" w:hAnsi="宋体" w:eastAsia="宋体" w:cstheme="minorEastAsia"/>
      <w:kern w:val="2"/>
      <w:sz w:val="24"/>
      <w:szCs w:val="21"/>
      <w:lang w:val="en-US" w:eastAsia="zh-CN" w:bidi="ar-SA"/>
    </w:rPr>
  </w:style>
  <w:style w:type="paragraph" w:customStyle="1" w:styleId="15">
    <w:name w:val="KY1正文"/>
    <w:basedOn w:val="16"/>
    <w:link w:val="36"/>
    <w:autoRedefine/>
    <w:qFormat/>
    <w:uiPriority w:val="0"/>
    <w:pPr>
      <w:spacing w:line="360" w:lineRule="auto"/>
      <w:ind w:firstLine="480" w:firstLineChars="200"/>
      <w:jc w:val="left"/>
    </w:pPr>
    <w:rPr>
      <w:rFonts w:ascii="Times New Roman" w:hAnsi="Times New Roman" w:eastAsia="宋体" w:cstheme="minorEastAsia"/>
      <w:sz w:val="24"/>
    </w:rPr>
  </w:style>
  <w:style w:type="paragraph" w:customStyle="1" w:styleId="16">
    <w:name w:val="!基准"/>
    <w:qFormat/>
    <w:uiPriority w:val="5"/>
    <w:rPr>
      <w:rFonts w:ascii="Times New Roman" w:hAnsi="Times New Roman" w:eastAsia="宋体" w:cstheme="minorBidi"/>
      <w:kern w:val="2"/>
      <w:sz w:val="21"/>
      <w:szCs w:val="21"/>
      <w:lang w:val="en-US" w:eastAsia="zh-CN" w:bidi="ar-SA"/>
    </w:rPr>
  </w:style>
  <w:style w:type="paragraph" w:styleId="18">
    <w:name w:val="Normal Indent"/>
    <w:basedOn w:val="1"/>
    <w:next w:val="1"/>
    <w:autoRedefine/>
    <w:unhideWhenUsed/>
    <w:qFormat/>
    <w:uiPriority w:val="99"/>
    <w:pPr>
      <w:ind w:firstLine="420" w:firstLineChars="200"/>
    </w:pPr>
  </w:style>
  <w:style w:type="paragraph" w:styleId="19">
    <w:name w:val="caption"/>
    <w:basedOn w:val="1"/>
    <w:next w:val="1"/>
    <w:link w:val="37"/>
    <w:autoRedefine/>
    <w:qFormat/>
    <w:uiPriority w:val="0"/>
    <w:pPr>
      <w:keepNext/>
      <w:widowControl/>
      <w:jc w:val="center"/>
    </w:pPr>
    <w:rPr>
      <w:rFonts w:ascii="Times New Roman" w:hAnsi="Times New Roman" w:eastAsia="黑体" w:cstheme="majorBidi"/>
      <w:sz w:val="20"/>
      <w:szCs w:val="20"/>
    </w:rPr>
  </w:style>
  <w:style w:type="paragraph" w:styleId="20">
    <w:name w:val="Body Text Indent 2"/>
    <w:basedOn w:val="1"/>
    <w:autoRedefine/>
    <w:unhideWhenUsed/>
    <w:qFormat/>
    <w:uiPriority w:val="99"/>
    <w:pPr>
      <w:widowControl/>
      <w:autoSpaceDN w:val="0"/>
      <w:spacing w:after="120" w:line="480" w:lineRule="auto"/>
      <w:ind w:left="420" w:leftChars="200"/>
    </w:pPr>
    <w:rPr>
      <w:kern w:val="0"/>
      <w:sz w:val="24"/>
      <w:szCs w:val="22"/>
      <w:lang w:eastAsia="en-US" w:bidi="en-US"/>
    </w:rPr>
  </w:style>
  <w:style w:type="paragraph" w:styleId="21">
    <w:name w:val="footer"/>
    <w:basedOn w:val="1"/>
    <w:link w:val="32"/>
    <w:autoRedefine/>
    <w:qFormat/>
    <w:uiPriority w:val="0"/>
    <w:pPr>
      <w:tabs>
        <w:tab w:val="center" w:pos="4153"/>
        <w:tab w:val="right" w:pos="8306"/>
      </w:tabs>
      <w:snapToGrid w:val="0"/>
      <w:jc w:val="left"/>
    </w:pPr>
    <w:rPr>
      <w:sz w:val="18"/>
      <w:szCs w:val="18"/>
    </w:rPr>
  </w:style>
  <w:style w:type="paragraph" w:styleId="22">
    <w:name w:val="envelope return"/>
    <w:basedOn w:val="1"/>
    <w:autoRedefine/>
    <w:qFormat/>
    <w:uiPriority w:val="0"/>
    <w:pPr>
      <w:snapToGrid w:val="0"/>
    </w:pPr>
    <w:rPr>
      <w:rFonts w:ascii="Arial" w:hAnsi="Arial" w:cs="Arial"/>
    </w:rPr>
  </w:style>
  <w:style w:type="paragraph" w:styleId="23">
    <w:name w:val="header"/>
    <w:basedOn w:val="1"/>
    <w:link w:val="31"/>
    <w:autoRedefine/>
    <w:qFormat/>
    <w:uiPriority w:val="0"/>
    <w:pPr>
      <w:tabs>
        <w:tab w:val="center" w:pos="4153"/>
        <w:tab w:val="right" w:pos="8306"/>
      </w:tabs>
      <w:snapToGrid w:val="0"/>
      <w:jc w:val="center"/>
    </w:pPr>
    <w:rPr>
      <w:sz w:val="18"/>
      <w:szCs w:val="18"/>
    </w:rPr>
  </w:style>
  <w:style w:type="paragraph" w:styleId="24">
    <w:name w:val="footnote text"/>
    <w:basedOn w:val="1"/>
    <w:autoRedefine/>
    <w:qFormat/>
    <w:uiPriority w:val="99"/>
    <w:pPr>
      <w:snapToGrid w:val="0"/>
    </w:pPr>
    <w:rPr>
      <w:kern w:val="0"/>
      <w:sz w:val="18"/>
      <w:szCs w:val="18"/>
    </w:rPr>
  </w:style>
  <w:style w:type="table" w:styleId="26">
    <w:name w:val="Table Grid"/>
    <w:basedOn w:val="25"/>
    <w:autoRedefine/>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8">
    <w:name w:val="AA正文"/>
    <w:basedOn w:val="1"/>
    <w:autoRedefine/>
    <w:qFormat/>
    <w:uiPriority w:val="0"/>
    <w:pPr>
      <w:snapToGrid w:val="0"/>
      <w:spacing w:line="360" w:lineRule="auto"/>
      <w:ind w:firstLine="200" w:firstLineChars="200"/>
    </w:pPr>
    <w:rPr>
      <w:sz w:val="24"/>
      <w:szCs w:val="24"/>
    </w:rPr>
  </w:style>
  <w:style w:type="character" w:customStyle="1" w:styleId="29">
    <w:name w:val="标题 3 字符"/>
    <w:link w:val="7"/>
    <w:autoRedefine/>
    <w:qFormat/>
    <w:uiPriority w:val="0"/>
    <w:rPr>
      <w:rFonts w:eastAsia="黑体" w:asciiTheme="minorHAnsi" w:hAnsiTheme="minorHAnsi" w:cstheme="minorBidi"/>
      <w:b/>
      <w:bCs/>
      <w:color w:val="000000" w:themeColor="text1"/>
      <w:kern w:val="2"/>
      <w:sz w:val="24"/>
      <w:szCs w:val="32"/>
      <w:lang w:val="en-US" w:eastAsia="zh-CN" w:bidi="ar-SA"/>
      <w14:textFill>
        <w14:solidFill>
          <w14:schemeClr w14:val="tx1"/>
        </w14:solidFill>
      </w14:textFill>
    </w:rPr>
  </w:style>
  <w:style w:type="paragraph" w:customStyle="1" w:styleId="30">
    <w:name w:val="yhw3"/>
    <w:basedOn w:val="1"/>
    <w:autoRedefine/>
    <w:qFormat/>
    <w:uiPriority w:val="0"/>
    <w:pPr>
      <w:ind w:firstLine="640" w:firstLineChars="200"/>
    </w:pPr>
    <w:rPr>
      <w:rFonts w:cs="宋体"/>
    </w:rPr>
  </w:style>
  <w:style w:type="character" w:customStyle="1" w:styleId="31">
    <w:name w:val="页眉 字符"/>
    <w:basedOn w:val="27"/>
    <w:link w:val="23"/>
    <w:autoRedefine/>
    <w:qFormat/>
    <w:uiPriority w:val="0"/>
    <w:rPr>
      <w:kern w:val="2"/>
      <w:sz w:val="18"/>
      <w:szCs w:val="18"/>
    </w:rPr>
  </w:style>
  <w:style w:type="character" w:customStyle="1" w:styleId="32">
    <w:name w:val="页脚 字符"/>
    <w:basedOn w:val="27"/>
    <w:link w:val="21"/>
    <w:autoRedefine/>
    <w:qFormat/>
    <w:uiPriority w:val="0"/>
    <w:rPr>
      <w:kern w:val="2"/>
      <w:sz w:val="18"/>
      <w:szCs w:val="18"/>
    </w:rPr>
  </w:style>
  <w:style w:type="character" w:customStyle="1" w:styleId="33">
    <w:name w:val="标题 7 字符"/>
    <w:basedOn w:val="27"/>
    <w:link w:val="12"/>
    <w:autoRedefine/>
    <w:qFormat/>
    <w:uiPriority w:val="1"/>
    <w:rPr>
      <w:rFonts w:ascii="Times New Roman" w:hAnsi="Times New Roman" w:eastAsia="宋体" w:cs="等线"/>
      <w:b/>
      <w:kern w:val="2"/>
      <w:sz w:val="24"/>
      <w:szCs w:val="21"/>
    </w:rPr>
  </w:style>
  <w:style w:type="character" w:customStyle="1" w:styleId="34">
    <w:name w:val="标题 8 字符"/>
    <w:basedOn w:val="27"/>
    <w:link w:val="14"/>
    <w:autoRedefine/>
    <w:qFormat/>
    <w:uiPriority w:val="1"/>
    <w:rPr>
      <w:rFonts w:ascii="Times New Roman" w:hAnsi="Times New Roman" w:eastAsia="宋体" w:cs="等线"/>
      <w:b/>
      <w:kern w:val="2"/>
      <w:sz w:val="24"/>
      <w:szCs w:val="21"/>
    </w:rPr>
  </w:style>
  <w:style w:type="character" w:customStyle="1" w:styleId="35">
    <w:name w:val="标题 9 字符"/>
    <w:basedOn w:val="27"/>
    <w:link w:val="17"/>
    <w:autoRedefine/>
    <w:qFormat/>
    <w:uiPriority w:val="1"/>
    <w:rPr>
      <w:rFonts w:ascii="Times New Roman" w:hAnsi="Times New Roman" w:eastAsia="宋体" w:cs="等线"/>
      <w:b/>
      <w:kern w:val="2"/>
      <w:sz w:val="24"/>
      <w:szCs w:val="21"/>
    </w:rPr>
  </w:style>
  <w:style w:type="character" w:customStyle="1" w:styleId="36">
    <w:name w:val="KY1正文 字符"/>
    <w:link w:val="15"/>
    <w:autoRedefine/>
    <w:qFormat/>
    <w:uiPriority w:val="0"/>
    <w:rPr>
      <w:rFonts w:ascii="Times New Roman" w:hAnsi="Times New Roman" w:eastAsia="宋体" w:cstheme="minorEastAsia"/>
      <w:kern w:val="2"/>
      <w:sz w:val="24"/>
      <w:szCs w:val="21"/>
    </w:rPr>
  </w:style>
  <w:style w:type="character" w:customStyle="1" w:styleId="37">
    <w:name w:val="题注 字符"/>
    <w:link w:val="19"/>
    <w:autoRedefine/>
    <w:qFormat/>
    <w:uiPriority w:val="99"/>
    <w:rPr>
      <w:rFonts w:ascii="Times New Roman" w:hAnsi="Times New Roman" w:eastAsia="黑体" w:cstheme="majorBidi"/>
      <w:kern w:val="2"/>
    </w:rPr>
  </w:style>
  <w:style w:type="paragraph" w:customStyle="1" w:styleId="38">
    <w:name w:val="KY3表文"/>
    <w:basedOn w:val="1"/>
    <w:link w:val="39"/>
    <w:autoRedefine/>
    <w:qFormat/>
    <w:uiPriority w:val="0"/>
    <w:pPr>
      <w:widowControl/>
      <w:snapToGrid w:val="0"/>
      <w:contextualSpacing/>
      <w:jc w:val="center"/>
    </w:pPr>
    <w:rPr>
      <w:rFonts w:ascii="Times New Roman" w:hAnsi="Times New Roman" w:eastAsia="宋体" w:cs="Times New Roman"/>
      <w:color w:val="000000" w:themeColor="text1"/>
      <w:kern w:val="0"/>
      <w:szCs w:val="24"/>
      <w14:textFill>
        <w14:solidFill>
          <w14:schemeClr w14:val="tx1"/>
        </w14:solidFill>
      </w14:textFill>
    </w:rPr>
  </w:style>
  <w:style w:type="character" w:customStyle="1" w:styleId="39">
    <w:name w:val="KY3表文 字符"/>
    <w:basedOn w:val="27"/>
    <w:link w:val="38"/>
    <w:autoRedefine/>
    <w:qFormat/>
    <w:uiPriority w:val="0"/>
    <w:rPr>
      <w:rFonts w:ascii="Times New Roman" w:hAnsi="Times New Roman" w:eastAsia="宋体" w:cs="Times New Roman"/>
      <w:color w:val="000000" w:themeColor="text1"/>
      <w:sz w:val="21"/>
      <w:szCs w:val="24"/>
      <w14:textFill>
        <w14:solidFill>
          <w14:schemeClr w14:val="tx1"/>
        </w14:solidFill>
      </w14:textFill>
    </w:rPr>
  </w:style>
  <w:style w:type="table" w:customStyle="1" w:styleId="40">
    <w:name w:val="FC16"/>
    <w:basedOn w:val="25"/>
    <w:autoRedefine/>
    <w:qFormat/>
    <w:uiPriority w:val="99"/>
    <w:pPr>
      <w:jc w:val="center"/>
    </w:pPr>
    <w:rPr>
      <w:rFonts w:ascii="Calibri" w:hAnsi="Calibri" w:eastAsia="宋体" w:cs="Times New Roman"/>
    </w:rPr>
    <w:tblPr>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Pr>
    <w:tcPr>
      <w:shd w:val="clear" w:color="auto" w:fill="FFFFFF"/>
      <w:vAlign w:val="center"/>
    </w:tcPr>
    <w:tblStylePr w:type="firstRow">
      <w:tcPr>
        <w:tcBorders>
          <w:top w:val="double" w:color="auto" w:sz="4" w:space="0"/>
        </w:tcBorders>
        <w:shd w:val="clear" w:color="auto" w:fill="D9D9D9"/>
      </w:tcPr>
    </w:tblStylePr>
    <w:tblStylePr w:type="lastRow">
      <w:tcPr>
        <w:tcBorders>
          <w:bottom w:val="double" w:color="auto" w:sz="4" w:space="0"/>
        </w:tcBorders>
        <w:shd w:val="clear" w:color="auto" w:fill="FFFFFF"/>
      </w:tcPr>
    </w:tblStylePr>
    <w:tblStylePr w:type="firstCol">
      <w:tcPr>
        <w:tcBorders>
          <w:top w:val="nil"/>
          <w:left w:val="double" w:color="auto" w:sz="4" w:space="0"/>
        </w:tcBorders>
      </w:tcPr>
    </w:tblStylePr>
    <w:tblStylePr w:type="lastCol">
      <w:tcPr>
        <w:tcBorders>
          <w:right w:val="double" w:color="auto" w:sz="4" w:space="0"/>
        </w:tcBorders>
        <w:shd w:val="clear" w:color="auto" w:fill="FFFFFF"/>
      </w:tcPr>
    </w:tblStylePr>
  </w:style>
  <w:style w:type="character" w:customStyle="1" w:styleId="41">
    <w:name w:val="本文正文 Char"/>
    <w:basedOn w:val="27"/>
    <w:link w:val="42"/>
    <w:autoRedefine/>
    <w:qFormat/>
    <w:uiPriority w:val="0"/>
    <w:rPr>
      <w:rFonts w:ascii="Calibri" w:hAnsi="Calibri" w:eastAsia="宋体" w:cs="Times New Roman"/>
      <w:sz w:val="28"/>
      <w:szCs w:val="28"/>
    </w:rPr>
  </w:style>
  <w:style w:type="paragraph" w:customStyle="1" w:styleId="42">
    <w:name w:val="本文正文"/>
    <w:basedOn w:val="1"/>
    <w:link w:val="41"/>
    <w:qFormat/>
    <w:uiPriority w:val="0"/>
    <w:pPr>
      <w:ind w:right="280" w:rightChars="100" w:firstLine="560"/>
    </w:pPr>
    <w:rPr>
      <w:rFonts w:ascii="Calibri" w:hAnsi="Calibri" w:eastAsia="宋体" w:cs="Times New Roman"/>
      <w:kern w:val="0"/>
      <w:sz w:val="28"/>
      <w:szCs w:val="28"/>
    </w:rPr>
  </w:style>
  <w:style w:type="paragraph" w:customStyle="1" w:styleId="43">
    <w:name w:val="KY5图片"/>
    <w:basedOn w:val="1"/>
    <w:next w:val="1"/>
    <w:qFormat/>
    <w:uiPriority w:val="0"/>
    <w:pPr>
      <w:keepNext/>
      <w:widowControl/>
      <w:adjustRightInd w:val="0"/>
      <w:snapToGrid w:val="0"/>
      <w:jc w:val="center"/>
    </w:pPr>
    <w:rPr>
      <w:rFonts w:ascii="Times New Roman" w:hAnsi="Times New Roman" w:eastAsia="黑体" w:cs="Times New Roman"/>
      <w:color w:val="00B050"/>
      <w:szCs w:val="24"/>
    </w:rPr>
  </w:style>
  <w:style w:type="paragraph" w:customStyle="1" w:styleId="44">
    <w:name w:val="KY4图注"/>
    <w:basedOn w:val="1"/>
    <w:next w:val="1"/>
    <w:qFormat/>
    <w:uiPriority w:val="0"/>
    <w:pPr>
      <w:widowControl/>
      <w:adjustRightInd w:val="0"/>
      <w:snapToGrid w:val="0"/>
      <w:spacing w:after="50" w:afterLines="50"/>
      <w:jc w:val="center"/>
    </w:pPr>
    <w:rPr>
      <w:rFonts w:ascii="Times New Roman" w:hAnsi="Times New Roman" w:eastAsia="黑体"/>
      <w:sz w:val="20"/>
      <w:szCs w:val="72"/>
    </w:rPr>
  </w:style>
  <w:style w:type="paragraph" w:customStyle="1" w:styleId="45">
    <w:name w:val="A图片样式"/>
    <w:basedOn w:val="1"/>
    <w:qFormat/>
    <w:uiPriority w:val="0"/>
    <w:pPr>
      <w:snapToGrid w:val="0"/>
      <w:contextualSpacing/>
      <w:jc w:val="center"/>
    </w:pPr>
    <w:rPr>
      <w:rFonts w:ascii="Times New Roman" w:hAnsi="Times New Roman" w:eastAsia="宋体" w:cstheme="minorEastAsia"/>
      <w:color w:val="000000" w:themeColor="text1"/>
      <w:sz w:val="24"/>
      <w:szCs w:val="21"/>
      <w14:textFill>
        <w14:solidFill>
          <w14:schemeClr w14:val="tx1"/>
        </w14:solidFill>
      </w14:textFill>
    </w:rPr>
  </w:style>
  <w:style w:type="table" w:customStyle="1" w:styleId="46">
    <w:name w:val="KYbg2020"/>
    <w:basedOn w:val="25"/>
    <w:autoRedefine/>
    <w:qFormat/>
    <w:uiPriority w:val="99"/>
    <w:pPr>
      <w:widowControl w:val="0"/>
      <w:snapToGrid w:val="0"/>
      <w:contextualSpacing/>
      <w:jc w:val="center"/>
    </w:pPr>
    <w:rPr>
      <w:color w:val="7030A0"/>
    </w:rPr>
    <w:tblPr>
      <w:jc w:val="center"/>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left w:w="0" w:type="dxa"/>
        <w:right w:w="0" w:type="dxa"/>
      </w:tblCellMar>
    </w:tblPr>
    <w:trPr>
      <w:jc w:val="center"/>
    </w:trPr>
    <w:tcPr>
      <w:vAlign w:val="center"/>
    </w:tcPr>
    <w:tblStylePr w:type="firstRow">
      <w:rPr>
        <w:rFonts w:eastAsia="宋体"/>
        <w:b/>
        <w:sz w:val="21"/>
      </w:rPr>
      <w:tblPr/>
      <w:trPr>
        <w:tblHeader/>
      </w:trPr>
      <w:tcPr>
        <w:tcBorders>
          <w:top w:val="double" w:color="auto" w:sz="4" w:space="0"/>
          <w:left w:val="double" w:color="auto" w:sz="4" w:space="0"/>
          <w:bottom w:val="single" w:color="auto" w:sz="4" w:space="0"/>
          <w:right w:val="double" w:color="auto" w:sz="4" w:space="0"/>
          <w:insideH w:val="nil"/>
          <w:insideV w:val="single" w:sz="4" w:space="0"/>
          <w:tl2br w:val="nil"/>
          <w:tr2bl w:val="nil"/>
        </w:tcBorders>
        <w:shd w:val="clear" w:color="auto" w:fill="BFBFBF"/>
      </w:tcPr>
    </w:tblStyle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jpeg"/><Relationship Id="rId4" Type="http://schemas.openxmlformats.org/officeDocument/2006/relationships/image" Target="media/image1.png"/><Relationship Id="rId3" Type="http://schemas.openxmlformats.org/officeDocument/2006/relationships/theme" Target="theme/theme1.xml"/><Relationship Id="rId22" Type="http://schemas.openxmlformats.org/officeDocument/2006/relationships/fontTable" Target="fontTable.xml"/><Relationship Id="rId21" Type="http://schemas.openxmlformats.org/officeDocument/2006/relationships/numbering" Target="numbering.xml"/><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HP</Company>
  <Pages>69</Pages>
  <Words>3339</Words>
  <Characters>3432</Characters>
  <Lines>251</Lines>
  <Paragraphs>70</Paragraphs>
  <TotalTime>0</TotalTime>
  <ScaleCrop>false</ScaleCrop>
  <LinksUpToDate>false</LinksUpToDate>
  <CharactersWithSpaces>3492</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2024-10-05T16:11:00Z</dcterms:created>
  <dc:creator> </dc:creator>
  <cp:lastModifiedBy>陈煜羲</cp:lastModifiedBy>
  <cp:lastPrinted>2025-02-21T04:07:00Z</cp:lastPrinted>
  <dcterms:modified xsi:type="dcterms:W3CDTF">2026-07-08T10:20:05Z</dcterms:modified>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FAE6A22795A8435F8F03FAAEC31F58C0_11</vt:lpwstr>
  </property>
  <property fmtid="{D5CDD505-2E9C-101B-9397-08002B2CF9AE}" pid="4" name="KSOTemplateDocerSaveRecord">
    <vt:lpwstr>eyJoZGlkIjoiZGFhMzE5MWRlZGE4MGU0MTJkM2JhNzI2MjdmMjE2MTAiLCJ1c2VySWQiOiI0NzQyMjU0NzYifQ==</vt:lpwstr>
  </property>
</Properties>
</file>