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8C8E3">
      <w:pPr>
        <w:pStyle w:val="2"/>
        <w:numPr>
          <w:ilvl w:val="0"/>
          <w:numId w:val="0"/>
        </w:numPr>
        <w:spacing w:before="156" w:after="156"/>
        <w:ind w:leftChars="0"/>
        <w:jc w:val="center"/>
      </w:pPr>
      <w:bookmarkStart w:id="0" w:name="_GoBack"/>
      <w:r>
        <w:rPr>
          <w:rFonts w:hint="eastAsia"/>
        </w:rPr>
        <w:t>紧急医学救援一张图功能清单</w:t>
      </w:r>
    </w:p>
    <w:bookmarkEnd w:id="0"/>
    <w:p w14:paraId="07108B50">
      <w:pPr>
        <w:pStyle w:val="12"/>
        <w:rPr>
          <w:rFonts w:hint="eastAsia"/>
        </w:rPr>
      </w:pPr>
      <w:r>
        <w:rPr>
          <w:rFonts w:hint="eastAsia"/>
        </w:rPr>
        <w:t>在平时态势感知场景下，重点关注全省医疗应急资源本底数据和动态情况，掌握全省队伍救援、转运后送、急诊接诊、医院救治能力，做的应对突发事件心中有“数”。主要建设内容包括系统首页、国家紧急医学救援（福建）基地全景图、紧急医学救援资源图、紧急医学救援专题图、舆情监测专题图。</w:t>
      </w:r>
    </w:p>
    <w:p w14:paraId="7D350D28">
      <w:pPr>
        <w:pStyle w:val="12"/>
        <w:rPr>
          <w:rFonts w:hint="eastAsia"/>
        </w:rPr>
      </w:pPr>
      <w:r>
        <w:rPr>
          <w:rFonts w:hint="eastAsia"/>
        </w:rPr>
        <w:t>具体建设内容如下：</w:t>
      </w:r>
    </w:p>
    <w:p w14:paraId="20BD27BF">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系统首页</w:t>
      </w:r>
    </w:p>
    <w:p w14:paraId="13AAA042">
      <w:pPr>
        <w:pStyle w:val="12"/>
      </w:pPr>
      <w:r>
        <w:rPr>
          <w:rFonts w:hint="eastAsia"/>
        </w:rPr>
        <w:t>基于统一认证服务，为各业务系统提供统一登录。登录后根据系统权限进入各业务系统。</w:t>
      </w:r>
    </w:p>
    <w:p w14:paraId="13D2BD99">
      <w:pPr>
        <w:pStyle w:val="12"/>
      </w:pPr>
      <w:r>
        <w:rPr>
          <w:rFonts w:hint="eastAsia"/>
        </w:rPr>
        <w:t>开发统一风格的系统导航页面，为各类用户群体提供系统级导航。</w:t>
      </w:r>
    </w:p>
    <w:p w14:paraId="16C06436">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国家紧急医学救援（福建）基地全景图</w:t>
      </w:r>
    </w:p>
    <w:p w14:paraId="6DD125FC">
      <w:pPr>
        <w:pStyle w:val="12"/>
      </w:pPr>
      <w:r>
        <w:rPr>
          <w:rFonts w:hint="eastAsia"/>
        </w:rPr>
        <w:t>根据国家紧急医学救援（福建）基地的建设情况，构建基地关键信息要素进行全景展示，通过全景图一目了然了解基地建设全貌。包括基地三维展示模块、基地动态模块、基地各中心能力展示模块、队伍能力展示模块、福建省紧急医学救援核心能力模块。</w:t>
      </w:r>
    </w:p>
    <w:p w14:paraId="0BAB217F">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基地三维展示模块</w:t>
      </w:r>
    </w:p>
    <w:p w14:paraId="3F30BCCF">
      <w:pPr>
        <w:pStyle w:val="12"/>
      </w:pPr>
      <w:r>
        <w:rPr>
          <w:rFonts w:hint="eastAsia"/>
        </w:rPr>
        <w:t>通过三维技术，构建国家紧急医学救援（福建）基地主体建筑场景模型，包括信息指挥中心、批量伤员救治中心、停机坪、培训演练中心、教学科研中心、物资仓储中心等，展示基地各模块建设场景，并关联基地各主要中心实景信息。</w:t>
      </w:r>
    </w:p>
    <w:p w14:paraId="4BC82977">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基地动态模块</w:t>
      </w:r>
    </w:p>
    <w:p w14:paraId="58EB9305">
      <w:pPr>
        <w:pStyle w:val="12"/>
      </w:pPr>
      <w:r>
        <w:rPr>
          <w:rFonts w:hint="eastAsia"/>
        </w:rPr>
        <w:t>针对基地紧急医学救援相关动态进行展示，包括救援行动、重大活动保障、义诊活动、应急演练、培训、交流活动等。同时对基地运行管理的相关指标数据通过数字化看板进行展示。</w:t>
      </w:r>
    </w:p>
    <w:p w14:paraId="60740A0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基地各中心能力展示模块</w:t>
      </w:r>
    </w:p>
    <w:p w14:paraId="5EB14E89">
      <w:pPr>
        <w:pStyle w:val="12"/>
      </w:pPr>
      <w:r>
        <w:rPr>
          <w:rFonts w:hint="eastAsia"/>
        </w:rPr>
        <w:t>对国家紧急医学救援（福建）基地建设内容、关键场景视频接入并关联展示。对本项目建设的相关业务数据进行统计或图表分析。包括批量伤员救治中心、急救中心、培训演练中心、物资仓储中心等。</w:t>
      </w:r>
    </w:p>
    <w:p w14:paraId="531ECD1D">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队伍能力展示模块</w:t>
      </w:r>
    </w:p>
    <w:p w14:paraId="5FAFA83A">
      <w:pPr>
        <w:pStyle w:val="12"/>
      </w:pPr>
      <w:r>
        <w:rPr>
          <w:rFonts w:hint="eastAsia"/>
        </w:rPr>
        <w:t>针对依托省立医院/急救中心建设的国家紧急医学救援（福建）队的建设情况进行展示，包括队伍架构、人员、车辆、物资装备、移动方舱能力、经验荣誉记录、相关成果等信息。对依托省立医院/急救中心建设的两支省级队伍建设情况相关信息进行展示，包括省级核与辐射卫生应急救援二队（含反核和辐射恐怖）、省级突发中毒事件处置二队（含反化学恐怖）。</w:t>
      </w:r>
    </w:p>
    <w:p w14:paraId="70D598FA">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福建省紧急医学救援核心能力模块</w:t>
      </w:r>
    </w:p>
    <w:p w14:paraId="4D5A9BD7">
      <w:pPr>
        <w:pStyle w:val="12"/>
      </w:pPr>
      <w:r>
        <w:rPr>
          <w:rFonts w:hint="eastAsia"/>
        </w:rPr>
        <w:t>对福建省紧急医学救援核心能力概况进行统计展示，包括全省院前急救机构、省级紧急医学救援基地或区域医疗中心、全省医疗救援队伍、相关协同力量、以及与相关政府部门和军队的协同联动情况等，通过统计数字面板、图表、地图结合的展示形式进行展示。</w:t>
      </w:r>
    </w:p>
    <w:p w14:paraId="28196C09">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紧急医学救援资源图</w:t>
      </w:r>
    </w:p>
    <w:p w14:paraId="72526271">
      <w:pPr>
        <w:pStyle w:val="12"/>
      </w:pPr>
      <w:r>
        <w:rPr>
          <w:rFonts w:hint="eastAsia"/>
        </w:rPr>
        <w:t>汇聚展示可接入的全省紧急医学救援资源，对可调度的资源和物资做到心中有数，掌握应急资源分布情况和详细信息，通过汇聚各类应急资源包括应急队伍、应急专家、院前急救机构及救护车辆的可视化分布、统计和快速查询，且支持对重点场所、疏散点、直升机停机坪、危险源等重点关注信息的可视化分布、统计和快速查询；同时提供物资的分类统计、仓库分布及储备信息的可视化分布、统计和快速查询，基于物资管理预警阈值设置，支持对各类物资库存预警状态的查看和统计。</w:t>
      </w:r>
    </w:p>
    <w:p w14:paraId="5D978CB3">
      <w:pPr>
        <w:pStyle w:val="4"/>
        <w:keepNext w:val="0"/>
        <w:keepLines w:val="0"/>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资源总览与分类统计</w:t>
      </w:r>
    </w:p>
    <w:p w14:paraId="19FD8E6A">
      <w:pPr>
        <w:pStyle w:val="12"/>
        <w:keepNext w:val="0"/>
        <w:keepLines w:val="0"/>
        <w:pageBreakBefore w:val="0"/>
        <w:widowControl w:val="0"/>
        <w:kinsoku/>
        <w:wordWrap/>
        <w:overflowPunct/>
        <w:topLinePunct w:val="0"/>
        <w:autoSpaceDE/>
        <w:autoSpaceDN/>
        <w:bidi w:val="0"/>
        <w:textAlignment w:val="auto"/>
      </w:pPr>
      <w:r>
        <w:rPr>
          <w:rFonts w:hint="eastAsia"/>
        </w:rPr>
        <w:t>主要包括资源总览模块、紧急医学救援队伍分类分级统计、救援专家分类分级统计、全省主要紧急医学救援基地/医院分类分级统计、院前急救机构、卫生应急重点关注信息统计等内容，支持与地图分布联动。</w:t>
      </w:r>
    </w:p>
    <w:p w14:paraId="2F4D34C0">
      <w:pPr>
        <w:pStyle w:val="12"/>
      </w:pPr>
      <w:r>
        <w:rPr>
          <w:rFonts w:hint="eastAsia"/>
        </w:rPr>
        <w:t>1.资源总览</w:t>
      </w:r>
    </w:p>
    <w:p w14:paraId="3FED8517">
      <w:pPr>
        <w:pStyle w:val="12"/>
      </w:pPr>
      <w:r>
        <w:rPr>
          <w:rFonts w:hint="eastAsia"/>
        </w:rPr>
        <w:t>提供全省紧急医学救援资源的整体概览信息，包括资源总量、类型分布、级别构成等关键指标的综合展示，为用户提供宏观的资源态势感知。</w:t>
      </w:r>
    </w:p>
    <w:p w14:paraId="161786F2">
      <w:pPr>
        <w:pStyle w:val="12"/>
      </w:pPr>
      <w:r>
        <w:rPr>
          <w:rFonts w:hint="eastAsia"/>
        </w:rPr>
        <w:t>2.紧急医学救援队伍分类分级统计</w:t>
      </w:r>
    </w:p>
    <w:p w14:paraId="1FA09F3F">
      <w:pPr>
        <w:pStyle w:val="12"/>
      </w:pPr>
      <w:r>
        <w:rPr>
          <w:rFonts w:hint="eastAsia"/>
        </w:rPr>
        <w:t>基于队伍类型、能力等级等维度，对全省各类紧急医学救援队伍进行分类统计与分级汇总，清晰反映不同类别、不同级别救援队伍的数量分布与结构情况。</w:t>
      </w:r>
    </w:p>
    <w:p w14:paraId="700A099A">
      <w:pPr>
        <w:pStyle w:val="12"/>
      </w:pPr>
      <w:r>
        <w:rPr>
          <w:rFonts w:hint="eastAsia"/>
        </w:rPr>
        <w:t>3.救援专家分类分级统计</w:t>
      </w:r>
    </w:p>
    <w:p w14:paraId="4C1F515B">
      <w:pPr>
        <w:pStyle w:val="12"/>
      </w:pPr>
      <w:r>
        <w:rPr>
          <w:rFonts w:hint="eastAsia"/>
        </w:rPr>
        <w:t>按专业领域、技术等级等属性对全省参与的紧急医学救援专家进行分类与分级统计，展示各专业方向、各级别专家的数量及分布，支撑专家资源的快速遴选与调度。</w:t>
      </w:r>
    </w:p>
    <w:p w14:paraId="6880E600">
      <w:pPr>
        <w:pStyle w:val="12"/>
      </w:pPr>
      <w:r>
        <w:rPr>
          <w:rFonts w:hint="eastAsia"/>
        </w:rPr>
        <w:t>4.全省主要紧急医学救援基地/医院分类分级统计</w:t>
      </w:r>
    </w:p>
    <w:p w14:paraId="340474F4">
      <w:pPr>
        <w:pStyle w:val="12"/>
      </w:pPr>
      <w:r>
        <w:rPr>
          <w:rFonts w:hint="eastAsia"/>
        </w:rPr>
        <w:t>对全省范围内承担紧急医学救援任务的主要基地及医院，按其类型、等级、功能定位等进行分类与分级统计，明确各类别、各等级救援基地/医院的数量与分布。</w:t>
      </w:r>
    </w:p>
    <w:p w14:paraId="2A077E26">
      <w:pPr>
        <w:pStyle w:val="12"/>
      </w:pPr>
      <w:r>
        <w:rPr>
          <w:rFonts w:hint="eastAsia"/>
        </w:rPr>
        <w:t>5.院前急救机构统计</w:t>
      </w:r>
    </w:p>
    <w:p w14:paraId="7C7F328C">
      <w:pPr>
        <w:pStyle w:val="12"/>
      </w:pPr>
      <w:r>
        <w:rPr>
          <w:rFonts w:hint="eastAsia"/>
        </w:rPr>
        <w:t>对全省范围内的院前急救机构进行统计，包括急救中心、站点数量、人员配置、车辆装备等基本信息的汇总与展示，反映院前急救服务资源的覆盖情况。</w:t>
      </w:r>
    </w:p>
    <w:p w14:paraId="36C30E49">
      <w:pPr>
        <w:pStyle w:val="12"/>
      </w:pPr>
      <w:r>
        <w:rPr>
          <w:rFonts w:hint="eastAsia"/>
        </w:rPr>
        <w:t>6.卫生应急重点关注信息统计</w:t>
      </w:r>
    </w:p>
    <w:p w14:paraId="7407CFDF">
      <w:pPr>
        <w:pStyle w:val="12"/>
      </w:pPr>
      <w:r>
        <w:rPr>
          <w:rFonts w:hint="eastAsia"/>
        </w:rPr>
        <w:t>对卫生应急工作中需重点关注的信息进行统计，包括但不限于特殊物资储备、高风险区域、重要传染病监测点、应急物资库等信息，形成专项统计结果以支持决策。</w:t>
      </w:r>
    </w:p>
    <w:p w14:paraId="6ABE978B">
      <w:pPr>
        <w:pStyle w:val="12"/>
      </w:pPr>
      <w:r>
        <w:rPr>
          <w:rFonts w:hint="eastAsia"/>
        </w:rPr>
        <w:t>7.地图分布联动</w:t>
      </w:r>
    </w:p>
    <w:p w14:paraId="2CC8A150">
      <w:pPr>
        <w:pStyle w:val="12"/>
      </w:pPr>
      <w:r>
        <w:rPr>
          <w:rFonts w:hint="eastAsia"/>
        </w:rPr>
        <w:t>支持将上述各类统计信息与电子地图进行联动展示，通过空间可视化方式直观</w:t>
      </w:r>
      <w:r>
        <w:t>。</w:t>
      </w:r>
    </w:p>
    <w:p w14:paraId="27E15088">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资源分布</w:t>
      </w:r>
    </w:p>
    <w:p w14:paraId="09DB3C6A">
      <w:pPr>
        <w:pStyle w:val="12"/>
      </w:pPr>
      <w:r>
        <w:rPr>
          <w:rFonts w:hint="eastAsia"/>
        </w:rPr>
        <w:t>对全省主要资源进行展示分析和统计查询，实现一张图全览全省资源。主要包括资源分布展示、资源搜索、地图联动交互等主要功能。</w:t>
      </w:r>
    </w:p>
    <w:p w14:paraId="3AA95B2A">
      <w:pPr>
        <w:pStyle w:val="12"/>
      </w:pPr>
      <w:r>
        <w:rPr>
          <w:rFonts w:hint="eastAsia"/>
        </w:rPr>
        <w:t>1.资源分布展示</w:t>
      </w:r>
    </w:p>
    <w:p w14:paraId="0E1B3DFE">
      <w:pPr>
        <w:pStyle w:val="12"/>
      </w:pPr>
      <w:r>
        <w:rPr>
          <w:rFonts w:hint="eastAsia"/>
        </w:rPr>
        <w:t>基于GIS地图，支持通过位置定位，查看区域内应急资源具体分布情况，并在地图上进行对应展示，根据资源类型定制不同展示面板。</w:t>
      </w:r>
    </w:p>
    <w:p w14:paraId="4625E3AF">
      <w:pPr>
        <w:pStyle w:val="12"/>
      </w:pPr>
      <w:r>
        <w:rPr>
          <w:rFonts w:hint="eastAsia"/>
        </w:rPr>
        <w:t>2.资源搜索</w:t>
      </w:r>
    </w:p>
    <w:p w14:paraId="369C8312">
      <w:pPr>
        <w:pStyle w:val="12"/>
      </w:pPr>
      <w:r>
        <w:rPr>
          <w:rFonts w:hint="eastAsia"/>
        </w:rPr>
        <w:t>支持通过资源类型、行政区划、圈选范围筛选联动地图展示；提供资源名称模糊搜索功能；提供地点查询，基于地点查看周边范围的相关资源功能。</w:t>
      </w:r>
    </w:p>
    <w:p w14:paraId="2D5D22DB">
      <w:pPr>
        <w:pStyle w:val="12"/>
      </w:pPr>
      <w:r>
        <w:rPr>
          <w:rFonts w:hint="eastAsia"/>
        </w:rPr>
        <w:t>3.地图联动交互</w:t>
      </w:r>
    </w:p>
    <w:p w14:paraId="690EF2D0">
      <w:pPr>
        <w:pStyle w:val="12"/>
      </w:pPr>
      <w:r>
        <w:rPr>
          <w:rFonts w:hint="eastAsia"/>
        </w:rPr>
        <w:t>支撑对队伍分布、专家分布、医院分布、院前急救机构分布、血液中心/血站分布、卫生应急重点关注对象分布等。</w:t>
      </w:r>
    </w:p>
    <w:p w14:paraId="7D860BCC">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物资统计和预警分析</w:t>
      </w:r>
    </w:p>
    <w:p w14:paraId="1A7F8314">
      <w:pPr>
        <w:pStyle w:val="12"/>
      </w:pPr>
      <w:r>
        <w:rPr>
          <w:rFonts w:hint="eastAsia"/>
        </w:rPr>
        <w:t>统计分析区域物资类别和库存情况，同时对物资低于设置库存量的进行预警，将预警信息进行统计分析，掌握物资储备基本情况。</w:t>
      </w:r>
    </w:p>
    <w:p w14:paraId="28D45462">
      <w:pPr>
        <w:pStyle w:val="12"/>
        <w:keepNext/>
        <w:keepLines w:val="0"/>
        <w:pageBreakBefore w:val="0"/>
        <w:widowControl/>
        <w:kinsoku/>
        <w:wordWrap/>
        <w:overflowPunct/>
        <w:topLinePunct w:val="0"/>
        <w:autoSpaceDE/>
        <w:autoSpaceDN/>
        <w:bidi w:val="0"/>
        <w:adjustRightInd/>
        <w:snapToGrid/>
        <w:textAlignment w:val="auto"/>
      </w:pPr>
      <w:r>
        <w:rPr>
          <w:rFonts w:hint="eastAsia"/>
        </w:rPr>
        <w:t>1.物资统计分析</w:t>
      </w:r>
    </w:p>
    <w:p w14:paraId="74B5FD54">
      <w:pPr>
        <w:pStyle w:val="12"/>
      </w:pPr>
      <w:r>
        <w:rPr>
          <w:rFonts w:hint="eastAsia"/>
        </w:rPr>
        <w:t>提供物资仓库和物资类别数总览统计，根据国家物资分类标准对卫生应急物资进行分类统计。物资总计、物资类别统计、物资库存分类统计。</w:t>
      </w:r>
    </w:p>
    <w:p w14:paraId="04C47588">
      <w:pPr>
        <w:pStyle w:val="12"/>
      </w:pPr>
      <w:r>
        <w:rPr>
          <w:rFonts w:hint="eastAsia"/>
        </w:rPr>
        <w:t>2.物资预警统计分析</w:t>
      </w:r>
    </w:p>
    <w:p w14:paraId="7FDD992D">
      <w:pPr>
        <w:pStyle w:val="12"/>
      </w:pPr>
      <w:r>
        <w:rPr>
          <w:rFonts w:hint="eastAsia"/>
        </w:rPr>
        <w:t>物资预警基于物资库及库存接入管理模块中对物资进行的预警阈值设置，统计分析物资类型的总体库存量预警情况。包括预警物资类别统计及top5的类别预警列表、物资库预警统计和预警列表。</w:t>
      </w:r>
    </w:p>
    <w:p w14:paraId="734A4B1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物资分布</w:t>
      </w:r>
    </w:p>
    <w:p w14:paraId="042F48AA">
      <w:pPr>
        <w:pStyle w:val="12"/>
      </w:pPr>
      <w:r>
        <w:rPr>
          <w:rFonts w:hint="eastAsia"/>
        </w:rPr>
        <w:t>通过物资分布直观掌握区域物资库分布及物资储备情况，对应急物资底数清晰掌握。提供物资库分布上图、统计联动、预警联动相关功能。</w:t>
      </w:r>
    </w:p>
    <w:p w14:paraId="250341C1">
      <w:pPr>
        <w:pStyle w:val="12"/>
      </w:pPr>
      <w:r>
        <w:rPr>
          <w:rFonts w:hint="eastAsia"/>
        </w:rPr>
        <w:t>1.物资库上图</w:t>
      </w:r>
    </w:p>
    <w:p w14:paraId="08FE5219">
      <w:pPr>
        <w:pStyle w:val="12"/>
      </w:pPr>
      <w:r>
        <w:rPr>
          <w:rFonts w:hint="eastAsia"/>
        </w:rPr>
        <w:t>支持所有物资库分布位置上图、状态筛选、区域筛选、物资库基本信息展示</w:t>
      </w:r>
    </w:p>
    <w:p w14:paraId="1FA0396A">
      <w:pPr>
        <w:pStyle w:val="12"/>
      </w:pPr>
      <w:r>
        <w:rPr>
          <w:rFonts w:hint="eastAsia"/>
        </w:rPr>
        <w:t>2.支持与物资统计联动</w:t>
      </w:r>
    </w:p>
    <w:p w14:paraId="60C7510D">
      <w:pPr>
        <w:pStyle w:val="12"/>
      </w:pPr>
      <w:r>
        <w:rPr>
          <w:rFonts w:hint="eastAsia"/>
        </w:rPr>
        <w:t>基于GIS地图展示物资仓库分布，查看仓库基本信息和物资库存信息，提供仓库查询和物资查询。</w:t>
      </w:r>
    </w:p>
    <w:p w14:paraId="597D4CBE">
      <w:pPr>
        <w:pStyle w:val="12"/>
      </w:pPr>
      <w:r>
        <w:rPr>
          <w:rFonts w:hint="eastAsia"/>
        </w:rPr>
        <w:t>3.支持与物资预警联动</w:t>
      </w:r>
    </w:p>
    <w:p w14:paraId="36F5F9E1">
      <w:pPr>
        <w:pStyle w:val="12"/>
      </w:pPr>
      <w:r>
        <w:rPr>
          <w:rFonts w:hint="eastAsia"/>
        </w:rPr>
        <w:t>基于GIS地图筛选某类物资预警的所有仓库，并查看相关信息，也支持通过预警的物资库查看当前物资库中预警的物资清单。</w:t>
      </w:r>
    </w:p>
    <w:p w14:paraId="157FF2F3">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紧急医学救援专题图</w:t>
      </w:r>
    </w:p>
    <w:p w14:paraId="68980F52">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120监测预警展示分析</w:t>
      </w:r>
    </w:p>
    <w:p w14:paraId="2C909BBA">
      <w:pPr>
        <w:pStyle w:val="12"/>
      </w:pPr>
      <w:r>
        <w:rPr>
          <w:rFonts w:hint="eastAsia"/>
        </w:rPr>
        <w:t>基于预警监测系统，实现120监测预警情况的展示分析。包括接警时空分布分析、预警信息统计分析、预警处置状态与查看。</w:t>
      </w:r>
    </w:p>
    <w:p w14:paraId="42B2E75E">
      <w:pPr>
        <w:pStyle w:val="12"/>
      </w:pPr>
      <w:r>
        <w:rPr>
          <w:rFonts w:hint="eastAsia"/>
        </w:rPr>
        <w:t>1.接警时空分布分析</w:t>
      </w:r>
    </w:p>
    <w:p w14:paraId="6462CED9">
      <w:pPr>
        <w:pStyle w:val="12"/>
      </w:pPr>
      <w:r>
        <w:rPr>
          <w:rFonts w:hint="eastAsia"/>
        </w:rPr>
        <w:t>基于接警时序和地点信息，通过图表、地图关联展示不同接警信息的空间分布，可查看接警信息。</w:t>
      </w:r>
    </w:p>
    <w:p w14:paraId="3DA64289">
      <w:pPr>
        <w:pStyle w:val="12"/>
      </w:pPr>
      <w:r>
        <w:rPr>
          <w:rFonts w:hint="eastAsia"/>
        </w:rPr>
        <w:t>2.预警信息统计分析</w:t>
      </w:r>
    </w:p>
    <w:p w14:paraId="2E53443B">
      <w:pPr>
        <w:pStyle w:val="12"/>
      </w:pPr>
      <w:r>
        <w:rPr>
          <w:rFonts w:hint="eastAsia"/>
        </w:rPr>
        <w:t>对预警信息进行分类统计、区域统计，对预警类型及区域地理位置分布进行上图展示，可查看预警信息。</w:t>
      </w:r>
    </w:p>
    <w:p w14:paraId="4B6D69B1">
      <w:pPr>
        <w:pStyle w:val="12"/>
        <w:keepNext/>
        <w:keepLines w:val="0"/>
        <w:pageBreakBefore w:val="0"/>
        <w:widowControl/>
        <w:kinsoku/>
        <w:wordWrap/>
        <w:overflowPunct/>
        <w:topLinePunct w:val="0"/>
        <w:autoSpaceDE/>
        <w:autoSpaceDN/>
        <w:bidi w:val="0"/>
        <w:adjustRightInd/>
        <w:snapToGrid/>
        <w:textAlignment w:val="auto"/>
      </w:pPr>
      <w:r>
        <w:rPr>
          <w:rFonts w:hint="eastAsia"/>
        </w:rPr>
        <w:t>3.预警处置状态与查看</w:t>
      </w:r>
    </w:p>
    <w:p w14:paraId="3F7C9879">
      <w:pPr>
        <w:pStyle w:val="12"/>
      </w:pPr>
      <w:r>
        <w:rPr>
          <w:rFonts w:hint="eastAsia"/>
        </w:rPr>
        <w:t>针对每个预警进行状态统计，对跟踪处置的预警进行标记，支持查看列表和详细信息。</w:t>
      </w:r>
    </w:p>
    <w:p w14:paraId="29F22663">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全省急救电子地图</w:t>
      </w:r>
    </w:p>
    <w:p w14:paraId="49B761EE">
      <w:pPr>
        <w:pStyle w:val="12"/>
      </w:pPr>
      <w:r>
        <w:rPr>
          <w:rFonts w:hint="eastAsia"/>
        </w:rPr>
        <w:t>集成急救体系9地市120系统车载实时位置信息、车辆基本信息、急救中心、站点/网络医院地理要素信息上图，一张图上展示了全省各地市的救护车辆，支持根据按省、市、县三级视角汇总统计、联动展示各级急救中心、分中心、站点相关信息。</w:t>
      </w:r>
    </w:p>
    <w:p w14:paraId="1B34C99F">
      <w:pPr>
        <w:pStyle w:val="12"/>
      </w:pPr>
      <w:r>
        <w:rPr>
          <w:rFonts w:hint="eastAsia"/>
        </w:rPr>
        <w:t>1.急救基础信息汇聚展示</w:t>
      </w:r>
    </w:p>
    <w:p w14:paraId="53278A4A">
      <w:pPr>
        <w:pStyle w:val="12"/>
      </w:pPr>
      <w:r>
        <w:rPr>
          <w:rFonts w:hint="eastAsia"/>
        </w:rPr>
        <w:t>整合9地市120指挥中心、车载终端及医疗机构的多源数据，汇聚救护车辆、急救中心、站点/网络医院的详细信息，通过地图分层展示（含弹窗详情、色标区分、地市分组）并支持实时更新。</w:t>
      </w:r>
    </w:p>
    <w:p w14:paraId="2EF11532">
      <w:pPr>
        <w:pStyle w:val="12"/>
      </w:pPr>
      <w:r>
        <w:rPr>
          <w:rFonts w:hint="eastAsia"/>
        </w:rPr>
        <w:t>2.车辆实时定位汇聚展示</w:t>
      </w:r>
    </w:p>
    <w:p w14:paraId="71C6F09C">
      <w:pPr>
        <w:pStyle w:val="12"/>
      </w:pPr>
      <w:r>
        <w:rPr>
          <w:rFonts w:hint="eastAsia"/>
        </w:rPr>
        <w:t>基于GPS/北斗高精度定位技术（10米内精度，每秒更新），实时追踪9地市救护车辆位置，在地图用颜色图标区分执行任务、待命、维修等状态，并具备定位异常预警功能。</w:t>
      </w:r>
    </w:p>
    <w:p w14:paraId="78097B84">
      <w:pPr>
        <w:pStyle w:val="12"/>
        <w:keepNext w:val="0"/>
        <w:keepLines w:val="0"/>
        <w:pageBreakBefore w:val="0"/>
        <w:widowControl w:val="0"/>
        <w:kinsoku/>
        <w:wordWrap/>
        <w:overflowPunct/>
        <w:topLinePunct w:val="0"/>
        <w:autoSpaceDE/>
        <w:autoSpaceDN/>
        <w:bidi w:val="0"/>
        <w:adjustRightInd/>
        <w:snapToGrid/>
        <w:textAlignment w:val="auto"/>
      </w:pPr>
      <w:r>
        <w:rPr>
          <w:rFonts w:hint="eastAsia"/>
        </w:rPr>
        <w:t>3.车辆轨迹记录及回放</w:t>
      </w:r>
    </w:p>
    <w:p w14:paraId="1ED4780F">
      <w:pPr>
        <w:pStyle w:val="12"/>
        <w:keepNext w:val="0"/>
        <w:keepLines w:val="0"/>
        <w:pageBreakBefore w:val="0"/>
        <w:widowControl w:val="0"/>
        <w:kinsoku/>
        <w:wordWrap/>
        <w:overflowPunct/>
        <w:topLinePunct w:val="0"/>
        <w:autoSpaceDE/>
        <w:autoSpaceDN/>
        <w:bidi w:val="0"/>
        <w:adjustRightInd/>
        <w:snapToGrid/>
        <w:textAlignment w:val="auto"/>
      </w:pPr>
      <w:r>
        <w:rPr>
          <w:rFonts w:hint="eastAsia"/>
        </w:rPr>
        <w:t>记录救护车辆含时间、速度、停留点等信息的轨迹数据（默认存3个月，特殊车可延至1年），支持按时间轴多倍速回放（含暂停、快进），可按车牌号和时间段查询，辅助调度分析。</w:t>
      </w:r>
    </w:p>
    <w:p w14:paraId="580E89BA">
      <w:pPr>
        <w:pStyle w:val="12"/>
      </w:pPr>
      <w:r>
        <w:rPr>
          <w:rFonts w:hint="eastAsia"/>
        </w:rPr>
        <w:t>4.地图联动</w:t>
      </w:r>
    </w:p>
    <w:p w14:paraId="40C679D7">
      <w:pPr>
        <w:pStyle w:val="12"/>
      </w:pPr>
      <w:r>
        <w:rPr>
          <w:rFonts w:hint="eastAsia"/>
        </w:rPr>
        <w:t>支持快速查看、查询、筛选急救车信息，与地图进行可视化交互，包括按行政区划、车辆类别、车辆状态、车辆任务等与地图联动。</w:t>
      </w:r>
    </w:p>
    <w:p w14:paraId="193CFBB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全省AED分布</w:t>
      </w:r>
    </w:p>
    <w:p w14:paraId="539116FC">
      <w:pPr>
        <w:pStyle w:val="12"/>
      </w:pPr>
      <w:r>
        <w:rPr>
          <w:rFonts w:hint="eastAsia"/>
        </w:rPr>
        <w:t>基于接入和维护的AED资源，进行资源统计、分布查看、调度关联等功能。</w:t>
      </w:r>
    </w:p>
    <w:p w14:paraId="002B9F49">
      <w:pPr>
        <w:pStyle w:val="12"/>
      </w:pPr>
      <w:r>
        <w:rPr>
          <w:rFonts w:hint="eastAsia"/>
        </w:rPr>
        <w:t>1.AED资源统计分析</w:t>
      </w:r>
    </w:p>
    <w:p w14:paraId="248A6FEA">
      <w:pPr>
        <w:pStyle w:val="12"/>
      </w:pPr>
      <w:r>
        <w:rPr>
          <w:rFonts w:hint="eastAsia"/>
        </w:rPr>
        <w:t>按AED数量行政区划、设备状态、部署场所类型、使用频率等维度统计查看AED资源。</w:t>
      </w:r>
    </w:p>
    <w:p w14:paraId="6DF426EB">
      <w:pPr>
        <w:pStyle w:val="12"/>
      </w:pPr>
      <w:r>
        <w:rPr>
          <w:rFonts w:hint="eastAsia"/>
        </w:rPr>
        <w:t>2.AED地理位置分布</w:t>
      </w:r>
    </w:p>
    <w:p w14:paraId="4A85F577">
      <w:pPr>
        <w:pStyle w:val="12"/>
      </w:pPr>
      <w:r>
        <w:rPr>
          <w:rFonts w:hint="eastAsia"/>
        </w:rPr>
        <w:t>基于AED基础信息，在地图上标记展示，查看当前AED设备信息，根据使用记录对AED使用情况进行热力图展示。</w:t>
      </w:r>
    </w:p>
    <w:p w14:paraId="1026A5E2">
      <w:pPr>
        <w:pStyle w:val="12"/>
      </w:pPr>
      <w:r>
        <w:rPr>
          <w:rFonts w:hint="eastAsia"/>
        </w:rPr>
        <w:t>3.AED资源查询</w:t>
      </w:r>
    </w:p>
    <w:p w14:paraId="35B685CD">
      <w:pPr>
        <w:pStyle w:val="12"/>
      </w:pPr>
      <w:r>
        <w:rPr>
          <w:rFonts w:hint="eastAsia"/>
        </w:rPr>
        <w:t>基于选定地点或事发地点，按半径查询范围内AED的数量，同时支持结合导航，规划路线并预估时间。</w:t>
      </w:r>
    </w:p>
    <w:p w14:paraId="3637D3E1">
      <w:pPr>
        <w:pStyle w:val="12"/>
      </w:pPr>
      <w:r>
        <w:rPr>
          <w:rFonts w:hint="eastAsia"/>
        </w:rPr>
        <w:t>4.AED调度关联</w:t>
      </w:r>
    </w:p>
    <w:p w14:paraId="16C82061">
      <w:pPr>
        <w:pStyle w:val="12"/>
      </w:pPr>
      <w:r>
        <w:rPr>
          <w:rFonts w:hint="eastAsia"/>
        </w:rPr>
        <w:t>基于AED具体的使用需求，可以针对附近AED资源管理单位联系人信息，发送短信或电话，协调管理人员协同AED资源，支持关联查看设备使用流程和心肺复苏知识。</w:t>
      </w:r>
    </w:p>
    <w:p w14:paraId="168EE136">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急救调度实时展示</w:t>
      </w:r>
    </w:p>
    <w:p w14:paraId="0262A266">
      <w:pPr>
        <w:pStyle w:val="12"/>
      </w:pPr>
      <w:r>
        <w:rPr>
          <w:rFonts w:hint="eastAsia"/>
        </w:rPr>
        <w:t>支持针对急救车辆调度信息进行查看和跟踪，基于对接单位120调度系统和车载视频想系统，实现车载监控实时调看和车载监护信息实实时调看。可支持对多个车辆实时调度信息整合汇聚查看。</w:t>
      </w:r>
    </w:p>
    <w:p w14:paraId="1CFCC500">
      <w:pPr>
        <w:pStyle w:val="12"/>
        <w:keepNext/>
      </w:pPr>
      <w:r>
        <w:rPr>
          <w:rFonts w:hint="eastAsia"/>
        </w:rPr>
        <w:t>1.车辆任务信息</w:t>
      </w:r>
    </w:p>
    <w:p w14:paraId="281E4F58">
      <w:pPr>
        <w:pStyle w:val="12"/>
      </w:pPr>
      <w:r>
        <w:rPr>
          <w:rFonts w:hint="eastAsia"/>
        </w:rPr>
        <w:t>实时展示任务编号、类型（包括紧急救援、转运等）、状态（包括待出发、执行中等）；显示任务接收、出发、到达等时间戳；地图标注出发地、救援点、目的医院及行驶轨迹；呈现随车医护和驾驶员的姓名及联系方式；支持按时间、类型、车辆编号筛选历史任务。</w:t>
      </w:r>
    </w:p>
    <w:p w14:paraId="2DD6B23F">
      <w:pPr>
        <w:pStyle w:val="12"/>
      </w:pPr>
      <w:r>
        <w:rPr>
          <w:rFonts w:hint="eastAsia"/>
        </w:rPr>
        <w:t>2.车辆视频信息</w:t>
      </w:r>
    </w:p>
    <w:p w14:paraId="2080D51C">
      <w:pPr>
        <w:pStyle w:val="12"/>
      </w:pPr>
      <w:r>
        <w:rPr>
          <w:rFonts w:hint="eastAsia"/>
        </w:rPr>
        <w:t>对接车载系统调看驾驶舱、患者舱及车外前后侧的实时视频；支持4或9画面分屏显示；提供标清与高清切换、画面缩放、摄像头云台旋转调焦功能；可按时间、车辆编号检索回放录像；支持一键抓拍、片段录制并本地保存。</w:t>
      </w:r>
    </w:p>
    <w:p w14:paraId="097C4BD2">
      <w:pPr>
        <w:pStyle w:val="12"/>
      </w:pPr>
      <w:r>
        <w:rPr>
          <w:rFonts w:hint="eastAsia"/>
        </w:rPr>
        <w:t>3.车辆监护信息</w:t>
      </w:r>
    </w:p>
    <w:p w14:paraId="0075770F">
      <w:pPr>
        <w:pStyle w:val="12"/>
      </w:pPr>
      <w:r>
        <w:rPr>
          <w:rFonts w:hint="eastAsia"/>
        </w:rPr>
        <w:t>实时显示心率、血压、血氧等生命体征数据，生成5分钟、1小时动态趋势图；同步展示患者姓名、年龄、初步诊断；支持按任务编号查询历史监护数据。</w:t>
      </w:r>
    </w:p>
    <w:p w14:paraId="35651DAB">
      <w:pPr>
        <w:pStyle w:val="12"/>
      </w:pPr>
      <w:r>
        <w:rPr>
          <w:rFonts w:hint="eastAsia"/>
        </w:rPr>
        <w:t>4.实时信息整合</w:t>
      </w:r>
    </w:p>
    <w:p w14:paraId="032FEAD7">
      <w:pPr>
        <w:pStyle w:val="12"/>
      </w:pPr>
      <w:r>
        <w:rPr>
          <w:rFonts w:hint="eastAsia"/>
        </w:rPr>
        <w:t>整合信息至</w:t>
      </w:r>
      <w:r>
        <w:t>统一界面，地图标注车辆实时位置，用红色表示紧急、绿色表示空闲以区分状态；点击车辆弹出包含编号、任务概要、视频缩略图、关键体征的信息卡；支持按区域、任务类型筛选，按紧急程度排序；实时生成在途车辆数、任务类型占比等统计图表。</w:t>
      </w:r>
    </w:p>
    <w:p w14:paraId="6050DE2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急救中心及急救车通信</w:t>
      </w:r>
    </w:p>
    <w:p w14:paraId="19671972">
      <w:pPr>
        <w:pStyle w:val="12"/>
      </w:pPr>
      <w:r>
        <w:rPr>
          <w:rFonts w:hint="eastAsia"/>
        </w:rPr>
        <w:t>基于院前急救通信录及急救车医护人员联系电话信息，调用融合通信电话集成能力与急救中心、急救车上医护人员通信。</w:t>
      </w:r>
    </w:p>
    <w:p w14:paraId="2347F964">
      <w:pPr>
        <w:pStyle w:val="12"/>
      </w:pPr>
      <w:r>
        <w:rPr>
          <w:rFonts w:hint="eastAsia"/>
        </w:rPr>
        <w:t>（1）支持基于急救中心通信录一键拨号。</w:t>
      </w:r>
    </w:p>
    <w:p w14:paraId="1B37360A">
      <w:pPr>
        <w:pStyle w:val="12"/>
      </w:pPr>
      <w:r>
        <w:rPr>
          <w:rFonts w:hint="eastAsia"/>
        </w:rPr>
        <w:t>（2）支持基于车辆医护联系电话拨号或发送短信。</w:t>
      </w:r>
    </w:p>
    <w:p w14:paraId="3020E6C4">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院前急救能力分析</w:t>
      </w:r>
    </w:p>
    <w:p w14:paraId="7941AB77">
      <w:pPr>
        <w:pStyle w:val="12"/>
      </w:pPr>
      <w:r>
        <w:rPr>
          <w:rFonts w:hint="eastAsia"/>
        </w:rPr>
        <w:t>基于120接警和急救体系相关基础信息对院前急救相关能力进行分析，包括急救车统计与分析、急救站点分布分析、接警任务分析、急救覆盖情况分析。</w:t>
      </w:r>
    </w:p>
    <w:p w14:paraId="675BF242">
      <w:pPr>
        <w:pStyle w:val="12"/>
      </w:pPr>
      <w:r>
        <w:rPr>
          <w:rFonts w:hint="eastAsia"/>
        </w:rPr>
        <w:t>1.急救车统计与分析</w:t>
      </w:r>
    </w:p>
    <w:p w14:paraId="4D69BBE5">
      <w:pPr>
        <w:pStyle w:val="12"/>
      </w:pPr>
      <w:r>
        <w:rPr>
          <w:rFonts w:hint="eastAsia"/>
        </w:rPr>
        <w:t>基于120系统车辆档案及出车记录，分析急救车总数、类型占比及分区分布，计算与人口规模的匹配系数；结合日志分析日均出诊量、空驶率、故障时长；依据调度记录评估接警到发车响应时间、派车距离及城乡调度差异。</w:t>
      </w:r>
    </w:p>
    <w:p w14:paraId="6C5A2BF0">
      <w:pPr>
        <w:pStyle w:val="12"/>
        <w:keepNext/>
        <w:keepLines w:val="0"/>
        <w:pageBreakBefore w:val="0"/>
        <w:widowControl w:val="0"/>
        <w:kinsoku/>
        <w:wordWrap/>
        <w:overflowPunct/>
        <w:topLinePunct w:val="0"/>
        <w:autoSpaceDE/>
        <w:autoSpaceDN/>
        <w:bidi w:val="0"/>
        <w:adjustRightInd/>
        <w:snapToGrid/>
        <w:textAlignment w:val="auto"/>
      </w:pPr>
      <w:r>
        <w:rPr>
          <w:rFonts w:hint="eastAsia"/>
        </w:rPr>
        <w:t>2.急救站点分布分析</w:t>
      </w:r>
    </w:p>
    <w:p w14:paraId="5A5477AB">
      <w:pPr>
        <w:pStyle w:val="12"/>
      </w:pPr>
      <w:r>
        <w:rPr>
          <w:rFonts w:hint="eastAsia"/>
        </w:rPr>
        <w:t>依托站点注册信息，结合GIS地图与出车范围分析分布密度，识别“3-5公里服务半径”盲区；通过接警地址匹配明确站点功能分工及服务人口；基于延误记录统计道路拥堵、极端天气导致的出车延误率；根据配置及接诊量计算资源负荷系数，支撑站点选址。</w:t>
      </w:r>
    </w:p>
    <w:p w14:paraId="757FC118">
      <w:pPr>
        <w:pStyle w:val="12"/>
      </w:pPr>
      <w:r>
        <w:rPr>
          <w:rFonts w:hint="eastAsia"/>
        </w:rPr>
        <w:t>3.区域院前急救接警任务分析</w:t>
      </w:r>
    </w:p>
    <w:p w14:paraId="411FBE17">
      <w:pPr>
        <w:pStyle w:val="12"/>
      </w:pPr>
      <w:r>
        <w:rPr>
          <w:rFonts w:hint="eastAsia"/>
        </w:rPr>
        <w:t>基于接警记录统计时空分布（高发时段、城乡差异、TOP5区域）；通过事件标签分析类型占比及季节趋势；依据全流程时间戳统计派车、处置效率，对比事件类型差异；分析无效/重复报警占比及信息错误导致的延误案例。</w:t>
      </w:r>
    </w:p>
    <w:p w14:paraId="79CC424E">
      <w:pPr>
        <w:pStyle w:val="12"/>
      </w:pPr>
      <w:r>
        <w:rPr>
          <w:rFonts w:hint="eastAsia"/>
        </w:rPr>
        <w:t>4.区域急救覆盖动态分析</w:t>
      </w:r>
    </w:p>
    <w:p w14:paraId="2C18B541">
      <w:pPr>
        <w:pStyle w:val="12"/>
      </w:pPr>
      <w:r>
        <w:rPr>
          <w:rFonts w:hint="eastAsia"/>
        </w:rPr>
        <w:t>通过接警地址与</w:t>
      </w:r>
      <w:r>
        <w:t>站点匹配，计算覆盖人口、面积及城乡比例；结合时段出车记录分析响应时间动态变化（如高峰延长比例）；统计平均响应时间、达标率及偏远地区“超长响应”占比；基于特殊地址出车记录评估重点区域资源冗余度。</w:t>
      </w:r>
    </w:p>
    <w:p w14:paraId="4AEE4F76">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救援与救治能力分析</w:t>
      </w:r>
    </w:p>
    <w:p w14:paraId="336B3B5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队伍救援能力分析</w:t>
      </w:r>
    </w:p>
    <w:p w14:paraId="33D00113">
      <w:pPr>
        <w:pStyle w:val="12"/>
      </w:pPr>
      <w:r>
        <w:rPr>
          <w:rFonts w:hint="eastAsia"/>
        </w:rPr>
        <w:t>面向本项目接入的22支卫生应急队伍信息，基于紧急医学救援能力评估构建的评估指标，从队伍专业属性、人员配置、装备配置、机动能力、现场处置能力、队伍保障等方面对队伍救援能力进行分析。提供区域救援队伍能力分析，并结合地理位置信息进行救援支援分析。</w:t>
      </w:r>
    </w:p>
    <w:p w14:paraId="4DC5FD89">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医院急诊与救治能力分析</w:t>
      </w:r>
    </w:p>
    <w:p w14:paraId="3F9C3D1F">
      <w:pPr>
        <w:pStyle w:val="12"/>
      </w:pPr>
      <w:r>
        <w:rPr>
          <w:rFonts w:hint="eastAsia"/>
        </w:rPr>
        <w:t>基于三医数据接入和医院信息填报，对医院的急诊资源与接诊能力、医疗救治床位、重点设备、优势学科能力。同时结合地理位置信息进行救援支撑分析。</w:t>
      </w:r>
    </w:p>
    <w:p w14:paraId="67E1AB9F">
      <w:pPr>
        <w:pStyle w:val="4"/>
        <w:keepNext w:val="0"/>
        <w:keepLines w:val="0"/>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突发事件分析</w:t>
      </w:r>
    </w:p>
    <w:p w14:paraId="5781D90A">
      <w:pPr>
        <w:pStyle w:val="12"/>
        <w:keepNext w:val="0"/>
        <w:keepLines w:val="0"/>
        <w:pageBreakBefore w:val="0"/>
        <w:widowControl w:val="0"/>
        <w:kinsoku/>
        <w:wordWrap/>
        <w:overflowPunct/>
        <w:topLinePunct w:val="0"/>
        <w:autoSpaceDE/>
        <w:autoSpaceDN/>
        <w:bidi w:val="0"/>
        <w:textAlignment w:val="auto"/>
      </w:pPr>
      <w:r>
        <w:rPr>
          <w:rFonts w:hint="eastAsia"/>
        </w:rPr>
        <w:t>基于应急值守系统接报的各渠道事件信息，包括来源120急救系统渠道、医院渠道、其他部门通报渠道等对突发事件进行综合分析。同时基于基于收集的历史中毒事件及应急值守接报事件信息、中毒专病库等数据支撑，对中毒事件进行专题分析。</w:t>
      </w:r>
    </w:p>
    <w:p w14:paraId="2B702C27">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突发事件总体分析</w:t>
      </w:r>
    </w:p>
    <w:p w14:paraId="095A8DA4">
      <w:pPr>
        <w:pStyle w:val="12"/>
      </w:pPr>
      <w:r>
        <w:rPr>
          <w:rFonts w:hint="eastAsia"/>
        </w:rPr>
        <w:t>对事件信息总览、接报途径、分类分级统计、地区分布进行展示分析，对突发事件伤员伤情进行分类分析，包括伤类分析、伤部分析、伤势分析。同时从多个维度进行统计和筛选。</w:t>
      </w:r>
    </w:p>
    <w:p w14:paraId="71F88C4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突发事件地图联动</w:t>
      </w:r>
    </w:p>
    <w:p w14:paraId="6729F5AD">
      <w:pPr>
        <w:pStyle w:val="12"/>
      </w:pPr>
      <w:r>
        <w:rPr>
          <w:rFonts w:hint="eastAsia"/>
        </w:rPr>
        <w:t>根据事件等级、状态、位置，基于GIS地图展示事件分布情况，同时查看事件的基本信息。支持按地区、类型、等级等联动地图展示事件，支持事件搜索功能。</w:t>
      </w:r>
    </w:p>
    <w:p w14:paraId="4FC2DA1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中毒事件分析</w:t>
      </w:r>
    </w:p>
    <w:p w14:paraId="01369CCD">
      <w:pPr>
        <w:pStyle w:val="12"/>
      </w:pPr>
      <w:r>
        <w:rPr>
          <w:rFonts w:hint="eastAsia"/>
        </w:rPr>
        <w:t>基于收集的历史中毒事件及应急值守接报事件信息，对中毒事件分类统计、中毒事件伤亡趋势分析、中毒事件区域分布进行统计分析。</w:t>
      </w:r>
    </w:p>
    <w:p w14:paraId="272A072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中毒地区及人群特征分析</w:t>
      </w:r>
    </w:p>
    <w:p w14:paraId="1261B3EC">
      <w:pPr>
        <w:pStyle w:val="12"/>
      </w:pPr>
      <w:r>
        <w:rPr>
          <w:rFonts w:hint="eastAsia"/>
        </w:rPr>
        <w:t>地区分析主要按行政区划对患者的住址及工作单位地址进行区域人数统计分析；人群特征主要包括年龄-性别、职业、中毒原因等方面进行分析。</w:t>
      </w:r>
    </w:p>
    <w:p w14:paraId="494025A9">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中毒救治医院分布</w:t>
      </w:r>
    </w:p>
    <w:p w14:paraId="3CF19A13">
      <w:pPr>
        <w:pStyle w:val="12"/>
      </w:pPr>
      <w:r>
        <w:rPr>
          <w:rFonts w:hint="eastAsia"/>
        </w:rPr>
        <w:t>基于中毒专病库数据，对中毒救治类型及对应医院分布等进行展示分析。支持地图展示中毒事件分布情况，查看各医院基本信息及中毒救治的类型。</w:t>
      </w:r>
    </w:p>
    <w:p w14:paraId="1BB0AC9D">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解毒药品储备分布</w:t>
      </w:r>
    </w:p>
    <w:p w14:paraId="63DAB11D">
      <w:pPr>
        <w:pStyle w:val="12"/>
      </w:pPr>
      <w:r>
        <w:rPr>
          <w:rFonts w:hint="eastAsia"/>
        </w:rPr>
        <w:t>基于中毒专病库数据，对区域重点解毒药品的储备分布进行统计和地图分布。为突发中毒事件的救治提供后送转运依据。</w:t>
      </w:r>
    </w:p>
    <w:p w14:paraId="57C99A92">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舆情监测专题图</w:t>
      </w:r>
    </w:p>
    <w:p w14:paraId="6C3BC899">
      <w:pPr>
        <w:pStyle w:val="12"/>
      </w:pPr>
      <w:r>
        <w:rPr>
          <w:rFonts w:hint="eastAsia"/>
        </w:rPr>
        <w:t>通过对主流新闻媒体网站（人民日报、今日头条、腾讯新闻、澎湃新闻等）、政府其他部门相关网站、多种社交媒体（包括抖音、微博、微信、小红书、B站等、百度贴吧、论坛等）进行多维度搜索、潜在苗头事件实时发现、关键信息报警、实体抽取等相关分析并生成网站监测报告，给应急处置工作提供舆论数据支撑。包括舆情动态与分布、舆情信息查看、舆情热度趋势、舆情事件热词、舆情关联查看等功能。</w:t>
      </w:r>
    </w:p>
    <w:p w14:paraId="4C8B958F">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舆情动态与分布</w:t>
      </w:r>
    </w:p>
    <w:p w14:paraId="21F57215">
      <w:pPr>
        <w:pStyle w:val="12"/>
      </w:pPr>
      <w:r>
        <w:rPr>
          <w:rFonts w:hint="eastAsia"/>
        </w:rPr>
        <w:t>通过互联网渠道，获取全省与突发事件救援、医疗卫生相关的舆情动态，对重大舆情进行监测预警，以及由此引发的突发事件信息，支撑突发事件及早发现，及早应用。包括热点事件列表、突发事件舆情分类统计、突发事件舆情地图分布、近30日突发事件热度统计、载体统计分析、突发事件地区热度排名等功能。</w:t>
      </w:r>
    </w:p>
    <w:p w14:paraId="60264F04">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舆情信息查看</w:t>
      </w:r>
    </w:p>
    <w:p w14:paraId="38B23FEB">
      <w:pPr>
        <w:pStyle w:val="12"/>
      </w:pPr>
      <w:r>
        <w:rPr>
          <w:rFonts w:hint="eastAsia"/>
        </w:rPr>
        <w:t>分析网络上各路媒体、公众针对自然灾害、事故灾难、社会安全事件、公共卫生事件等医疗救援相关内通的具体舆论信息，支持按照列表及点位分布进行展示，了解网民的具体言论信息。</w:t>
      </w:r>
    </w:p>
    <w:p w14:paraId="294AF0B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舆情热度趋势</w:t>
      </w:r>
    </w:p>
    <w:p w14:paraId="3B00735E">
      <w:pPr>
        <w:pStyle w:val="12"/>
      </w:pPr>
      <w:r>
        <w:rPr>
          <w:rFonts w:hint="eastAsia"/>
        </w:rPr>
        <w:t>分析网络上各路媒体、公众针对当前事件热度趋势走向，支持按照统计图表的形式进行直观展示，持续跟踪事件近期的热度趋势走向。</w:t>
      </w:r>
    </w:p>
    <w:p w14:paraId="1B56B86A">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舆情事件热词</w:t>
      </w:r>
    </w:p>
    <w:p w14:paraId="68ED771F">
      <w:pPr>
        <w:pStyle w:val="12"/>
      </w:pPr>
      <w:r>
        <w:rPr>
          <w:rFonts w:hint="eastAsia"/>
        </w:rPr>
        <w:t>分析网络上各路媒体、公众针对当前事件的发言热词，支持按照热词云的方式进行展示，直观展现针对当前事件网民关注的内容，必要时候及时开展舆情应对。</w:t>
      </w:r>
    </w:p>
    <w:p w14:paraId="78FFDE70">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舆情关联查看</w:t>
      </w:r>
    </w:p>
    <w:p w14:paraId="31088803">
      <w:pPr>
        <w:pStyle w:val="12"/>
        <w:rPr>
          <w:rFonts w:hint="eastAsia"/>
          <w:lang w:val="en-US" w:eastAsia="zh-CN"/>
        </w:rPr>
      </w:pPr>
      <w:r>
        <w:rPr>
          <w:rFonts w:hint="eastAsia"/>
        </w:rPr>
        <w:t>自动获取与当前舆情所述事件相关的各路媒体的舆情信息，针对性的了解某个重点事件的舆情态势。支持跳转到原始舆情发布网站查看原文内容。</w:t>
      </w:r>
    </w:p>
    <w:sectPr>
      <w:pgSz w:w="11906" w:h="16838"/>
      <w:pgMar w:top="1417" w:right="1418" w:bottom="141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83E1C"/>
    <w:multiLevelType w:val="multilevel"/>
    <w:tmpl w:val="00B83E1C"/>
    <w:lvl w:ilvl="0" w:tentative="0">
      <w:start w:val="1"/>
      <w:numFmt w:val="decimal"/>
      <w:pStyle w:val="2"/>
      <w:suff w:val="space"/>
      <w:lvlText w:val="第%1章"/>
      <w:lvlJc w:val="left"/>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pStyle w:val="5"/>
      <w:suff w:val="space"/>
      <w:lvlText w:val="%1.%2.%3.%4"/>
      <w:lvlJc w:val="left"/>
      <w:pPr>
        <w:ind w:left="284" w:firstLine="0"/>
      </w:pPr>
      <w:rPr>
        <w:rFonts w:hint="eastAsia"/>
      </w:rPr>
    </w:lvl>
    <w:lvl w:ilvl="4" w:tentative="0">
      <w:start w:val="1"/>
      <w:numFmt w:val="decimal"/>
      <w:pStyle w:val="6"/>
      <w:suff w:val="space"/>
      <w:lvlText w:val="%1.%2.%3.%4.%5"/>
      <w:lvlJc w:val="left"/>
      <w:pPr>
        <w:ind w:left="710" w:firstLine="0"/>
      </w:pPr>
      <w:rPr>
        <w:rFonts w:hint="eastAsia"/>
      </w:rPr>
    </w:lvl>
    <w:lvl w:ilvl="5" w:tentative="0">
      <w:start w:val="1"/>
      <w:numFmt w:val="decimal"/>
      <w:pStyle w:val="7"/>
      <w:suff w:val="space"/>
      <w:lvlText w:val="%1.%2.%3.%4.%5.%6"/>
      <w:lvlJc w:val="left"/>
      <w:pPr>
        <w:ind w:left="568"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zM4NGJkNmU2YjZhOWMxMTcyNDNkZWIyM2IzYzgifQ=="/>
  </w:docVars>
  <w:rsids>
    <w:rsidRoot w:val="2A212BF9"/>
    <w:rsid w:val="000B693E"/>
    <w:rsid w:val="000D400C"/>
    <w:rsid w:val="00120E85"/>
    <w:rsid w:val="001D6F0C"/>
    <w:rsid w:val="002C4F38"/>
    <w:rsid w:val="00384C7E"/>
    <w:rsid w:val="004335F5"/>
    <w:rsid w:val="00444D7F"/>
    <w:rsid w:val="004505A4"/>
    <w:rsid w:val="004A0241"/>
    <w:rsid w:val="004C03F9"/>
    <w:rsid w:val="004D488D"/>
    <w:rsid w:val="00676903"/>
    <w:rsid w:val="00676F69"/>
    <w:rsid w:val="007A4271"/>
    <w:rsid w:val="007F20E3"/>
    <w:rsid w:val="00834478"/>
    <w:rsid w:val="008F22E6"/>
    <w:rsid w:val="0093305D"/>
    <w:rsid w:val="00977571"/>
    <w:rsid w:val="009A0095"/>
    <w:rsid w:val="009D124E"/>
    <w:rsid w:val="009E5941"/>
    <w:rsid w:val="00BE6AF1"/>
    <w:rsid w:val="00C07623"/>
    <w:rsid w:val="00CB1923"/>
    <w:rsid w:val="00E35F4C"/>
    <w:rsid w:val="00EC1F4E"/>
    <w:rsid w:val="00EC61D9"/>
    <w:rsid w:val="00EE4E56"/>
    <w:rsid w:val="0147153B"/>
    <w:rsid w:val="05917228"/>
    <w:rsid w:val="09030688"/>
    <w:rsid w:val="09A64A64"/>
    <w:rsid w:val="14587163"/>
    <w:rsid w:val="190E24E6"/>
    <w:rsid w:val="1FFD0844"/>
    <w:rsid w:val="222138E3"/>
    <w:rsid w:val="23710622"/>
    <w:rsid w:val="23D617AB"/>
    <w:rsid w:val="23F00E68"/>
    <w:rsid w:val="286D34D7"/>
    <w:rsid w:val="28974A46"/>
    <w:rsid w:val="292A0C96"/>
    <w:rsid w:val="2A212BF9"/>
    <w:rsid w:val="2EDA6C9B"/>
    <w:rsid w:val="309335A5"/>
    <w:rsid w:val="30AB637E"/>
    <w:rsid w:val="33842DF5"/>
    <w:rsid w:val="361C5DEB"/>
    <w:rsid w:val="371143AA"/>
    <w:rsid w:val="3779005F"/>
    <w:rsid w:val="3C4A24E1"/>
    <w:rsid w:val="3E416D36"/>
    <w:rsid w:val="41EF2605"/>
    <w:rsid w:val="439B388B"/>
    <w:rsid w:val="46D52711"/>
    <w:rsid w:val="4A3E1CA5"/>
    <w:rsid w:val="4B9A0B1E"/>
    <w:rsid w:val="504660D2"/>
    <w:rsid w:val="51A25E57"/>
    <w:rsid w:val="53214D52"/>
    <w:rsid w:val="55A35789"/>
    <w:rsid w:val="56AE04EC"/>
    <w:rsid w:val="59001D1E"/>
    <w:rsid w:val="5AD50EFF"/>
    <w:rsid w:val="5FB70224"/>
    <w:rsid w:val="5FE175D9"/>
    <w:rsid w:val="66624BA8"/>
    <w:rsid w:val="6919257F"/>
    <w:rsid w:val="693B7D5A"/>
    <w:rsid w:val="6974145B"/>
    <w:rsid w:val="6CB71DEE"/>
    <w:rsid w:val="6DAC2F2D"/>
    <w:rsid w:val="71306613"/>
    <w:rsid w:val="71844269"/>
    <w:rsid w:val="7650704C"/>
    <w:rsid w:val="778D20C9"/>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9"/>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qFormat/>
    <w:uiPriority w:val="9"/>
    <w:pPr>
      <w:keepNext/>
      <w:keepLines/>
      <w:pageBreakBefore/>
      <w:numPr>
        <w:ilvl w:val="0"/>
        <w:numId w:val="1"/>
      </w:numPr>
      <w:spacing w:before="240" w:beforeLines="50" w:afterLines="50" w:line="360" w:lineRule="auto"/>
      <w:jc w:val="center"/>
      <w:outlineLvl w:val="0"/>
    </w:pPr>
    <w:rPr>
      <w:rFonts w:ascii="等线" w:hAnsi="等线" w:eastAsia="黑体" w:cs="Times New Roman"/>
      <w:b/>
      <w:bCs/>
      <w:kern w:val="44"/>
      <w:sz w:val="32"/>
      <w:szCs w:val="44"/>
    </w:rPr>
  </w:style>
  <w:style w:type="paragraph" w:styleId="3">
    <w:name w:val="heading 2"/>
    <w:basedOn w:val="1"/>
    <w:next w:val="1"/>
    <w:autoRedefine/>
    <w:qFormat/>
    <w:uiPriority w:val="9"/>
    <w:pPr>
      <w:keepNext/>
      <w:keepLines/>
      <w:numPr>
        <w:ilvl w:val="1"/>
        <w:numId w:val="1"/>
      </w:numPr>
      <w:snapToGrid w:val="0"/>
      <w:spacing w:line="360" w:lineRule="auto"/>
      <w:contextualSpacing/>
      <w:outlineLvl w:val="1"/>
    </w:pPr>
    <w:rPr>
      <w:rFonts w:ascii="Times New Roman" w:hAnsi="Times New Roman" w:eastAsia="黑体" w:cstheme="majorBidi"/>
      <w:b/>
      <w:bCs/>
      <w:color w:val="000000" w:themeColor="text1"/>
      <w:sz w:val="30"/>
      <w:szCs w:val="32"/>
      <w14:textFill>
        <w14:solidFill>
          <w14:schemeClr w14:val="tx1"/>
        </w14:solidFill>
      </w14:textFill>
    </w:rPr>
  </w:style>
  <w:style w:type="paragraph" w:styleId="4">
    <w:name w:val="heading 3"/>
    <w:basedOn w:val="1"/>
    <w:next w:val="1"/>
    <w:link w:val="29"/>
    <w:autoRedefine/>
    <w:qFormat/>
    <w:uiPriority w:val="9"/>
    <w:pPr>
      <w:keepNext/>
      <w:keepLines/>
      <w:numPr>
        <w:ilvl w:val="2"/>
        <w:numId w:val="1"/>
      </w:numPr>
      <w:adjustRightInd w:val="0"/>
      <w:snapToGrid w:val="0"/>
      <w:spacing w:line="560" w:lineRule="exact"/>
      <w:contextualSpacing/>
      <w:outlineLvl w:val="2"/>
    </w:pPr>
    <w:rPr>
      <w:rFonts w:eastAsia="黑体"/>
      <w:b/>
      <w:bCs/>
      <w:color w:val="000000" w:themeColor="text1"/>
      <w:sz w:val="24"/>
      <w:szCs w:val="32"/>
      <w14:textFill>
        <w14:solidFill>
          <w14:schemeClr w14:val="tx1"/>
        </w14:solidFill>
      </w14:textFill>
    </w:rPr>
  </w:style>
  <w:style w:type="paragraph" w:styleId="5">
    <w:name w:val="heading 4"/>
    <w:basedOn w:val="4"/>
    <w:next w:val="6"/>
    <w:autoRedefine/>
    <w:qFormat/>
    <w:uiPriority w:val="9"/>
    <w:pPr>
      <w:keepNext/>
      <w:keepLines/>
      <w:numPr>
        <w:ilvl w:val="3"/>
        <w:numId w:val="1"/>
      </w:numPr>
      <w:spacing w:before="280" w:after="290" w:line="376" w:lineRule="auto"/>
      <w:outlineLvl w:val="3"/>
    </w:pPr>
    <w:rPr>
      <w:rFonts w:ascii="Times New Roman" w:hAnsi="Times New Roman" w:eastAsia="黑体" w:cstheme="majorBidi"/>
      <w:sz w:val="28"/>
      <w:szCs w:val="28"/>
    </w:rPr>
  </w:style>
  <w:style w:type="paragraph" w:styleId="6">
    <w:name w:val="heading 5"/>
    <w:basedOn w:val="5"/>
    <w:next w:val="7"/>
    <w:autoRedefine/>
    <w:qFormat/>
    <w:uiPriority w:val="9"/>
    <w:pPr>
      <w:keepNext/>
      <w:keepLines/>
      <w:numPr>
        <w:ilvl w:val="4"/>
        <w:numId w:val="1"/>
      </w:numPr>
      <w:spacing w:before="280" w:after="290" w:line="376" w:lineRule="auto"/>
      <w:outlineLvl w:val="4"/>
    </w:pPr>
    <w:rPr>
      <w:rFonts w:ascii="黑体" w:eastAsia="黑体"/>
      <w:sz w:val="24"/>
      <w:szCs w:val="28"/>
    </w:rPr>
  </w:style>
  <w:style w:type="paragraph" w:styleId="7">
    <w:name w:val="heading 6"/>
    <w:basedOn w:val="1"/>
    <w:next w:val="8"/>
    <w:qFormat/>
    <w:uiPriority w:val="0"/>
    <w:pPr>
      <w:keepNext/>
      <w:keepLines/>
      <w:numPr>
        <w:ilvl w:val="5"/>
        <w:numId w:val="1"/>
      </w:numPr>
      <w:spacing w:before="240" w:after="64" w:line="320" w:lineRule="auto"/>
      <w:outlineLvl w:val="5"/>
    </w:pPr>
    <w:rPr>
      <w:rFonts w:ascii="黑体" w:eastAsia="黑体" w:hAnsiTheme="majorHAnsi" w:cstheme="majorBidi"/>
      <w:b/>
      <w:bCs/>
      <w:kern w:val="2"/>
      <w:sz w:val="24"/>
      <w:szCs w:val="24"/>
      <w:lang w:val="en-US" w:eastAsia="zh-CN" w:bidi="ar-SA"/>
    </w:rPr>
  </w:style>
  <w:style w:type="paragraph" w:styleId="9">
    <w:name w:val="heading 7"/>
    <w:basedOn w:val="1"/>
    <w:next w:val="10"/>
    <w:link w:val="33"/>
    <w:autoRedefine/>
    <w:qFormat/>
    <w:uiPriority w:val="0"/>
    <w:pPr>
      <w:keepNext/>
      <w:widowControl/>
      <w:adjustRightInd w:val="0"/>
      <w:snapToGrid w:val="0"/>
      <w:spacing w:before="120" w:after="120" w:line="360" w:lineRule="auto"/>
      <w:contextualSpacing/>
      <w:jc w:val="left"/>
      <w:outlineLvl w:val="6"/>
    </w:pPr>
    <w:rPr>
      <w:rFonts w:ascii="Times New Roman" w:hAnsi="Times New Roman" w:eastAsia="宋体" w:cs="等线"/>
      <w:b/>
      <w:sz w:val="24"/>
    </w:rPr>
  </w:style>
  <w:style w:type="paragraph" w:styleId="11">
    <w:name w:val="heading 8"/>
    <w:basedOn w:val="1"/>
    <w:next w:val="12"/>
    <w:link w:val="34"/>
    <w:autoRedefine/>
    <w:qFormat/>
    <w:uiPriority w:val="0"/>
    <w:pPr>
      <w:keepNext/>
      <w:widowControl/>
      <w:snapToGrid w:val="0"/>
      <w:spacing w:before="120" w:after="120" w:line="360" w:lineRule="auto"/>
      <w:contextualSpacing/>
      <w:jc w:val="left"/>
      <w:outlineLvl w:val="7"/>
    </w:pPr>
    <w:rPr>
      <w:rFonts w:ascii="Times New Roman" w:hAnsi="Times New Roman" w:eastAsia="宋体" w:cs="等线"/>
      <w:b/>
      <w:sz w:val="24"/>
    </w:rPr>
  </w:style>
  <w:style w:type="paragraph" w:styleId="14">
    <w:name w:val="heading 9"/>
    <w:basedOn w:val="1"/>
    <w:next w:val="12"/>
    <w:link w:val="35"/>
    <w:autoRedefine/>
    <w:qFormat/>
    <w:uiPriority w:val="0"/>
    <w:pPr>
      <w:keepNext/>
      <w:widowControl/>
      <w:snapToGrid w:val="0"/>
      <w:spacing w:before="120" w:after="120" w:line="360" w:lineRule="auto"/>
      <w:contextualSpacing/>
      <w:jc w:val="left"/>
      <w:outlineLvl w:val="8"/>
    </w:pPr>
    <w:rPr>
      <w:rFonts w:ascii="Times New Roman" w:hAnsi="Times New Roman" w:eastAsia="宋体" w:cs="等线"/>
      <w:b/>
      <w:sz w:val="24"/>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customStyle="1" w:styleId="8">
    <w:name w:val="FC正文"/>
    <w:basedOn w:val="1"/>
    <w:qFormat/>
    <w:uiPriority w:val="0"/>
    <w:pPr>
      <w:spacing w:line="360" w:lineRule="auto"/>
      <w:ind w:firstLine="200" w:firstLineChars="200"/>
    </w:pPr>
    <w:rPr>
      <w:rFonts w:ascii="宋体" w:eastAsia="宋体" w:hAnsiTheme="minorEastAsia" w:cstheme="minorEastAsia"/>
      <w:sz w:val="24"/>
    </w:rPr>
  </w:style>
  <w:style w:type="paragraph" w:customStyle="1" w:styleId="10">
    <w:name w:val="HS   正文"/>
    <w:autoRedefine/>
    <w:qFormat/>
    <w:locked/>
    <w:uiPriority w:val="0"/>
    <w:pPr>
      <w:widowControl w:val="0"/>
      <w:snapToGrid w:val="0"/>
      <w:spacing w:before="50" w:beforeLines="50" w:after="50" w:afterLines="50" w:line="360" w:lineRule="auto"/>
      <w:ind w:firstLine="480" w:firstLineChars="200"/>
      <w:contextualSpacing/>
      <w:jc w:val="both"/>
    </w:pPr>
    <w:rPr>
      <w:rFonts w:ascii="宋体" w:hAnsi="宋体" w:eastAsia="宋体" w:cstheme="minorEastAsia"/>
      <w:kern w:val="2"/>
      <w:sz w:val="24"/>
      <w:szCs w:val="21"/>
      <w:lang w:val="en-US" w:eastAsia="zh-CN" w:bidi="ar-SA"/>
    </w:rPr>
  </w:style>
  <w:style w:type="paragraph" w:customStyle="1" w:styleId="12">
    <w:name w:val="KY1正文"/>
    <w:basedOn w:val="13"/>
    <w:link w:val="36"/>
    <w:autoRedefine/>
    <w:qFormat/>
    <w:uiPriority w:val="0"/>
    <w:pPr>
      <w:spacing w:line="360" w:lineRule="auto"/>
      <w:ind w:firstLine="480" w:firstLineChars="200"/>
      <w:jc w:val="left"/>
    </w:pPr>
    <w:rPr>
      <w:rFonts w:ascii="Times New Roman" w:hAnsi="Times New Roman" w:eastAsia="宋体" w:cstheme="minorEastAsia"/>
      <w:sz w:val="24"/>
    </w:rPr>
  </w:style>
  <w:style w:type="paragraph" w:customStyle="1" w:styleId="13">
    <w:name w:val="!基准"/>
    <w:qFormat/>
    <w:uiPriority w:val="5"/>
    <w:rPr>
      <w:rFonts w:ascii="Times New Roman" w:hAnsi="Times New Roman" w:eastAsia="宋体" w:cstheme="minorBidi"/>
      <w:kern w:val="2"/>
      <w:sz w:val="21"/>
      <w:szCs w:val="21"/>
      <w:lang w:val="en-US" w:eastAsia="zh-CN" w:bidi="ar-SA"/>
    </w:rPr>
  </w:style>
  <w:style w:type="paragraph" w:styleId="15">
    <w:name w:val="Normal Indent"/>
    <w:basedOn w:val="1"/>
    <w:next w:val="1"/>
    <w:autoRedefine/>
    <w:unhideWhenUsed/>
    <w:qFormat/>
    <w:uiPriority w:val="99"/>
    <w:pPr>
      <w:ind w:firstLine="420" w:firstLineChars="200"/>
    </w:pPr>
  </w:style>
  <w:style w:type="paragraph" w:styleId="16">
    <w:name w:val="caption"/>
    <w:basedOn w:val="1"/>
    <w:next w:val="1"/>
    <w:link w:val="37"/>
    <w:autoRedefine/>
    <w:qFormat/>
    <w:uiPriority w:val="0"/>
    <w:pPr>
      <w:keepNext/>
      <w:widowControl/>
      <w:jc w:val="center"/>
    </w:pPr>
    <w:rPr>
      <w:rFonts w:ascii="Times New Roman" w:hAnsi="Times New Roman" w:eastAsia="黑体" w:cstheme="majorBidi"/>
      <w:sz w:val="20"/>
      <w:szCs w:val="20"/>
    </w:rPr>
  </w:style>
  <w:style w:type="paragraph" w:styleId="17">
    <w:name w:val="Body Text"/>
    <w:basedOn w:val="1"/>
    <w:next w:val="18"/>
    <w:qFormat/>
    <w:uiPriority w:val="0"/>
    <w:pPr>
      <w:spacing w:after="120" w:line="360" w:lineRule="auto"/>
      <w:ind w:firstLine="200" w:firstLineChars="200"/>
    </w:pPr>
    <w:rPr>
      <w:rFonts w:ascii="Calibri" w:hAnsi="Calibri" w:eastAsia="宋体" w:cs="Times New Roman"/>
      <w:sz w:val="24"/>
      <w:szCs w:val="24"/>
    </w:rPr>
  </w:style>
  <w:style w:type="paragraph" w:styleId="18">
    <w:name w:val="Body Text First Indent 2"/>
    <w:basedOn w:val="19"/>
    <w:next w:val="15"/>
    <w:autoRedefine/>
    <w:qFormat/>
    <w:uiPriority w:val="0"/>
    <w:pPr>
      <w:spacing w:after="120"/>
      <w:ind w:left="420" w:leftChars="200" w:firstLine="420" w:firstLineChars="200"/>
    </w:pPr>
    <w:rPr>
      <w:sz w:val="21"/>
    </w:rPr>
  </w:style>
  <w:style w:type="paragraph" w:styleId="19">
    <w:name w:val="Body Text Indent"/>
    <w:basedOn w:val="1"/>
    <w:next w:val="20"/>
    <w:autoRedefine/>
    <w:qFormat/>
    <w:uiPriority w:val="0"/>
    <w:pPr>
      <w:ind w:firstLine="645"/>
    </w:pPr>
    <w:rPr>
      <w:rFonts w:ascii="Arial" w:hAnsi="Arial" w:eastAsia="仿宋_GB2312"/>
      <w:sz w:val="28"/>
    </w:rPr>
  </w:style>
  <w:style w:type="paragraph" w:styleId="20">
    <w:name w:val="envelope return"/>
    <w:basedOn w:val="1"/>
    <w:autoRedefine/>
    <w:qFormat/>
    <w:uiPriority w:val="0"/>
    <w:pPr>
      <w:snapToGrid w:val="0"/>
    </w:pPr>
    <w:rPr>
      <w:rFonts w:ascii="Arial" w:hAnsi="Arial" w:cs="Arial"/>
    </w:rPr>
  </w:style>
  <w:style w:type="paragraph" w:styleId="21">
    <w:name w:val="Body Text Indent 2"/>
    <w:basedOn w:val="1"/>
    <w:autoRedefine/>
    <w:unhideWhenUsed/>
    <w:qFormat/>
    <w:uiPriority w:val="99"/>
    <w:pPr>
      <w:widowControl/>
      <w:autoSpaceDN w:val="0"/>
      <w:spacing w:after="120" w:line="480" w:lineRule="auto"/>
      <w:ind w:left="420" w:leftChars="200"/>
    </w:pPr>
    <w:rPr>
      <w:kern w:val="0"/>
      <w:sz w:val="24"/>
      <w:szCs w:val="22"/>
      <w:lang w:eastAsia="en-US" w:bidi="en-US"/>
    </w:rPr>
  </w:style>
  <w:style w:type="paragraph" w:styleId="22">
    <w:name w:val="footer"/>
    <w:basedOn w:val="1"/>
    <w:link w:val="32"/>
    <w:autoRedefine/>
    <w:qFormat/>
    <w:uiPriority w:val="0"/>
    <w:pPr>
      <w:tabs>
        <w:tab w:val="center" w:pos="4153"/>
        <w:tab w:val="right" w:pos="8306"/>
      </w:tabs>
      <w:snapToGrid w:val="0"/>
      <w:jc w:val="left"/>
    </w:pPr>
    <w:rPr>
      <w:sz w:val="18"/>
      <w:szCs w:val="18"/>
    </w:rPr>
  </w:style>
  <w:style w:type="paragraph" w:styleId="23">
    <w:name w:val="header"/>
    <w:basedOn w:val="1"/>
    <w:link w:val="31"/>
    <w:autoRedefine/>
    <w:qFormat/>
    <w:uiPriority w:val="0"/>
    <w:pPr>
      <w:tabs>
        <w:tab w:val="center" w:pos="4153"/>
        <w:tab w:val="right" w:pos="8306"/>
      </w:tabs>
      <w:snapToGrid w:val="0"/>
      <w:jc w:val="center"/>
    </w:pPr>
    <w:rPr>
      <w:sz w:val="18"/>
      <w:szCs w:val="18"/>
    </w:rPr>
  </w:style>
  <w:style w:type="paragraph" w:styleId="24">
    <w:name w:val="footnote text"/>
    <w:basedOn w:val="1"/>
    <w:autoRedefine/>
    <w:qFormat/>
    <w:uiPriority w:val="99"/>
    <w:pPr>
      <w:snapToGrid w:val="0"/>
    </w:pPr>
    <w:rPr>
      <w:kern w:val="0"/>
      <w:sz w:val="18"/>
      <w:szCs w:val="18"/>
    </w:rPr>
  </w:style>
  <w:style w:type="table" w:styleId="26">
    <w:name w:val="Table Grid"/>
    <w:basedOn w:val="2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
    <w:name w:val="AA正文"/>
    <w:basedOn w:val="1"/>
    <w:autoRedefine/>
    <w:qFormat/>
    <w:uiPriority w:val="0"/>
    <w:pPr>
      <w:snapToGrid w:val="0"/>
      <w:spacing w:line="360" w:lineRule="auto"/>
      <w:ind w:firstLine="200" w:firstLineChars="200"/>
    </w:pPr>
    <w:rPr>
      <w:sz w:val="24"/>
      <w:szCs w:val="24"/>
    </w:rPr>
  </w:style>
  <w:style w:type="character" w:customStyle="1" w:styleId="29">
    <w:name w:val="标题 3 字符"/>
    <w:link w:val="4"/>
    <w:autoRedefine/>
    <w:qFormat/>
    <w:uiPriority w:val="0"/>
    <w:rPr>
      <w:rFonts w:eastAsia="黑体" w:asciiTheme="minorHAnsi" w:hAnsiTheme="minorHAnsi" w:cstheme="minorBidi"/>
      <w:b/>
      <w:bCs/>
      <w:color w:val="000000" w:themeColor="text1"/>
      <w:kern w:val="2"/>
      <w:sz w:val="24"/>
      <w:szCs w:val="32"/>
      <w:lang w:val="en-US" w:eastAsia="zh-CN" w:bidi="ar-SA"/>
      <w14:textFill>
        <w14:solidFill>
          <w14:schemeClr w14:val="tx1"/>
        </w14:solidFill>
      </w14:textFill>
    </w:rPr>
  </w:style>
  <w:style w:type="paragraph" w:customStyle="1" w:styleId="30">
    <w:name w:val="yhw3"/>
    <w:basedOn w:val="1"/>
    <w:autoRedefine/>
    <w:qFormat/>
    <w:uiPriority w:val="0"/>
    <w:pPr>
      <w:ind w:firstLine="640" w:firstLineChars="200"/>
    </w:pPr>
    <w:rPr>
      <w:rFonts w:cs="宋体"/>
    </w:rPr>
  </w:style>
  <w:style w:type="character" w:customStyle="1" w:styleId="31">
    <w:name w:val="页眉 字符"/>
    <w:basedOn w:val="27"/>
    <w:link w:val="23"/>
    <w:autoRedefine/>
    <w:qFormat/>
    <w:uiPriority w:val="0"/>
    <w:rPr>
      <w:kern w:val="2"/>
      <w:sz w:val="18"/>
      <w:szCs w:val="18"/>
    </w:rPr>
  </w:style>
  <w:style w:type="character" w:customStyle="1" w:styleId="32">
    <w:name w:val="页脚 字符"/>
    <w:basedOn w:val="27"/>
    <w:link w:val="22"/>
    <w:autoRedefine/>
    <w:qFormat/>
    <w:uiPriority w:val="0"/>
    <w:rPr>
      <w:kern w:val="2"/>
      <w:sz w:val="18"/>
      <w:szCs w:val="18"/>
    </w:rPr>
  </w:style>
  <w:style w:type="character" w:customStyle="1" w:styleId="33">
    <w:name w:val="标题 7 字符"/>
    <w:basedOn w:val="27"/>
    <w:link w:val="9"/>
    <w:autoRedefine/>
    <w:qFormat/>
    <w:uiPriority w:val="1"/>
    <w:rPr>
      <w:rFonts w:ascii="Times New Roman" w:hAnsi="Times New Roman" w:eastAsia="宋体" w:cs="等线"/>
      <w:b/>
      <w:kern w:val="2"/>
      <w:sz w:val="24"/>
      <w:szCs w:val="21"/>
    </w:rPr>
  </w:style>
  <w:style w:type="character" w:customStyle="1" w:styleId="34">
    <w:name w:val="标题 8 字符"/>
    <w:basedOn w:val="27"/>
    <w:link w:val="11"/>
    <w:autoRedefine/>
    <w:qFormat/>
    <w:uiPriority w:val="1"/>
    <w:rPr>
      <w:rFonts w:ascii="Times New Roman" w:hAnsi="Times New Roman" w:eastAsia="宋体" w:cs="等线"/>
      <w:b/>
      <w:kern w:val="2"/>
      <w:sz w:val="24"/>
      <w:szCs w:val="21"/>
    </w:rPr>
  </w:style>
  <w:style w:type="character" w:customStyle="1" w:styleId="35">
    <w:name w:val="标题 9 字符"/>
    <w:basedOn w:val="27"/>
    <w:link w:val="14"/>
    <w:autoRedefine/>
    <w:qFormat/>
    <w:uiPriority w:val="1"/>
    <w:rPr>
      <w:rFonts w:ascii="Times New Roman" w:hAnsi="Times New Roman" w:eastAsia="宋体" w:cs="等线"/>
      <w:b/>
      <w:kern w:val="2"/>
      <w:sz w:val="24"/>
      <w:szCs w:val="21"/>
    </w:rPr>
  </w:style>
  <w:style w:type="character" w:customStyle="1" w:styleId="36">
    <w:name w:val="KY1正文 字符"/>
    <w:link w:val="12"/>
    <w:autoRedefine/>
    <w:qFormat/>
    <w:uiPriority w:val="0"/>
    <w:rPr>
      <w:rFonts w:ascii="Times New Roman" w:hAnsi="Times New Roman" w:eastAsia="宋体" w:cstheme="minorEastAsia"/>
      <w:kern w:val="2"/>
      <w:sz w:val="24"/>
      <w:szCs w:val="21"/>
    </w:rPr>
  </w:style>
  <w:style w:type="character" w:customStyle="1" w:styleId="37">
    <w:name w:val="题注 字符"/>
    <w:link w:val="16"/>
    <w:autoRedefine/>
    <w:qFormat/>
    <w:uiPriority w:val="99"/>
    <w:rPr>
      <w:rFonts w:ascii="Times New Roman" w:hAnsi="Times New Roman" w:eastAsia="黑体" w:cstheme="majorBidi"/>
      <w:kern w:val="2"/>
    </w:rPr>
  </w:style>
  <w:style w:type="paragraph" w:customStyle="1" w:styleId="38">
    <w:name w:val="KY3表文"/>
    <w:basedOn w:val="1"/>
    <w:link w:val="39"/>
    <w:autoRedefine/>
    <w:qFormat/>
    <w:uiPriority w:val="0"/>
    <w:pPr>
      <w:widowControl/>
      <w:snapToGrid w:val="0"/>
      <w:contextualSpacing/>
      <w:jc w:val="center"/>
    </w:pPr>
    <w:rPr>
      <w:rFonts w:ascii="Times New Roman" w:hAnsi="Times New Roman" w:eastAsia="宋体" w:cs="Times New Roman"/>
      <w:color w:val="000000" w:themeColor="text1"/>
      <w:kern w:val="0"/>
      <w:szCs w:val="24"/>
      <w14:textFill>
        <w14:solidFill>
          <w14:schemeClr w14:val="tx1"/>
        </w14:solidFill>
      </w14:textFill>
    </w:rPr>
  </w:style>
  <w:style w:type="character" w:customStyle="1" w:styleId="39">
    <w:name w:val="KY3表文 字符"/>
    <w:basedOn w:val="27"/>
    <w:link w:val="38"/>
    <w:autoRedefine/>
    <w:qFormat/>
    <w:uiPriority w:val="0"/>
    <w:rPr>
      <w:rFonts w:ascii="Times New Roman" w:hAnsi="Times New Roman" w:eastAsia="宋体" w:cs="Times New Roman"/>
      <w:color w:val="000000" w:themeColor="text1"/>
      <w:sz w:val="21"/>
      <w:szCs w:val="24"/>
      <w14:textFill>
        <w14:solidFill>
          <w14:schemeClr w14:val="tx1"/>
        </w14:solidFill>
      </w14:textFill>
    </w:rPr>
  </w:style>
  <w:style w:type="table" w:customStyle="1" w:styleId="40">
    <w:name w:val="FC16"/>
    <w:basedOn w:val="25"/>
    <w:autoRedefine/>
    <w:qFormat/>
    <w:uiPriority w:val="99"/>
    <w:pPr>
      <w:jc w:val="center"/>
    </w:pPr>
    <w:rPr>
      <w:rFonts w:ascii="Calibri" w:hAnsi="Calibri" w:eastAsia="宋体" w:cs="Times New Roman"/>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shd w:val="clear" w:color="auto" w:fill="FFFFFF"/>
      <w:vAlign w:val="center"/>
    </w:tcPr>
    <w:tblStylePr w:type="firstRow">
      <w:tcPr>
        <w:tcBorders>
          <w:top w:val="double" w:color="auto" w:sz="4" w:space="0"/>
        </w:tcBorders>
        <w:shd w:val="clear" w:color="auto" w:fill="D9D9D9"/>
      </w:tcPr>
    </w:tblStylePr>
    <w:tblStylePr w:type="lastRow">
      <w:tcPr>
        <w:tcBorders>
          <w:bottom w:val="double" w:color="auto" w:sz="4" w:space="0"/>
        </w:tcBorders>
        <w:shd w:val="clear" w:color="auto" w:fill="FFFFFF"/>
      </w:tcPr>
    </w:tblStylePr>
    <w:tblStylePr w:type="firstCol">
      <w:tcPr>
        <w:tcBorders>
          <w:top w:val="nil"/>
          <w:left w:val="double" w:color="auto" w:sz="4" w:space="0"/>
        </w:tcBorders>
      </w:tcPr>
    </w:tblStylePr>
    <w:tblStylePr w:type="lastCol">
      <w:tcPr>
        <w:tcBorders>
          <w:right w:val="double" w:color="auto" w:sz="4" w:space="0"/>
        </w:tcBorders>
        <w:shd w:val="clear" w:color="auto" w:fill="FFFFFF"/>
      </w:tcPr>
    </w:tblStylePr>
  </w:style>
  <w:style w:type="character" w:customStyle="1" w:styleId="41">
    <w:name w:val="本文正文 Char"/>
    <w:basedOn w:val="27"/>
    <w:link w:val="42"/>
    <w:autoRedefine/>
    <w:qFormat/>
    <w:uiPriority w:val="0"/>
    <w:rPr>
      <w:rFonts w:ascii="Calibri" w:hAnsi="Calibri" w:eastAsia="宋体" w:cs="Times New Roman"/>
      <w:sz w:val="28"/>
      <w:szCs w:val="28"/>
    </w:rPr>
  </w:style>
  <w:style w:type="paragraph" w:customStyle="1" w:styleId="42">
    <w:name w:val="本文正文"/>
    <w:basedOn w:val="1"/>
    <w:link w:val="41"/>
    <w:qFormat/>
    <w:uiPriority w:val="0"/>
    <w:pPr>
      <w:ind w:right="280" w:rightChars="100" w:firstLine="560"/>
    </w:pPr>
    <w:rPr>
      <w:rFonts w:ascii="Calibri" w:hAnsi="Calibri" w:eastAsia="宋体" w:cs="Times New Roman"/>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11</Pages>
  <Words>6291</Words>
  <Characters>6409</Characters>
  <Lines>251</Lines>
  <Paragraphs>70</Paragraphs>
  <TotalTime>1</TotalTime>
  <ScaleCrop>false</ScaleCrop>
  <LinksUpToDate>false</LinksUpToDate>
  <CharactersWithSpaces>6467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2024-10-05T16:11:00Z</dcterms:created>
  <dc:creator> </dc:creator>
  <cp:lastModifiedBy>陈煜羲</cp:lastModifiedBy>
  <cp:lastPrinted>2025-02-21T04:07:00Z</cp:lastPrinted>
  <dcterms:modified xsi:type="dcterms:W3CDTF">2026-07-08T10:17:13Z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FAE6A22795A8435F8F03FAAEC31F58C0_11</vt:lpwstr>
  </property>
  <property fmtid="{D5CDD505-2E9C-101B-9397-08002B2CF9AE}" pid="4" name="KSOTemplateDocerSaveRecord">
    <vt:lpwstr>eyJoZGlkIjoiZGFhMzE5MWRlZGE4MGU0MTJkM2JhNzI2MjdmMjE2MTAiLCJ1c2VySWQiOiI0NzQyMjU0NzYifQ==</vt:lpwstr>
  </property>
</Properties>
</file>