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80" w:line="520" w:lineRule="exact"/>
        <w:ind w:firstLine="0"/>
        <w:jc w:val="center"/>
      </w:pPr>
      <w:bookmarkStart w:id="0" w:name="_GoBack"/>
      <w:bookmarkEnd w:id="0"/>
      <w:r>
        <w:rPr>
          <w:rFonts w:ascii="方正小标宋简体" w:hAnsi="方正小标宋简体" w:eastAsia="方正小标宋简体"/>
          <w:b/>
          <w:sz w:val="44"/>
        </w:rPr>
        <w:t>金山3期网络建设服务内容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推进福州大学附属省立医院金山院区3期网络建设，现采购网络交换机一批，提供≥5年原厂保修服务。具体设备清单及技术要求如下。</w:t>
      </w:r>
    </w:p>
    <w:p>
      <w:pPr>
        <w:spacing w:before="120" w:after="60" w:line="560" w:lineRule="exact"/>
        <w:ind w:firstLine="0"/>
        <w:jc w:val="both"/>
      </w:pPr>
      <w:r>
        <w:rPr>
          <w:rFonts w:ascii="黑体" w:hAnsi="黑体" w:eastAsia="黑体"/>
          <w:b/>
          <w:sz w:val="32"/>
        </w:rPr>
        <w:t>一、设备清单</w:t>
      </w:r>
    </w:p>
    <w:p>
      <w:pPr>
        <w:spacing w:before="120" w:after="60" w:line="560" w:lineRule="exact"/>
        <w:ind w:firstLine="0"/>
        <w:jc w:val="both"/>
      </w:pPr>
      <w:r>
        <w:rPr>
          <w:rFonts w:ascii="黑体" w:hAnsi="黑体" w:eastAsia="黑体"/>
          <w:b/>
          <w:sz w:val="32"/>
        </w:rPr>
        <w:t>二、技术要求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1. 业务网核心交换机（2台）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交换容量≥460Tbps，包转发率≥57000Mpps；主控引擎≥2；整机业务板槽位数≥4；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VLAN，支持端口VLAN、协议VLAN、IP子网VLAN、Super VLAN、Voice 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支持静态路由、RIP/RIPng、OSPF/OSPFv3、BGP/BGP4+、ISIS/ISISv6；支持路由协议多实例；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支持IEEE 802.1d(STP)、802.1w(RSTP)、802.1s(MSTP)，支持VLAN内端口隔离；支持1:1、N:1端口镜像、流镜像、远程端口镜像（RSPAN）；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整机MAC地址≥384K，MAC学习速率&gt;16000/s，ARP表项≥140000，ND表项≥80000；IPv4路由转发FIB表项≥256000，IPv6路由转发FIB表项≥80000；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单台配置：主控板卡≥2块，电源模块≥2块，10G万兆光口≥96个，40G光口≥4个，40G单模模块≥4个，集群线缆≥1条；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2. 业务网汇聚交换机1（2台）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交换容量≥4.8Tbps，包转发率≥2000Mpps；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支持万兆光口≥48个，40/100GE QSFP28光口≥6个；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支持静态路由、RIP v1/v2、OSPF、BGP、ISIS、RIPng、OSPFv3、ISISv6、BGP4+；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支持MAC表项≥384K，IPv4路由表项≥256K，IPv6路由表项≥80K；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单台配置：电源模块≥2块，万兆多模模块≥4个；提供≥5年原厂保修服务。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3. 业务网汇聚交换机2（2台）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交换容量≥4.8Tbps，包转发率≥1600Mpps；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支持万兆光口≥24个，40/100GE QSFP28光口≥6个；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支持静态路由、RIP v1/v2、OSPF、BGP、ISIS、RIPng、OSPFv3、ISISv6、BGP4+；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支持MAC表项≥384K，IPv4路由表项≥256K，IPv6路由表项≥80K；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单台配置：电源模块≥2块，万兆多模模块≥4个；提供≥5年原厂保修服务。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4. 业务网接入交换机1（58台）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交换容量≥670Gbps，包转发率≥200Mpps；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支持千兆电口≥48个，10G万兆光口≥4个，10G堆叠光口≥2个；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支持RIP、RIPng、OSPF、OSPFv3路由协议；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5. 业务网接入交换机2（27台）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交换容量≥670Gbps，包转发率≥170Mpps；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支持千兆电口≥24个，10G万兆光口≥4个，10G堆叠光口≥2个；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支持RIP、RIPng、OSPF、OSPFv3路由协议；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6. POE供电交换机1（9台）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交换容量≥670Gbps，包转发率≥170Mpps；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支持千兆POE+电口≥24个，10G万兆光口≥4个，10G堆叠光口≥2个；支持快速PoE和永久PoE功能；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支持RIP、RIPng、OSPF、OSPFv3路由协议；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7. POE供电交换机2（32台）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交换容量≥670Gbps，包转发率≥200Mpps；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支持千兆POE+电口≥48个，10G万兆光口≥4个，10G堆叠光口≥2个；支持快速PoE和永久PoE功能；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支持RIP、RIPng、OSPF、OSPFv3路由协议；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设备采用国产自研CPU及交换芯片；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单台配置：万兆多模模块≥4个；提供≥5年原厂保修服务。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8. 外网汇聚交换机（1台）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交换容量≥1.3Tbps，包转发率≥460Mpps；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支持千兆光口≥48个，万兆光口≥4个，10G堆叠光口≥2个；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设备采用国产自研CPU及转发芯片；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支持SNMP v1/v2/v3、Telnet、RMON、SSHv2；支持通过命令行、Web、中文图形化配置软件等方式配置和管理；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单台配置：电源模块≥2块，万兆单模模块≥4个；提供≥5年原厂保修服务。</w:t>
      </w:r>
    </w:p>
    <w:p>
      <w:pPr>
        <w:spacing w:before="60" w:after="40" w:line="560" w:lineRule="exact"/>
        <w:ind w:firstLine="0"/>
        <w:jc w:val="both"/>
      </w:pPr>
      <w:r>
        <w:rPr>
          <w:rFonts w:ascii="楷体_GB2312" w:hAnsi="楷体_GB2312" w:eastAsia="楷体_GB2312"/>
          <w:b/>
          <w:sz w:val="32"/>
        </w:rPr>
        <w:t>9. 外网接入交换机（17台）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交换容量≥670Gbps，包转发率≥170Mpps；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支持千兆电口≥24个，千兆光口≥4个；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支持4K VLAN、QinQ、灵活QinQ、端口VLAN、协议VLAN、IP子网VLAN；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支持RIP、RIPng、OSPF、OSPFv3路由协议；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支持MAC表项≥32K，IPv4路由表≥4K，IPv6路由表≥1K；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设备采用国产自研CPU及转发芯片；</w:t>
      </w:r>
    </w:p>
    <w:p>
      <w:pPr>
        <w:spacing w:before="0" w:after="0" w:line="560" w:lineRule="exact"/>
        <w:ind w:firstLine="640"/>
        <w:jc w:val="both"/>
      </w:pPr>
      <w:r>
        <w:rPr>
          <w:rFonts w:ascii="仿宋_GB2312" w:hAnsi="仿宋_GB2312" w:eastAsia="仿宋_GB2312"/>
          <w:b w:val="0"/>
          <w:sz w:val="32"/>
        </w:rPr>
        <w:t>单台配置：千兆多模模块≥4个；提供≥5年原厂保修服务。</w:t>
      </w: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AC5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semiHidden/>
    <w:unhideWhenUsed/>
    <w:uiPriority w:val="1"/>
  </w:style>
  <w:style w:type="table" w:default="1" w:styleId="3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qFormat/>
    <w:uiPriority w:val="99"/>
  </w:style>
  <w:style w:type="character" w:customStyle="1" w:styleId="145">
    <w:name w:val="Body Text 2 Char"/>
    <w:basedOn w:val="32"/>
    <w:link w:val="28"/>
    <w:qFormat/>
    <w:uiPriority w:val="99"/>
  </w:style>
  <w:style w:type="character" w:customStyle="1" w:styleId="146">
    <w:name w:val="Body Text 3 Char"/>
    <w:basedOn w:val="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2026-07-27T03:53:56Z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