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2156FF">
      <w:pPr>
        <w:jc w:val="center"/>
      </w:pPr>
      <w:r>
        <w:rPr>
          <w:rFonts w:ascii="仿宋_GB2312" w:hAnsi="仿宋_GB2312" w:eastAsia="仿宋_GB2312"/>
          <w:b/>
          <w:sz w:val="36"/>
        </w:rPr>
        <w:t>服务内容</w:t>
      </w:r>
    </w:p>
    <w:p w14:paraId="53C510AC">
      <w:pPr>
        <w:spacing w:before="0" w:after="0"/>
        <w:jc w:val="left"/>
      </w:pPr>
      <w:r>
        <w:rPr>
          <w:rFonts w:ascii="仿宋_GB2312" w:hAnsi="仿宋_GB2312" w:eastAsia="仿宋_GB2312"/>
          <w:b/>
          <w:sz w:val="28"/>
        </w:rPr>
        <w:t>1：</w:t>
      </w:r>
      <w:bookmarkStart w:id="0" w:name="_GoBack"/>
      <w:bookmarkEnd w:id="0"/>
      <w:r>
        <w:rPr>
          <w:rFonts w:ascii="仿宋_GB2312" w:hAnsi="仿宋_GB2312" w:eastAsia="仿宋_GB2312"/>
          <w:b/>
          <w:sz w:val="28"/>
        </w:rPr>
        <w:t>数据智能管理平台建设服务</w:t>
      </w:r>
    </w:p>
    <w:p w14:paraId="454B4012">
      <w:pPr>
        <w:spacing w:before="0" w:after="0"/>
        <w:ind w:firstLine="400"/>
        <w:jc w:val="both"/>
      </w:pPr>
      <w:r>
        <w:rPr>
          <w:rFonts w:ascii="仿宋_GB2312" w:hAnsi="仿宋_GB2312" w:eastAsia="仿宋_GB2312"/>
          <w:b w:val="0"/>
          <w:sz w:val="20"/>
        </w:rPr>
        <w:t>对医院运营管理部数据智能管理平台进行建设开发，具体要求如下：</w:t>
      </w:r>
    </w:p>
    <w:p w14:paraId="7A478CE9">
      <w:pPr>
        <w:spacing w:before="0" w:after="0"/>
        <w:ind w:firstLine="400"/>
        <w:jc w:val="both"/>
      </w:pPr>
      <w:r>
        <w:rPr>
          <w:rFonts w:ascii="仿宋_GB2312" w:hAnsi="仿宋_GB2312" w:eastAsia="仿宋_GB2312"/>
          <w:b w:val="0"/>
          <w:sz w:val="20"/>
        </w:rPr>
        <w:t>（一）功能需求</w:t>
      </w:r>
    </w:p>
    <w:p w14:paraId="397BA5C5">
      <w:pPr>
        <w:spacing w:before="0" w:after="0"/>
        <w:ind w:firstLine="400"/>
        <w:jc w:val="both"/>
      </w:pPr>
      <w:r>
        <w:rPr>
          <w:rFonts w:ascii="仿宋_GB2312" w:hAnsi="仿宋_GB2312" w:eastAsia="仿宋_GB2312"/>
          <w:b w:val="0"/>
          <w:sz w:val="20"/>
        </w:rPr>
        <w:t>1.首页管理</w:t>
      </w:r>
    </w:p>
    <w:p w14:paraId="200A0C28">
      <w:pPr>
        <w:spacing w:before="0" w:after="0"/>
        <w:ind w:firstLine="400"/>
        <w:jc w:val="both"/>
      </w:pPr>
      <w:r>
        <w:rPr>
          <w:rFonts w:ascii="仿宋_GB2312" w:hAnsi="仿宋_GB2312" w:eastAsia="仿宋_GB2312"/>
          <w:b w:val="0"/>
          <w:sz w:val="20"/>
        </w:rPr>
        <w:t>1.1首页管理：旨在围绕科室、医疗组、运营部门不同角色所关注的业务内容进行有效整合，通过千人千面管理，为每个角色提供个性化的工作台，使服务内容更聚焦。页面展示绩效总体情况、收支总体情况、预算总体情况。</w:t>
      </w:r>
    </w:p>
    <w:p w14:paraId="6A5A4563">
      <w:pPr>
        <w:spacing w:before="0" w:after="0"/>
        <w:ind w:firstLine="400"/>
        <w:jc w:val="both"/>
      </w:pPr>
      <w:r>
        <w:rPr>
          <w:rFonts w:ascii="仿宋_GB2312" w:hAnsi="仿宋_GB2312" w:eastAsia="仿宋_GB2312"/>
          <w:b w:val="0"/>
          <w:sz w:val="20"/>
        </w:rPr>
        <w:t>2.绩效总体情况</w:t>
      </w:r>
    </w:p>
    <w:p w14:paraId="21DB17CD">
      <w:pPr>
        <w:spacing w:before="0" w:after="0"/>
        <w:ind w:firstLine="400"/>
        <w:jc w:val="both"/>
      </w:pPr>
      <w:r>
        <w:rPr>
          <w:rFonts w:ascii="仿宋_GB2312" w:hAnsi="仿宋_GB2312" w:eastAsia="仿宋_GB2312"/>
          <w:b w:val="0"/>
          <w:sz w:val="20"/>
        </w:rPr>
        <w:t>2.1绩效合计</w:t>
      </w:r>
    </w:p>
    <w:p w14:paraId="6AF209A6">
      <w:pPr>
        <w:spacing w:before="0" w:after="0"/>
        <w:ind w:firstLine="400"/>
        <w:jc w:val="both"/>
      </w:pPr>
      <w:r>
        <w:rPr>
          <w:rFonts w:ascii="仿宋_GB2312" w:hAnsi="仿宋_GB2312" w:eastAsia="仿宋_GB2312"/>
          <w:b w:val="0"/>
          <w:sz w:val="20"/>
        </w:rPr>
        <w:t>2.1.1.按照科室、诊疗组维度划分绩效合计。</w:t>
      </w:r>
    </w:p>
    <w:p w14:paraId="102634F2">
      <w:pPr>
        <w:spacing w:before="0" w:after="0"/>
        <w:ind w:firstLine="400"/>
        <w:jc w:val="both"/>
      </w:pPr>
      <w:r>
        <w:rPr>
          <w:rFonts w:ascii="仿宋_GB2312" w:hAnsi="仿宋_GB2312" w:eastAsia="仿宋_GB2312"/>
          <w:b w:val="0"/>
          <w:sz w:val="20"/>
        </w:rPr>
        <w:t>2.1.2.提供运营管理人员将绩效明细数据导入（病房绩效、医疗质控、门诊、补贴、手术排名奖励、医疗组手术奖励、成本扣除、未归档病历、超期病历、专培绩效），并在线上进行发布。</w:t>
      </w:r>
    </w:p>
    <w:p w14:paraId="0701E412">
      <w:pPr>
        <w:spacing w:before="0" w:after="0"/>
        <w:ind w:firstLine="400"/>
        <w:jc w:val="both"/>
      </w:pPr>
      <w:r>
        <w:rPr>
          <w:rFonts w:ascii="仿宋_GB2312" w:hAnsi="仿宋_GB2312" w:eastAsia="仿宋_GB2312"/>
          <w:b w:val="0"/>
          <w:sz w:val="20"/>
        </w:rPr>
        <w:t>2.1.3.系统提供明细与汇总关联。</w:t>
      </w:r>
    </w:p>
    <w:p w14:paraId="7C3E47B6">
      <w:pPr>
        <w:spacing w:before="0" w:after="0"/>
        <w:ind w:firstLine="400"/>
        <w:jc w:val="both"/>
      </w:pPr>
      <w:r>
        <w:rPr>
          <w:rFonts w:ascii="仿宋_GB2312" w:hAnsi="仿宋_GB2312" w:eastAsia="仿宋_GB2312"/>
          <w:b w:val="0"/>
          <w:sz w:val="20"/>
        </w:rPr>
        <w:t>(1)成本扣减可以关联到各个成本支出项目支出金额以及对应的绩效扣减金额，物资领用产生的成本要关联到具体领用物资的明细。</w:t>
      </w:r>
    </w:p>
    <w:p w14:paraId="38A143AE">
      <w:pPr>
        <w:spacing w:before="0" w:after="0"/>
        <w:ind w:firstLine="400"/>
        <w:jc w:val="both"/>
      </w:pPr>
      <w:r>
        <w:rPr>
          <w:rFonts w:ascii="仿宋_GB2312" w:hAnsi="仿宋_GB2312" w:eastAsia="仿宋_GB2312"/>
          <w:b w:val="0"/>
          <w:sz w:val="20"/>
        </w:rPr>
        <w:t>(2)手术奖励要关联到各级别手术的手术例数以及产生的绩效金额，可查询手术明细，包括病人信息、手术时间、出院时间等。</w:t>
      </w:r>
    </w:p>
    <w:p w14:paraId="45157170">
      <w:pPr>
        <w:spacing w:before="0" w:after="0"/>
        <w:ind w:firstLine="400"/>
        <w:jc w:val="both"/>
      </w:pPr>
      <w:r>
        <w:rPr>
          <w:rFonts w:ascii="仿宋_GB2312" w:hAnsi="仿宋_GB2312" w:eastAsia="仿宋_GB2312"/>
          <w:b w:val="0"/>
          <w:sz w:val="20"/>
        </w:rPr>
        <w:t>(3)病历扣款要关联到病历扣款明细。</w:t>
      </w:r>
    </w:p>
    <w:p w14:paraId="2C7227DA">
      <w:pPr>
        <w:spacing w:before="0" w:after="0"/>
        <w:ind w:firstLine="400"/>
        <w:jc w:val="both"/>
      </w:pPr>
      <w:r>
        <w:rPr>
          <w:rFonts w:ascii="仿宋_GB2312" w:hAnsi="仿宋_GB2312" w:eastAsia="仿宋_GB2312"/>
          <w:b w:val="0"/>
          <w:sz w:val="20"/>
        </w:rPr>
        <w:t>(4)支持展示数据可追溯。</w:t>
      </w:r>
    </w:p>
    <w:p w14:paraId="41344841">
      <w:pPr>
        <w:spacing w:before="0" w:after="0"/>
        <w:ind w:firstLine="400"/>
        <w:jc w:val="both"/>
      </w:pPr>
      <w:r>
        <w:rPr>
          <w:rFonts w:ascii="仿宋_GB2312" w:hAnsi="仿宋_GB2312" w:eastAsia="仿宋_GB2312"/>
          <w:b w:val="0"/>
          <w:sz w:val="20"/>
        </w:rPr>
        <w:t>2.1.4.系统支持根据不同科室展示的表格内容不同。</w:t>
      </w:r>
    </w:p>
    <w:p w14:paraId="2AA06B8F">
      <w:pPr>
        <w:spacing w:before="0" w:after="0"/>
        <w:ind w:firstLine="400"/>
        <w:jc w:val="both"/>
      </w:pPr>
      <w:r>
        <w:rPr>
          <w:rFonts w:ascii="仿宋_GB2312" w:hAnsi="仿宋_GB2312" w:eastAsia="仿宋_GB2312"/>
          <w:b w:val="0"/>
          <w:sz w:val="20"/>
        </w:rPr>
        <w:t>2.1.5.系统支持科室绩效二级分配的上传、收集和汇总，并与工资系统、考勤系统关联，实现员工工资号的自动关联，生成人员成本分科数据。</w:t>
      </w:r>
    </w:p>
    <w:p w14:paraId="601460D3">
      <w:pPr>
        <w:spacing w:before="0" w:after="0"/>
        <w:ind w:firstLine="400"/>
        <w:jc w:val="both"/>
      </w:pPr>
      <w:r>
        <w:rPr>
          <w:rFonts w:ascii="仿宋_GB2312" w:hAnsi="仿宋_GB2312" w:eastAsia="仿宋_GB2312"/>
          <w:b w:val="0"/>
          <w:sz w:val="20"/>
        </w:rPr>
        <w:t>2.2绩效剖析模块</w:t>
      </w:r>
    </w:p>
    <w:p w14:paraId="4037C35E">
      <w:pPr>
        <w:spacing w:before="0" w:after="0"/>
        <w:ind w:firstLine="400"/>
        <w:jc w:val="both"/>
      </w:pPr>
      <w:r>
        <w:rPr>
          <w:rFonts w:ascii="仿宋_GB2312" w:hAnsi="仿宋_GB2312" w:eastAsia="仿宋_GB2312"/>
          <w:b w:val="0"/>
          <w:sz w:val="20"/>
        </w:rPr>
        <w:t>2.2.1.手术业务模块：</w:t>
      </w:r>
    </w:p>
    <w:p w14:paraId="670DF56A">
      <w:pPr>
        <w:spacing w:before="0" w:after="0"/>
        <w:ind w:firstLine="400"/>
        <w:jc w:val="both"/>
      </w:pPr>
      <w:r>
        <w:rPr>
          <w:rFonts w:ascii="仿宋_GB2312" w:hAnsi="仿宋_GB2312" w:eastAsia="仿宋_GB2312"/>
          <w:b w:val="0"/>
          <w:sz w:val="20"/>
        </w:rPr>
        <w:t>(1)支持提供并展示手术奖励整体情况，按照月度，季度、年度汇总。</w:t>
      </w:r>
    </w:p>
    <w:p w14:paraId="0089A9AF">
      <w:pPr>
        <w:spacing w:before="0" w:after="0"/>
        <w:ind w:firstLine="400"/>
        <w:jc w:val="both"/>
      </w:pPr>
      <w:r>
        <w:rPr>
          <w:rFonts w:ascii="仿宋_GB2312" w:hAnsi="仿宋_GB2312" w:eastAsia="仿宋_GB2312"/>
          <w:b w:val="0"/>
          <w:sz w:val="20"/>
        </w:rPr>
        <w:t>(2)支持通过手术业务、医疗组、主刀医生层面划分数据。</w:t>
      </w:r>
    </w:p>
    <w:p w14:paraId="3658FE73">
      <w:pPr>
        <w:spacing w:before="0" w:after="0"/>
        <w:ind w:firstLine="400"/>
        <w:jc w:val="both"/>
      </w:pPr>
      <w:r>
        <w:rPr>
          <w:rFonts w:ascii="仿宋_GB2312" w:hAnsi="仿宋_GB2312" w:eastAsia="仿宋_GB2312"/>
          <w:b w:val="0"/>
          <w:sz w:val="20"/>
        </w:rPr>
        <w:t>(3)支持提供手术明细情况汇总。</w:t>
      </w:r>
    </w:p>
    <w:p w14:paraId="430FEA84">
      <w:pPr>
        <w:spacing w:before="0" w:after="0"/>
        <w:ind w:firstLine="400"/>
        <w:jc w:val="both"/>
      </w:pPr>
      <w:r>
        <w:rPr>
          <w:rFonts w:ascii="仿宋_GB2312" w:hAnsi="仿宋_GB2312" w:eastAsia="仿宋_GB2312"/>
          <w:b w:val="0"/>
          <w:sz w:val="20"/>
        </w:rPr>
        <w:t>(4)支持通过图表形式展示手术数据。</w:t>
      </w:r>
    </w:p>
    <w:p w14:paraId="0BE04937">
      <w:pPr>
        <w:spacing w:before="0" w:after="0"/>
        <w:ind w:firstLine="400"/>
        <w:jc w:val="both"/>
      </w:pPr>
      <w:r>
        <w:rPr>
          <w:rFonts w:ascii="仿宋_GB2312" w:hAnsi="仿宋_GB2312" w:eastAsia="仿宋_GB2312"/>
          <w:b w:val="0"/>
          <w:sz w:val="20"/>
        </w:rPr>
        <w:t>2.2.2.成本消耗模块：</w:t>
      </w:r>
    </w:p>
    <w:p w14:paraId="00A695DB">
      <w:pPr>
        <w:spacing w:before="0" w:after="0"/>
        <w:ind w:firstLine="400"/>
        <w:jc w:val="both"/>
      </w:pPr>
      <w:r>
        <w:rPr>
          <w:rFonts w:ascii="仿宋_GB2312" w:hAnsi="仿宋_GB2312" w:eastAsia="仿宋_GB2312"/>
          <w:b w:val="0"/>
          <w:sz w:val="20"/>
        </w:rPr>
        <w:t>(1)支持提供并展示成本扣除基本信息（可控成本整体情况、间接成本构成情况）。</w:t>
      </w:r>
    </w:p>
    <w:p w14:paraId="0CE2C633">
      <w:pPr>
        <w:spacing w:before="0" w:after="0"/>
        <w:ind w:firstLine="400"/>
        <w:jc w:val="both"/>
      </w:pPr>
      <w:r>
        <w:rPr>
          <w:rFonts w:ascii="仿宋_GB2312" w:hAnsi="仿宋_GB2312" w:eastAsia="仿宋_GB2312"/>
          <w:b w:val="0"/>
          <w:sz w:val="20"/>
        </w:rPr>
        <w:t>(2)系统支持对高值耗材领用、其他物资领用、药品成本领用、设备成本、日常业务成本明细汇总。</w:t>
      </w:r>
    </w:p>
    <w:p w14:paraId="6EB0164D">
      <w:pPr>
        <w:spacing w:before="0" w:after="0"/>
        <w:ind w:firstLine="400"/>
        <w:jc w:val="both"/>
      </w:pPr>
      <w:r>
        <w:rPr>
          <w:rFonts w:ascii="仿宋_GB2312" w:hAnsi="仿宋_GB2312" w:eastAsia="仿宋_GB2312"/>
          <w:b w:val="0"/>
          <w:sz w:val="20"/>
        </w:rPr>
        <w:t>2.2.3.扣款模块：</w:t>
      </w:r>
    </w:p>
    <w:p w14:paraId="68110E40">
      <w:pPr>
        <w:spacing w:before="0" w:after="0"/>
        <w:ind w:firstLine="400"/>
        <w:jc w:val="both"/>
      </w:pPr>
      <w:r>
        <w:rPr>
          <w:rFonts w:ascii="仿宋_GB2312" w:hAnsi="仿宋_GB2312" w:eastAsia="仿宋_GB2312"/>
          <w:b w:val="0"/>
          <w:sz w:val="20"/>
        </w:rPr>
        <w:t>(1)支持提供并展示扣款具体明细内容及扣款说明。</w:t>
      </w:r>
    </w:p>
    <w:p w14:paraId="51DD404D">
      <w:pPr>
        <w:spacing w:before="0" w:after="0"/>
        <w:ind w:firstLine="400"/>
        <w:jc w:val="both"/>
      </w:pPr>
      <w:r>
        <w:rPr>
          <w:rFonts w:ascii="仿宋_GB2312" w:hAnsi="仿宋_GB2312" w:eastAsia="仿宋_GB2312"/>
          <w:b w:val="0"/>
          <w:sz w:val="20"/>
        </w:rPr>
        <w:t>2.2.4.管理指标模块：</w:t>
      </w:r>
    </w:p>
    <w:p w14:paraId="4263AD2E">
      <w:pPr>
        <w:spacing w:before="0" w:after="0"/>
        <w:ind w:firstLine="400"/>
        <w:jc w:val="both"/>
      </w:pPr>
      <w:r>
        <w:rPr>
          <w:rFonts w:ascii="仿宋_GB2312" w:hAnsi="仿宋_GB2312" w:eastAsia="仿宋_GB2312"/>
          <w:b w:val="0"/>
          <w:sz w:val="20"/>
        </w:rPr>
        <w:t>(1)根据运营管理部提供的管理指标划分明细内容及数据查询。</w:t>
      </w:r>
    </w:p>
    <w:p w14:paraId="391EA184">
      <w:pPr>
        <w:spacing w:before="0" w:after="0"/>
        <w:ind w:firstLine="400"/>
        <w:jc w:val="both"/>
      </w:pPr>
      <w:r>
        <w:rPr>
          <w:rFonts w:ascii="仿宋_GB2312" w:hAnsi="仿宋_GB2312" w:eastAsia="仿宋_GB2312"/>
          <w:b w:val="0"/>
          <w:sz w:val="20"/>
        </w:rPr>
        <w:t>3.收支总体情况</w:t>
      </w:r>
    </w:p>
    <w:p w14:paraId="1D665C82">
      <w:pPr>
        <w:spacing w:before="0" w:after="0"/>
        <w:ind w:firstLine="400"/>
        <w:jc w:val="both"/>
      </w:pPr>
      <w:r>
        <w:rPr>
          <w:rFonts w:ascii="仿宋_GB2312" w:hAnsi="仿宋_GB2312" w:eastAsia="仿宋_GB2312"/>
          <w:b w:val="0"/>
          <w:sz w:val="20"/>
        </w:rPr>
        <w:t>3.1收入合计</w:t>
      </w:r>
    </w:p>
    <w:p w14:paraId="4E5E5442">
      <w:pPr>
        <w:spacing w:before="0" w:after="0"/>
        <w:ind w:firstLine="400"/>
        <w:jc w:val="both"/>
      </w:pPr>
      <w:r>
        <w:rPr>
          <w:rFonts w:ascii="仿宋_GB2312" w:hAnsi="仿宋_GB2312" w:eastAsia="仿宋_GB2312"/>
          <w:b w:val="0"/>
          <w:sz w:val="20"/>
        </w:rPr>
        <w:t>3.1.1.按照临床医学中心、科室、诊疗组维度划分收入合计。</w:t>
      </w:r>
    </w:p>
    <w:p w14:paraId="29A32C72">
      <w:pPr>
        <w:spacing w:before="0" w:after="0"/>
        <w:ind w:firstLine="400"/>
        <w:jc w:val="both"/>
      </w:pPr>
      <w:r>
        <w:rPr>
          <w:rFonts w:ascii="仿宋_GB2312" w:hAnsi="仿宋_GB2312" w:eastAsia="仿宋_GB2312"/>
          <w:b w:val="0"/>
          <w:sz w:val="20"/>
        </w:rPr>
        <w:t>3.1.2.关联收费项目明细，并提供对照关联，实现系统从收入总金额下钻到具体收费项目的查询，同时也可以进行收费项目层面的分析，包括科室主要收费项目的分析以及调价前后收入变动影响的分析等。</w:t>
      </w:r>
    </w:p>
    <w:p w14:paraId="60A6613B">
      <w:pPr>
        <w:spacing w:before="0" w:after="0"/>
        <w:ind w:firstLine="400"/>
        <w:jc w:val="both"/>
      </w:pPr>
      <w:r>
        <w:rPr>
          <w:rFonts w:ascii="仿宋_GB2312" w:hAnsi="仿宋_GB2312" w:eastAsia="仿宋_GB2312"/>
          <w:b w:val="0"/>
          <w:sz w:val="20"/>
        </w:rPr>
        <w:t>3.1.3.支持提供划分本科室开单本科室执行、本科室开单他科执行、他科开单本科室执行情况汇总。</w:t>
      </w:r>
    </w:p>
    <w:p w14:paraId="2307FEBB">
      <w:pPr>
        <w:spacing w:before="0" w:after="0"/>
        <w:ind w:firstLine="400"/>
        <w:jc w:val="both"/>
      </w:pPr>
      <w:r>
        <w:rPr>
          <w:rFonts w:ascii="仿宋_GB2312" w:hAnsi="仿宋_GB2312" w:eastAsia="仿宋_GB2312"/>
          <w:b w:val="0"/>
          <w:sz w:val="20"/>
        </w:rPr>
        <w:t>3.2成本合计</w:t>
      </w:r>
    </w:p>
    <w:p w14:paraId="3F683E2F">
      <w:pPr>
        <w:spacing w:before="0" w:after="0"/>
        <w:ind w:firstLine="400"/>
        <w:jc w:val="both"/>
      </w:pPr>
      <w:r>
        <w:rPr>
          <w:rFonts w:ascii="仿宋_GB2312" w:hAnsi="仿宋_GB2312" w:eastAsia="仿宋_GB2312"/>
          <w:b w:val="0"/>
          <w:sz w:val="20"/>
        </w:rPr>
        <w:t>3.2.1.按照临床医学中心、科室、诊疗组维度划分成本合计。</w:t>
      </w:r>
    </w:p>
    <w:p w14:paraId="33C70950">
      <w:pPr>
        <w:spacing w:before="0" w:after="0"/>
        <w:ind w:firstLine="400"/>
        <w:jc w:val="both"/>
      </w:pPr>
      <w:r>
        <w:rPr>
          <w:rFonts w:ascii="仿宋_GB2312" w:hAnsi="仿宋_GB2312" w:eastAsia="仿宋_GB2312"/>
          <w:b w:val="0"/>
          <w:sz w:val="20"/>
        </w:rPr>
        <w:t>3.2.2.提供运营管理人员将成本组成明细数据导入，并合计组成，成本合计由本科室直接成本、医技分摊成本组成。其中本科室直接成本包括人员经费、医生成本、护士成本、卫生材料费、药品费、设备成本、其他成本。医技分摊成本包括人员经费、卫生材料费、药品费、设备成本、其他成本，并实现从成本总额到具体的支出项目明细的下钻查询。</w:t>
      </w:r>
    </w:p>
    <w:p w14:paraId="7A4C3314">
      <w:pPr>
        <w:spacing w:before="0" w:after="0"/>
        <w:ind w:firstLine="400"/>
        <w:jc w:val="both"/>
      </w:pPr>
      <w:r>
        <w:rPr>
          <w:rFonts w:ascii="仿宋_GB2312" w:hAnsi="仿宋_GB2312" w:eastAsia="仿宋_GB2312"/>
          <w:b w:val="0"/>
          <w:sz w:val="20"/>
        </w:rPr>
        <w:t>3.2.3.建立固定资产、耗材等字典。依据医院管理要求，建设字典库，提供对照关联。系统支持查询、统计、溯源。</w:t>
      </w:r>
    </w:p>
    <w:p w14:paraId="4088078B">
      <w:pPr>
        <w:spacing w:before="0" w:after="0"/>
        <w:ind w:firstLine="400"/>
        <w:jc w:val="both"/>
      </w:pPr>
      <w:r>
        <w:rPr>
          <w:rFonts w:ascii="仿宋_GB2312" w:hAnsi="仿宋_GB2312" w:eastAsia="仿宋_GB2312"/>
          <w:b w:val="0"/>
          <w:sz w:val="20"/>
        </w:rPr>
        <w:t>4.预算总体情况</w:t>
      </w:r>
    </w:p>
    <w:p w14:paraId="3FEFA0AD">
      <w:pPr>
        <w:spacing w:before="0" w:after="0"/>
        <w:ind w:firstLine="400"/>
        <w:jc w:val="both"/>
      </w:pPr>
      <w:r>
        <w:rPr>
          <w:rFonts w:ascii="仿宋_GB2312" w:hAnsi="仿宋_GB2312" w:eastAsia="仿宋_GB2312"/>
          <w:b w:val="0"/>
          <w:sz w:val="20"/>
        </w:rPr>
        <w:t>4.1预算模块</w:t>
      </w:r>
    </w:p>
    <w:p w14:paraId="75E37744">
      <w:pPr>
        <w:spacing w:before="0" w:after="0"/>
        <w:ind w:firstLine="400"/>
        <w:jc w:val="both"/>
      </w:pPr>
      <w:r>
        <w:rPr>
          <w:rFonts w:ascii="仿宋_GB2312" w:hAnsi="仿宋_GB2312" w:eastAsia="仿宋_GB2312"/>
          <w:b w:val="0"/>
          <w:sz w:val="20"/>
        </w:rPr>
        <w:t>4.1.1.按照科室维度划分预算情况。</w:t>
      </w:r>
    </w:p>
    <w:p w14:paraId="26AA8D61">
      <w:pPr>
        <w:spacing w:before="0" w:after="0"/>
        <w:ind w:firstLine="400"/>
        <w:jc w:val="both"/>
      </w:pPr>
      <w:r>
        <w:rPr>
          <w:rFonts w:ascii="仿宋_GB2312" w:hAnsi="仿宋_GB2312" w:eastAsia="仿宋_GB2312"/>
          <w:b w:val="0"/>
          <w:sz w:val="20"/>
        </w:rPr>
        <w:t>4.1.2.预算指标：（1）由运营管理部设定各临床科室年度、季度、月度预算指标，包含成本预算、收入预算、运行效率指标预算等设定。（2）通过每月的运行情况并结合历史数据预测全年的收支和结余情况。</w:t>
      </w:r>
    </w:p>
    <w:p w14:paraId="1642B990">
      <w:pPr>
        <w:spacing w:before="0" w:after="0"/>
        <w:ind w:firstLine="400"/>
        <w:jc w:val="both"/>
      </w:pPr>
      <w:r>
        <w:rPr>
          <w:rFonts w:ascii="仿宋_GB2312" w:hAnsi="仿宋_GB2312" w:eastAsia="仿宋_GB2312"/>
          <w:b w:val="0"/>
          <w:sz w:val="20"/>
        </w:rPr>
        <w:t>4.1.3.执行监督：系统提供预警辅助提醒，当月度、季度存在超出设定预算时，提示临床科室。</w:t>
      </w:r>
    </w:p>
    <w:p w14:paraId="34912AC7">
      <w:pPr>
        <w:spacing w:before="0" w:after="0"/>
        <w:ind w:firstLine="400"/>
        <w:jc w:val="both"/>
      </w:pPr>
      <w:r>
        <w:rPr>
          <w:rFonts w:ascii="仿宋_GB2312" w:hAnsi="仿宋_GB2312" w:eastAsia="仿宋_GB2312"/>
          <w:b w:val="0"/>
          <w:sz w:val="20"/>
        </w:rPr>
        <w:t>4.1.4.针对预算执行率进行转化，提供运营管理部门查看科室月度、季度、年度预算指标情况。</w:t>
      </w:r>
    </w:p>
    <w:p w14:paraId="16D57FEC">
      <w:pPr>
        <w:spacing w:before="0" w:after="0"/>
        <w:ind w:firstLine="400"/>
        <w:jc w:val="both"/>
      </w:pPr>
      <w:r>
        <w:rPr>
          <w:rFonts w:ascii="仿宋_GB2312" w:hAnsi="仿宋_GB2312" w:eastAsia="仿宋_GB2312"/>
          <w:b w:val="0"/>
          <w:sz w:val="20"/>
        </w:rPr>
        <w:t>5.系统管理</w:t>
      </w:r>
    </w:p>
    <w:p w14:paraId="736A3E22">
      <w:pPr>
        <w:spacing w:before="0" w:after="0"/>
        <w:ind w:firstLine="400"/>
        <w:jc w:val="both"/>
      </w:pPr>
      <w:r>
        <w:rPr>
          <w:rFonts w:ascii="仿宋_GB2312" w:hAnsi="仿宋_GB2312" w:eastAsia="仿宋_GB2312"/>
          <w:b w:val="0"/>
          <w:sz w:val="20"/>
        </w:rPr>
        <w:t>5.1运营分析</w:t>
      </w:r>
    </w:p>
    <w:p w14:paraId="4A25AA6F">
      <w:pPr>
        <w:spacing w:before="0" w:after="0"/>
        <w:ind w:firstLine="400"/>
        <w:jc w:val="both"/>
      </w:pPr>
      <w:r>
        <w:rPr>
          <w:rFonts w:ascii="仿宋_GB2312" w:hAnsi="仿宋_GB2312" w:eastAsia="仿宋_GB2312"/>
          <w:b w:val="0"/>
          <w:sz w:val="20"/>
        </w:rPr>
        <w:t>5.1.1支持简易版的运营数据可视化模块，提出最基础的运营数据信息，可视化模块的界面支持人性化的设置，每个系统用户在没有专业编程技术的前提下也可以根据自身需求自行定制与组合可视化模块，并开展分析。</w:t>
      </w:r>
    </w:p>
    <w:p w14:paraId="516F4F4C">
      <w:pPr>
        <w:spacing w:before="0" w:after="0"/>
        <w:ind w:firstLine="400"/>
        <w:jc w:val="both"/>
      </w:pPr>
      <w:r>
        <w:rPr>
          <w:rFonts w:ascii="仿宋_GB2312" w:hAnsi="仿宋_GB2312" w:eastAsia="仿宋_GB2312"/>
          <w:b w:val="0"/>
          <w:sz w:val="20"/>
        </w:rPr>
        <w:t>5.1.2支持从科室、医疗组、医学中心、院区等维度进行运营分析，分析方式包括两两对比、多科室排名等。数据统计时段可以实现不对称区间对比，比如8月指标与3-7月指标对比，以及不连贯区间对比，比如只选取工作日期间数据进行对比等。</w:t>
      </w:r>
    </w:p>
    <w:p w14:paraId="6FA96153">
      <w:pPr>
        <w:spacing w:before="0" w:after="0"/>
        <w:ind w:firstLine="400"/>
        <w:jc w:val="both"/>
      </w:pPr>
      <w:r>
        <w:rPr>
          <w:rFonts w:ascii="仿宋_GB2312" w:hAnsi="仿宋_GB2312" w:eastAsia="仿宋_GB2312"/>
          <w:b w:val="0"/>
          <w:sz w:val="20"/>
        </w:rPr>
        <w:t>5.1.3部署人工智能体，定制化回答用户实用场景提问。</w:t>
      </w:r>
    </w:p>
    <w:p w14:paraId="05975B78">
      <w:pPr>
        <w:spacing w:before="0" w:after="0"/>
        <w:ind w:firstLine="400"/>
        <w:jc w:val="both"/>
      </w:pPr>
      <w:r>
        <w:rPr>
          <w:rFonts w:ascii="仿宋_GB2312" w:hAnsi="仿宋_GB2312" w:eastAsia="仿宋_GB2312"/>
          <w:b w:val="0"/>
          <w:sz w:val="20"/>
        </w:rPr>
        <w:t>5.1.4智能体设置反馈台账，收集平台用户的使用意见。</w:t>
      </w:r>
    </w:p>
    <w:sectPr>
      <w:pgSz w:w="11906" w:h="16838"/>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ＭＳ 明朝">
    <w:altName w:val="宋体"/>
    <w:panose1 w:val="00000000000000000000"/>
    <w:charset w:val="86"/>
    <w:family w:val="auto"/>
    <w:pitch w:val="default"/>
    <w:sig w:usb0="00000000" w:usb1="00000000" w:usb2="00000000" w:usb3="00000000" w:csb0="00000000" w:csb1="00000000"/>
  </w:font>
  <w:font w:name="MS Gothic">
    <w:panose1 w:val="020B0609070205080204"/>
    <w:charset w:val="80"/>
    <w:family w:val="modern"/>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仿宋_GB2312">
    <w:altName w:val="仿宋"/>
    <w:panose1 w:val="00000000000000000000"/>
    <w:charset w:val="00"/>
    <w:family w:val="auto"/>
    <w:pitch w:val="default"/>
    <w:sig w:usb0="00000000" w:usb1="00000000" w:usb2="00000000" w:usb3="00000000" w:csb0="00000000"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62103C8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uiPriority="99" w:semiHidden="0" w:name="List"/>
    <w:lsdException w:uiPriority="99" w:semiHidden="0" w:name="List Bullet"/>
    <w:lsdException w:qFormat="1" w:uiPriority="99" w:semiHidden="0" w:name="List Number"/>
    <w:lsdException w:qFormat="1" w:uiPriority="99" w:semiHidden="0" w:name="List 2"/>
    <w:lsdException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unhideWhenUsed="0" w:uiPriority="68" w:semiHidden="0" w:name="Medium Grid 2"/>
    <w:lsdException w:unhideWhenUsed="0" w:uiPriority="69" w:semiHidden="0" w:name="Medium Grid 3"/>
    <w:lsdException w:qFormat="1" w:unhideWhenUsed="0" w:uiPriority="70" w:semiHidden="0" w:name="Dark List"/>
    <w:lsdException w:unhideWhenUsed="0" w:uiPriority="71" w:semiHidden="0" w:name="Colorful Shading"/>
    <w:lsdException w:qFormat="1" w:unhideWhenUsed="0" w:uiPriority="72" w:semiHidden="0" w:name="Colorful List"/>
    <w:lsdException w:qFormat="1"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unhideWhenUsed="0" w:uiPriority="72" w:semiHidden="0" w:name="Colorful List Accent 1"/>
    <w:lsdException w:qFormat="1"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unhideWhenUsed="0" w:uiPriority="60" w:semiHidden="0" w:name="Light Shading Accent 4"/>
    <w:lsdException w:qFormat="1" w:unhideWhenUsed="0" w:uiPriority="61" w:semiHidden="0" w:name="Light List Accent 4"/>
    <w:lsdException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unhideWhenUsed="0" w:uiPriority="60" w:semiHidden="0" w:name="Light Shading Accent 5"/>
    <w:lsdException w:unhideWhenUsed="0" w:uiPriority="61" w:semiHidden="0" w:name="Light List Accent 5"/>
    <w:lsdException w:qFormat="1" w:unhideWhenUsed="0" w:uiPriority="62" w:semiHidden="0" w:name="Light Grid Accent 5"/>
    <w:lsdException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unhideWhenUsed="0" w:uiPriority="67" w:semiHidden="0" w:name="Medium Grid 1 Accent 5"/>
    <w:lsdException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qFormat="1" w:unhideWhenUsed="0" w:uiPriority="70" w:semiHidden="0" w:name="Dark List Accent 6"/>
    <w:lsdException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uiPriority w:val="99"/>
    <w:pPr>
      <w:numPr>
        <w:ilvl w:val="0"/>
        <w:numId w:val="3"/>
      </w:numPr>
      <w:contextualSpacing/>
    </w:pPr>
  </w:style>
  <w:style w:type="paragraph" w:styleId="17">
    <w:name w:val="Body Text 3"/>
    <w:basedOn w:val="1"/>
    <w:link w:val="146"/>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4"/>
    <w:unhideWhenUsed/>
    <w:qFormat/>
    <w:uiPriority w:val="99"/>
    <w:pPr>
      <w:spacing w:after="120"/>
    </w:pPr>
  </w:style>
  <w:style w:type="paragraph" w:styleId="20">
    <w:name w:val="List Number 3"/>
    <w:basedOn w:val="1"/>
    <w:unhideWhenUsed/>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6"/>
    <w:unhideWhenUsed/>
    <w:uiPriority w:val="99"/>
    <w:pPr>
      <w:tabs>
        <w:tab w:val="center" w:pos="4680"/>
        <w:tab w:val="right" w:pos="9360"/>
      </w:tabs>
      <w:spacing w:after="0" w:line="240" w:lineRule="auto"/>
    </w:pPr>
  </w:style>
  <w:style w:type="paragraph" w:styleId="25">
    <w:name w:val="header"/>
    <w:basedOn w:val="1"/>
    <w:link w:val="135"/>
    <w:unhideWhenUsed/>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uiPriority w:val="99"/>
    <w:pPr>
      <w:ind w:left="360" w:hanging="360"/>
      <w:contextualSpacing/>
    </w:pPr>
  </w:style>
  <w:style w:type="paragraph" w:styleId="28">
    <w:name w:val="Body Text 2"/>
    <w:basedOn w:val="1"/>
    <w:link w:val="145"/>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List Continue 3"/>
    <w:basedOn w:val="1"/>
    <w:unhideWhenUsed/>
    <w:qFormat/>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uiPriority w:val="99"/>
  </w:style>
  <w:style w:type="character" w:customStyle="1" w:styleId="136">
    <w:name w:val="Footer Char"/>
    <w:basedOn w:val="132"/>
    <w:link w:val="24"/>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qFormat/>
    <w:uiPriority w:val="99"/>
  </w:style>
  <w:style w:type="character" w:customStyle="1" w:styleId="145">
    <w:name w:val="Body Text 2 Char"/>
    <w:basedOn w:val="132"/>
    <w:link w:val="28"/>
    <w:qFormat/>
    <w:uiPriority w:val="99"/>
  </w:style>
  <w:style w:type="character" w:customStyle="1" w:styleId="146">
    <w:name w:val="Body Text 3 Char"/>
    <w:basedOn w:val="132"/>
    <w:link w:val="17"/>
    <w:qFormat/>
    <w:uiPriority w:val="99"/>
    <w:rPr>
      <w:sz w:val="16"/>
      <w:szCs w:val="16"/>
    </w:rPr>
  </w:style>
  <w:style w:type="character" w:customStyle="1" w:styleId="147">
    <w:name w:val="Macro Text Char"/>
    <w:basedOn w:val="132"/>
    <w:link w:val="2"/>
    <w:qFormat/>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qFormat/>
    <w:uiPriority w:val="29"/>
    <w:rPr>
      <w:i/>
      <w:iCs/>
      <w:color w:val="000000" w:themeColor="text1"/>
      <w14:textFill>
        <w14:solidFill>
          <w14:schemeClr w14:val="tx1"/>
        </w14:solidFill>
      </w14:textFill>
    </w:rPr>
  </w:style>
  <w:style w:type="character" w:customStyle="1" w:styleId="150">
    <w:name w:val="Heading 4 Char"/>
    <w:basedOn w:val="132"/>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qFormat/>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qFormat/>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qFormat/>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1609</Words>
  <Characters>1765</Characters>
  <Lines>0</Lines>
  <Paragraphs>0</Paragraphs>
  <TotalTime>0</TotalTime>
  <ScaleCrop>false</ScaleCrop>
  <LinksUpToDate>false</LinksUpToDate>
  <CharactersWithSpaces>1765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周暖青</cp:lastModifiedBy>
  <dcterms:modified xsi:type="dcterms:W3CDTF">2026-08-07T00:03:34Z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eyJoZGlkIjoiZDkyZDQ0YWRiYWM5YzVjNThkZjQ3ZWRjMzU5NmUyZGIiLCJ1c2VySWQiOiIxNzg1ODI5NjQyIn0=</vt:lpwstr>
  </property>
  <property fmtid="{D5CDD505-2E9C-101B-9397-08002B2CF9AE}" pid="3" name="KSOProductBuildVer">
    <vt:lpwstr>2052-12.1.0.28043</vt:lpwstr>
  </property>
  <property fmtid="{D5CDD505-2E9C-101B-9397-08002B2CF9AE}" pid="4" name="ICV">
    <vt:lpwstr>0D382FD3584B49F5826ED965BDA69364_12</vt:lpwstr>
  </property>
</Properties>
</file>