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9300A">
      <w:pPr>
        <w:spacing w:line="360" w:lineRule="auto"/>
        <w:jc w:val="center"/>
        <w:rPr>
          <w:rFonts w:hint="eastAsia" w:ascii="宋体" w:hAnsi="宋体" w:eastAsia="宋体"/>
          <w:b/>
          <w:bCs/>
          <w:color w:val="000000"/>
          <w:sz w:val="32"/>
          <w:szCs w:val="32"/>
        </w:rPr>
      </w:pPr>
    </w:p>
    <w:p w14:paraId="0BED0F54">
      <w:pPr>
        <w:jc w:val="center"/>
        <w:rPr>
          <w:rFonts w:hint="eastAsia" w:eastAsia="宋体"/>
          <w:sz w:val="28"/>
          <w:szCs w:val="28"/>
          <w:lang w:val="en-US" w:eastAsia="zh-CN"/>
        </w:rPr>
      </w:pPr>
      <w:r>
        <w:rPr>
          <w:rFonts w:hint="eastAsia" w:eastAsia="宋体"/>
          <w:sz w:val="28"/>
          <w:szCs w:val="28"/>
          <w:lang w:val="en-US" w:eastAsia="zh-CN"/>
        </w:rPr>
        <w:t>120急救指挥调度系统维保服务及急救优先调度系统专家知识库服务项目市场调研公告服务要求</w:t>
      </w:r>
    </w:p>
    <w:p w14:paraId="2F2B343E">
      <w:pPr>
        <w:spacing w:line="360" w:lineRule="auto"/>
        <w:rPr>
          <w:rFonts w:ascii="宋体" w:hAnsi="宋体" w:eastAsia="宋体"/>
          <w:b/>
          <w:bCs/>
          <w:color w:val="000000"/>
          <w:sz w:val="24"/>
          <w:szCs w:val="24"/>
        </w:rPr>
      </w:pPr>
      <w:r>
        <w:rPr>
          <w:rFonts w:hint="eastAsia" w:ascii="宋体" w:hAnsi="宋体"/>
          <w:b/>
          <w:bCs/>
          <w:color w:val="000000"/>
          <w:sz w:val="24"/>
          <w:szCs w:val="24"/>
          <w:lang w:val="en-US" w:eastAsia="zh-CN"/>
        </w:rPr>
        <w:t>一</w:t>
      </w:r>
      <w:r>
        <w:rPr>
          <w:rFonts w:hint="eastAsia" w:ascii="宋体" w:hAnsi="宋体" w:eastAsia="宋体"/>
          <w:b/>
          <w:bCs/>
          <w:color w:val="000000"/>
          <w:sz w:val="24"/>
          <w:szCs w:val="24"/>
        </w:rPr>
        <w:t>、</w:t>
      </w:r>
      <w:r>
        <w:rPr>
          <w:rFonts w:hint="eastAsia" w:eastAsia="宋体"/>
          <w:sz w:val="28"/>
          <w:szCs w:val="28"/>
          <w:lang w:val="en-US" w:eastAsia="zh-CN"/>
        </w:rPr>
        <w:t>120急救指挥调度系统维保服务</w:t>
      </w:r>
    </w:p>
    <w:p w14:paraId="3886D130">
      <w:pPr>
        <w:pStyle w:val="6"/>
        <w:spacing w:line="360" w:lineRule="auto"/>
        <w:jc w:val="both"/>
        <w:outlineLvl w:val="2"/>
        <w:rPr>
          <w:rFonts w:hint="eastAsia" w:ascii="宋体" w:hAnsi="宋体" w:eastAsia="宋体"/>
          <w:color w:val="000000"/>
          <w:sz w:val="24"/>
          <w:szCs w:val="24"/>
          <w:lang w:val="en-US" w:eastAsia="zh-CN"/>
        </w:rPr>
      </w:pPr>
      <w:r>
        <w:rPr>
          <w:rFonts w:ascii="宋体" w:hAnsi="宋体" w:eastAsia="宋体" w:cs="宋体"/>
          <w:b/>
          <w:color w:val="000000"/>
          <w:sz w:val="24"/>
          <w:szCs w:val="24"/>
          <w:shd w:val="clear" w:color="auto" w:fill="FFFFFF"/>
        </w:rPr>
        <w:t>（一）</w:t>
      </w:r>
      <w:r>
        <w:rPr>
          <w:rFonts w:hint="eastAsia" w:ascii="宋体" w:hAnsi="宋体" w:eastAsia="宋体" w:cs="宋体"/>
          <w:b/>
          <w:color w:val="000000"/>
          <w:sz w:val="24"/>
          <w:szCs w:val="24"/>
          <w:shd w:val="clear" w:color="auto" w:fill="FFFFFF"/>
        </w:rPr>
        <w:t>120急救指挥调度系统维保服务</w:t>
      </w:r>
      <w:r>
        <w:rPr>
          <w:rFonts w:hint="eastAsia" w:ascii="宋体" w:hAnsi="宋体" w:cs="宋体"/>
          <w:b/>
          <w:color w:val="000000"/>
          <w:sz w:val="24"/>
          <w:szCs w:val="24"/>
          <w:shd w:val="clear" w:color="auto" w:fill="FFFFFF"/>
          <w:lang w:val="en-US" w:eastAsia="zh-CN"/>
        </w:rPr>
        <w:t>要求</w:t>
      </w:r>
    </w:p>
    <w:p w14:paraId="782CE972">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1.根据急救中心情况，安排1位服务工程师提供对口服务，解决调度系统故障（包括120数字程控交换机子系统、120CTI子系统、120数字录音子系统、告知子系统、急救分站子系统、微急救子系统、120数据统计子系统、管理信息子系统、急救车载终端子系统、硬件及相关网络附属），负责各类故障信息的收集、分配、调度、评估、记录、统计以及跟踪等工作。</w:t>
      </w:r>
    </w:p>
    <w:p w14:paraId="1BAE116C">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2.提供的运维服务等级7*24小时热线服务+加急服务。</w:t>
      </w:r>
    </w:p>
    <w:p w14:paraId="5E4E5794">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3.加急服务：如有重大、应急事件发生，需临时增派人员提供服务，要求10分钟响应，2小时到现场。</w:t>
      </w:r>
    </w:p>
    <w:p w14:paraId="7D1EAA61">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4.技术人员工作内容：</w:t>
      </w:r>
    </w:p>
    <w:p w14:paraId="7B295537">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4.1 日常维护内容：</w:t>
      </w:r>
    </w:p>
    <w:p w14:paraId="7B87034B">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a)调度坐席软件的安装、调试、管理、更新、升级、故障检测及排除。</w:t>
      </w:r>
    </w:p>
    <w:p w14:paraId="08839AF4">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b)告知模块相关软件的安装、调试、管理、更新、升级、故障检测及排除。</w:t>
      </w:r>
    </w:p>
    <w:p w14:paraId="3DA05DAD">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c)服务器端核心调度服务端的安装、安装、调试、管理、更新、升级、故障检测及排除。</w:t>
      </w:r>
    </w:p>
    <w:p w14:paraId="02E4FA54">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d)科室管理系统终端的调试、管理、更新、升级、故障检测及排除。 </w:t>
      </w:r>
    </w:p>
    <w:p w14:paraId="422CB54D">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e)急救车载信息终端的安装、调试、管理、更新、升级、故障检测及排除。</w:t>
      </w:r>
    </w:p>
    <w:p w14:paraId="0190FDAE">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f)用户硬件设备的维护、升级及逐步更新。 </w:t>
      </w:r>
    </w:p>
    <w:p w14:paraId="6706CBCC">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g)调度系统相关计算机硬件及外设的维护、保养、更新、升级、故障检测及排除，如有硬件故障，则联系维修。</w:t>
      </w:r>
    </w:p>
    <w:p w14:paraId="24929190">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4.2 基础网络服务内容</w:t>
      </w:r>
    </w:p>
    <w:p w14:paraId="6F56A41B">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简单网络故障判断、非设备类故障修复、RJ45损坏、线路断路、局部新增信息点的连通。</w:t>
      </w:r>
    </w:p>
    <w:p w14:paraId="3964BD0B">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4.3 安全及巡检服务内容：</w:t>
      </w:r>
    </w:p>
    <w:p w14:paraId="0896F0F3">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补丁升级：包括操作系统补丁、应用软件补丁的升级、网络设备的软件系统升级。</w:t>
      </w:r>
    </w:p>
    <w:p w14:paraId="0FD00A31">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安全防范：对新出现的系统漏洞、黑客攻击手段进行追踪，及时做好防范。</w:t>
      </w:r>
    </w:p>
    <w:p w14:paraId="1F0EA390">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病毒防范：通过巡检确保用户的每个客户端防病毒软件的病毒库处于随时更新状态。</w:t>
      </w:r>
    </w:p>
    <w:p w14:paraId="2AEB1465">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网络安全：网络异常时，通过侦测并分析网络中传输的数据包，发现问题，弥补漏洞。</w:t>
      </w:r>
    </w:p>
    <w:p w14:paraId="00980B0A">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密码更新：定时更新服务器、系统及数据库密码，并设置为强密码。</w:t>
      </w:r>
    </w:p>
    <w:p w14:paraId="395AF2BB">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漏洞扫描：定期进行漏洞扫描工作，及时发现最新漏洞，及时更新最新补丁。</w:t>
      </w:r>
    </w:p>
    <w:p w14:paraId="6AB3F337">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4.4 培训服务</w:t>
      </w:r>
    </w:p>
    <w:p w14:paraId="5499FBA7">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提供调度系统的安装和使用辅导，解答中心各科室提出的管理系统软件相关技术问题。</w:t>
      </w:r>
    </w:p>
    <w:p w14:paraId="7159C5BB">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5.人员管理</w:t>
      </w:r>
    </w:p>
    <w:p w14:paraId="68791771">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a)技术人员须为提供售后服务单位正式员工，具有120急救指挥调度的工程实施和售后客服经验。</w:t>
      </w:r>
    </w:p>
    <w:p w14:paraId="3CB67860">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b)为本单位提供售后服务公司不得随意变更技术人员，确需变更须经我方同意，并以书面形式告知我方。</w:t>
      </w:r>
    </w:p>
    <w:p w14:paraId="2DAA99B0">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c)技术员在急救中心现场服务时，服从急救中心管理。节假日若急救中心有工作计划的，须服从急救中心安排。</w:t>
      </w:r>
    </w:p>
    <w:p w14:paraId="42652260">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技术人员必须遵守急救中心保密管理规定，并签订保密承诺书。</w:t>
      </w:r>
    </w:p>
    <w:p w14:paraId="5C87BF72">
      <w:pPr>
        <w:pStyle w:val="6"/>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6.维护</w:t>
      </w:r>
      <w:r>
        <w:rPr>
          <w:rFonts w:hint="eastAsia" w:ascii="宋体" w:hAnsi="宋体" w:eastAsia="宋体" w:cs="宋体"/>
          <w:color w:val="000000"/>
          <w:sz w:val="24"/>
          <w:szCs w:val="24"/>
        </w:rPr>
        <w:t>服务期：12个月。</w:t>
      </w:r>
    </w:p>
    <w:p w14:paraId="465D08D6">
      <w:pPr>
        <w:pStyle w:val="6"/>
        <w:spacing w:line="360" w:lineRule="auto"/>
        <w:jc w:val="both"/>
        <w:outlineLvl w:val="2"/>
        <w:rPr>
          <w:rFonts w:hint="eastAsia" w:ascii="宋体" w:hAnsi="宋体" w:eastAsia="宋体"/>
          <w:color w:val="000000"/>
          <w:sz w:val="24"/>
          <w:szCs w:val="24"/>
          <w:lang w:val="en-US" w:eastAsia="zh-CN"/>
        </w:rPr>
      </w:pPr>
      <w:r>
        <w:rPr>
          <w:rFonts w:ascii="宋体" w:hAnsi="宋体" w:eastAsia="宋体" w:cs="宋体"/>
          <w:b/>
          <w:color w:val="000000"/>
          <w:sz w:val="24"/>
          <w:szCs w:val="24"/>
          <w:shd w:val="clear" w:color="auto" w:fill="FFFFFF"/>
        </w:rPr>
        <w:t>（</w:t>
      </w:r>
      <w:r>
        <w:rPr>
          <w:rFonts w:hint="eastAsia" w:ascii="宋体" w:hAnsi="宋体" w:eastAsia="宋体" w:cs="宋体"/>
          <w:b/>
          <w:color w:val="000000"/>
          <w:sz w:val="24"/>
          <w:szCs w:val="24"/>
          <w:shd w:val="clear" w:color="auto" w:fill="FFFFFF"/>
          <w:lang w:val="en-US" w:eastAsia="zh-CN"/>
        </w:rPr>
        <w:t>二</w:t>
      </w:r>
      <w:r>
        <w:rPr>
          <w:rFonts w:ascii="宋体" w:hAnsi="宋体" w:eastAsia="宋体" w:cs="宋体"/>
          <w:b/>
          <w:color w:val="000000"/>
          <w:sz w:val="24"/>
          <w:szCs w:val="24"/>
          <w:shd w:val="clear" w:color="auto" w:fill="FFFFFF"/>
        </w:rPr>
        <w:t>）</w:t>
      </w:r>
      <w:r>
        <w:rPr>
          <w:rFonts w:hint="eastAsia" w:ascii="宋体" w:hAnsi="宋体" w:eastAsia="宋体" w:cs="宋体"/>
          <w:b/>
          <w:color w:val="000000"/>
          <w:sz w:val="24"/>
          <w:szCs w:val="24"/>
          <w:shd w:val="clear" w:color="auto" w:fill="FFFFFF"/>
        </w:rPr>
        <w:t>网络地图运维服务</w:t>
      </w:r>
      <w:r>
        <w:rPr>
          <w:rFonts w:hint="eastAsia" w:ascii="宋体" w:hAnsi="宋体" w:cs="宋体"/>
          <w:b/>
          <w:color w:val="000000"/>
          <w:sz w:val="24"/>
          <w:szCs w:val="24"/>
          <w:shd w:val="clear" w:color="auto" w:fill="FFFFFF"/>
          <w:lang w:val="en-US" w:eastAsia="zh-CN"/>
        </w:rPr>
        <w:t>要求</w:t>
      </w:r>
    </w:p>
    <w:p w14:paraId="3ECCB4D4">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1）提供全国的矢量图、卫星图；</w:t>
      </w:r>
    </w:p>
    <w:p w14:paraId="61348516">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2）覆盖全国的、实时更新的地图数据，海量的兴趣点数据；</w:t>
      </w:r>
    </w:p>
    <w:p w14:paraId="069ECDC8">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3）图层标绘：系统提供在地图上标记功能，标注工具包括点、线、圆形、多边形等；</w:t>
      </w:r>
    </w:p>
    <w:p w14:paraId="7A595264">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4）地图轨道交通信息：地图突出显示轨道交通的信息，并在放大情况下可查看地铁站内部通道口情况；</w:t>
      </w:r>
    </w:p>
    <w:p w14:paraId="7C5F0102">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5）监控车辆：点击该按键，可以在地图上显示车辆列表，点击列表中的车辆，可以定位车辆位置，勾选车辆，可以查看该车辆不断变化的定位；</w:t>
      </w:r>
    </w:p>
    <w:p w14:paraId="100F761A">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5）电话标注：有来电定位信息时，可以在地图上实时显示</w:t>
      </w:r>
    </w:p>
    <w:p w14:paraId="79B471E0">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6)地图的管理、更新、升级、故障检测及排除。</w:t>
      </w:r>
    </w:p>
    <w:p w14:paraId="57F01134">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7）提供两种地图模式。</w:t>
      </w:r>
    </w:p>
    <w:p w14:paraId="7590EF44">
      <w:pPr>
        <w:pStyle w:val="6"/>
        <w:spacing w:line="360" w:lineRule="auto"/>
        <w:jc w:val="both"/>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8）服务期：12个月。</w:t>
      </w:r>
    </w:p>
    <w:p w14:paraId="13EE2CD4">
      <w:pPr>
        <w:pStyle w:val="6"/>
        <w:spacing w:line="360" w:lineRule="auto"/>
        <w:jc w:val="both"/>
        <w:outlineLvl w:val="9"/>
        <w:rPr>
          <w:rFonts w:hint="eastAsia" w:ascii="宋体" w:hAnsi="宋体" w:eastAsia="宋体"/>
          <w:color w:val="000000"/>
          <w:sz w:val="24"/>
          <w:szCs w:val="24"/>
          <w:lang w:val="en-US" w:eastAsia="zh-CN"/>
        </w:rPr>
      </w:pPr>
      <w:r>
        <w:rPr>
          <w:rFonts w:ascii="宋体" w:hAnsi="宋体" w:eastAsia="宋体" w:cs="宋体"/>
          <w:b/>
          <w:color w:val="000000"/>
          <w:sz w:val="24"/>
          <w:szCs w:val="24"/>
          <w:shd w:val="clear" w:color="auto" w:fill="FFFFFF"/>
        </w:rPr>
        <w:t>（</w:t>
      </w:r>
      <w:r>
        <w:rPr>
          <w:rFonts w:hint="eastAsia" w:ascii="宋体" w:hAnsi="宋体" w:eastAsia="宋体" w:cs="宋体"/>
          <w:b/>
          <w:color w:val="000000"/>
          <w:sz w:val="24"/>
          <w:szCs w:val="24"/>
          <w:shd w:val="clear" w:color="auto" w:fill="FFFFFF"/>
          <w:lang w:val="en-US" w:eastAsia="zh-CN"/>
        </w:rPr>
        <w:t>三</w:t>
      </w:r>
      <w:r>
        <w:rPr>
          <w:rFonts w:ascii="宋体" w:hAnsi="宋体" w:eastAsia="宋体" w:cs="宋体"/>
          <w:b/>
          <w:color w:val="000000"/>
          <w:sz w:val="24"/>
          <w:szCs w:val="24"/>
          <w:shd w:val="clear" w:color="auto" w:fill="FFFFFF"/>
        </w:rPr>
        <w:t>）</w:t>
      </w:r>
      <w:r>
        <w:rPr>
          <w:rFonts w:hint="eastAsia" w:ascii="宋体" w:hAnsi="宋体" w:eastAsia="宋体" w:cs="宋体"/>
          <w:b/>
          <w:color w:val="000000"/>
          <w:sz w:val="24"/>
          <w:szCs w:val="24"/>
          <w:shd w:val="clear" w:color="auto" w:fill="FFFFFF"/>
        </w:rPr>
        <w:t>网络地图算路服务</w:t>
      </w:r>
      <w:r>
        <w:rPr>
          <w:rFonts w:hint="eastAsia" w:ascii="宋体" w:hAnsi="宋体" w:cs="宋体"/>
          <w:b/>
          <w:color w:val="000000"/>
          <w:sz w:val="24"/>
          <w:szCs w:val="24"/>
          <w:shd w:val="clear" w:color="auto" w:fill="FFFFFF"/>
          <w:lang w:val="en-US" w:eastAsia="zh-CN"/>
        </w:rPr>
        <w:t>要求</w:t>
      </w:r>
    </w:p>
    <w:p w14:paraId="044DCF85">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支持急救全场景单点算路，可实现救护车驻地/实时位置至报警现场、急救现场至目标医院、急救站点至事故点位的双向精准路径规划，满足复杂院前急救出行场景需求。</w:t>
      </w:r>
    </w:p>
    <w:p w14:paraId="4E455CB7">
      <w:pPr>
        <w:pStyle w:val="6"/>
        <w:spacing w:line="360" w:lineRule="auto"/>
        <w:jc w:val="both"/>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服务期：12个月。</w:t>
      </w:r>
    </w:p>
    <w:p w14:paraId="637BD2FB">
      <w:pPr>
        <w:spacing w:line="360" w:lineRule="auto"/>
        <w:rPr>
          <w:rFonts w:hint="eastAsia" w:eastAsia="宋体"/>
          <w:sz w:val="28"/>
          <w:szCs w:val="28"/>
          <w:lang w:val="en-US" w:eastAsia="zh-CN"/>
        </w:rPr>
      </w:pPr>
      <w:r>
        <w:rPr>
          <w:rFonts w:hint="eastAsia" w:eastAsia="宋体"/>
          <w:sz w:val="28"/>
          <w:szCs w:val="28"/>
          <w:lang w:val="en-US" w:eastAsia="zh-CN"/>
        </w:rPr>
        <w:t>二、急救优先调度系统专家知识库服务</w:t>
      </w:r>
    </w:p>
    <w:p w14:paraId="3BBAD10E">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w:t>
      </w:r>
      <w:r>
        <w:rPr>
          <w:rFonts w:hint="default" w:ascii="宋体" w:hAnsi="宋体" w:eastAsia="宋体" w:cs="宋体"/>
          <w:color w:val="000000"/>
          <w:sz w:val="24"/>
          <w:szCs w:val="24"/>
          <w:lang w:val="en-US" w:eastAsia="zh-CN"/>
        </w:rPr>
        <w:t>服务内容</w:t>
      </w:r>
    </w:p>
    <w:p w14:paraId="380AEEBD">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本次服务内容：5个调度坐席软件和1个质量管理坐席软件配套的专家知识库授权服务，服务期自合同签订生效之日起12个月。</w:t>
      </w:r>
    </w:p>
    <w:p w14:paraId="5369D91D">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（二）</w:t>
      </w:r>
      <w:r>
        <w:rPr>
          <w:rFonts w:hint="default" w:ascii="宋体" w:hAnsi="宋体" w:eastAsia="宋体" w:cs="宋体"/>
          <w:color w:val="000000"/>
          <w:sz w:val="24"/>
          <w:szCs w:val="24"/>
          <w:lang w:val="en-US" w:eastAsia="zh-CN"/>
        </w:rPr>
        <w:t>服务要求</w:t>
      </w:r>
    </w:p>
    <w:p w14:paraId="54E77F97">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本次需要采购急救优先调度系统5个调度坐席和1个质量管理坐席配套的专家知识库授权服务一年，保证采购人急救优先调度系统的正常使用（并保证与采购人120急救指挥调度系统无缝对接正常使用），实现受理调度人员使用急救优先调度系统通过电话能对患者进行现场评估和电话指导，以帮助提升抢救成功率。</w:t>
      </w:r>
    </w:p>
    <w:p w14:paraId="21F65CA2">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供应商应确保提供的服务包括但不限于以下服务内容：</w:t>
      </w:r>
    </w:p>
    <w:p w14:paraId="6CB695DE">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1.医疗优先调度系统知识库服务内容</w:t>
      </w:r>
    </w:p>
    <w:p w14:paraId="326F7732">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（1）主诉分类分级</w:t>
      </w:r>
    </w:p>
    <w:p w14:paraId="3EFDC5A8">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知识库在主诉情况分类中体现合理的院前急救分类方法，知识库将呼救现场情况和疾病类型设计不同的预案，要求包括但不限于：暴力、抽搐、刺伤/割伤、电击伤、动物咬伤、腹痛/腰背痛、服毒/中毒、过敏反应/毒液吸入、呼吸问题、昏迷/晕厥/晕倒、交通事故、内科出血、溺水、其他病人、其他创伤、气道异物梗阻、妊娠/分娩/流产、摔倒/高处坠落、烧伤/烫伤/爆炸伤、受困事故（非车祸）、头痛、心跳呼吸骤停/死亡、心脏疾病、眼科问题、有毒气体吸入/危险品接触、中风、中暑/冻伤、精神行为异常/自杀倾向、有人倒地/问题不详等，根据呼救者陈述变化或者现场情况变化，支持预案之间的灵活跳转。</w:t>
      </w:r>
    </w:p>
    <w:p w14:paraId="7040F47C">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（2）事件评估服务</w:t>
      </w:r>
    </w:p>
    <w:p w14:paraId="6AD41C4B">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支持逐步完成初级评估、高级评估、事件指导、总结等流程。根据事件受理过程中调度员与呼救者的问答内容，自动生成评估结果和评估代码，并推荐指导工具。</w:t>
      </w:r>
    </w:p>
    <w:p w14:paraId="2200D253">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1）初级评估</w:t>
      </w:r>
    </w:p>
    <w:p w14:paraId="0DE015CD">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调度员在急救受理过程中可遵从问询提示，快速登记事件信息。</w:t>
      </w:r>
    </w:p>
    <w:p w14:paraId="6492C40F">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在初级评估标准问询过程中，当询问某个问题时并选择或输入答案时，显示当前答案的说明文本。</w:t>
      </w:r>
    </w:p>
    <w:p w14:paraId="58C86777">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在确认地点和电话后，进一步询问具体发生了什么事？除了支持手动输入外，还提供5个特殊选项，包括（疾病）明显无意识且无呼吸、车辆落入水中（呼救者在车内）、上吊/勒颈/异物覆盖头面部、溺水、人身上着火。</w:t>
      </w:r>
    </w:p>
    <w:p w14:paraId="162FA521">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对于上述无意识无呼吸、呼救者随车落水等特殊选项，系统将判定为危及生命的紧急事件，自动弹框提醒调度员进入远程指导，即生成评估结果代码并进入对应的事件指导步骤。其他特殊选项则弹出对应的常规指导提示框。</w:t>
      </w:r>
    </w:p>
    <w:p w14:paraId="169ECB3F">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在调度员填写评估问题“具体发生了什么事”后，系统可根据实际输入的关键字智能匹配处置预案，供调度员参考以及快速选择。</w:t>
      </w:r>
    </w:p>
    <w:p w14:paraId="158CE64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在按照提示逐步询问并登记完初级评估的问题后，可提交初级评估信息生成新的事件，可进入高级评估。</w:t>
      </w:r>
    </w:p>
    <w:p w14:paraId="397424AE">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在初级评估标准问询过程中可生成对事件的初步评估结果，包括事件类型、地点，联系电话，患者人数，患者年龄、性别、以及是否有意识或呼吸等内容。</w:t>
      </w:r>
    </w:p>
    <w:p w14:paraId="22DB997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2）高级评估</w:t>
      </w:r>
    </w:p>
    <w:p w14:paraId="6704D965">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在高级评估标准问询过程中可生成对事件的评估代码，评估代码一般由3部分组成，第一部分为一个阿拉伯数字，表示现场情况分类；第二部分为一个字符，表示现场情况的轻、重、急、缓；第三部分为一个阿拉伯数字，表示现场情况的细分类。这个评估代码可指导调度员调派不同的急救力量。当生成评估代码后可进行“发送代码”操作。</w:t>
      </w:r>
    </w:p>
    <w:p w14:paraId="2588CD55">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如需要更改选择的预案，则可根据预案列表进行选择，选择要更改的预案后进行高级评估预案的更改。</w:t>
      </w:r>
    </w:p>
    <w:p w14:paraId="5CE15105">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预案更改后，会重新加载更改后预案的高级评估问题及命中的评估代码。</w:t>
      </w:r>
    </w:p>
    <w:p w14:paraId="7D08808C">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部分预案中某些问题的部分答案存在预案跳转的逻辑，当选择该答案后，自动进行预案的跳转和高级评估问题的加载。</w:t>
      </w:r>
    </w:p>
    <w:p w14:paraId="6EBE4D84">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高级评估预案流程问题评估问答完成后，可提交高级评估信息，同时进行评估代码的发送，并进入事件指导流程。</w:t>
      </w:r>
    </w:p>
    <w:p w14:paraId="097A6508">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辅助诊断小工具</w:t>
      </w:r>
    </w:p>
    <w:p w14:paraId="1A114DFC">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部分高级评估问题关联对应的小工具显示，在问答到该问题时，提醒调度员使用该小工具，使用小工具辅助得到该问题的诊断结果。</w:t>
      </w:r>
    </w:p>
    <w:p w14:paraId="4458103A">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2.救治指导意见服务</w:t>
      </w:r>
    </w:p>
    <w:p w14:paraId="52370EA3">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知识库要能根据病情给出相应的救治指导意见，包括：汉墨/哈姆立克手法（区分年龄大小）、CPR（区分年龄大小）、接生等。</w:t>
      </w:r>
    </w:p>
    <w:p w14:paraId="21148FDC">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3.质量管理服务</w:t>
      </w:r>
    </w:p>
    <w:p w14:paraId="206D9F50">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3.1记录每一起通过急救优先调度系统受理的事件的详细信息。</w:t>
      </w:r>
    </w:p>
    <w:p w14:paraId="26D7C43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3.2按照时间段、度员工号、事件编码、百分比组合筛选出采购人要的数据并支持自动或手动抽取事件进行审查。</w:t>
      </w:r>
    </w:p>
    <w:p w14:paraId="3DC1F60D">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3.3创建相应的文件夹保存相关数据。</w:t>
      </w:r>
    </w:p>
    <w:p w14:paraId="00AC9A39">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3.4查看到使用急救优先调度系统受理过的所有事件以及事件详情。</w:t>
      </w:r>
    </w:p>
    <w:p w14:paraId="0569D6C5">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3.5为中心提供业务成绩报表、细节问题报表、阈值报警报表、事件表现报表等功能相同的报表。</w:t>
      </w:r>
    </w:p>
    <w:p w14:paraId="5CB79173">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3.6直接关联相关事件的调度信息。</w:t>
      </w:r>
    </w:p>
    <w:p w14:paraId="4B8F6DBE">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3.7直接关联事件相关的录音并且能够播放录音。</w:t>
      </w:r>
    </w:p>
    <w:p w14:paraId="718AC16B">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4.培训服务</w:t>
      </w:r>
    </w:p>
    <w:p w14:paraId="236CF877">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4.1为更好地发挥专家知识库授权服务与原有坐席及质控席软件的积极作用，本次采购内容需提供培训服务。培训内容为专家知识库相关知识理论培训、实操培训等，且培训内容由供应商提供但需经采购人认可。培训具体要求为提供不少于2天的培训课程，每天不少于8个小时时长、总培训人次不低于14人次，主要培训内容为：</w:t>
      </w:r>
    </w:p>
    <w:p w14:paraId="4B1848F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包括调度员的问话技巧、预案使用和事件指导。对常见医学问题进行回顾培训，强调对每种类型的问题都要询问的具体问题及预案中列出的相关急救人员到达前的指导。对常见医学问题讲解，介绍预案评估和调度指导的规范和注意事项。提供一些模拟事件练习，帮助调度员熟悉急救优先调度系统预案最新内容及各板块路径链接，亲自体会怎样使用预案进行调度，实现从培训到接警顺畅过渡无缝衔接。</w:t>
      </w:r>
    </w:p>
    <w:p w14:paraId="0C71B6D4">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质控员培训：帮助质控员熟悉和急救优先调度系统预案相关的质量管理原则，并讲述相关术语和概念。主要包括：</w:t>
      </w:r>
    </w:p>
    <w:p w14:paraId="7202D84F">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①急救优先调度系统质控标准内容培训；</w:t>
      </w:r>
    </w:p>
    <w:p w14:paraId="3044524B">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②质量控制、质量改进和质量管理等过程职责培训；</w:t>
      </w:r>
    </w:p>
    <w:p w14:paraId="23A52DC7">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③质量保证工作中采用具体、公正和统一的标准和做法的重要性培训；</w:t>
      </w:r>
    </w:p>
    <w:p w14:paraId="292EC542">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④质控中报表数据的分析与使用培训。</w:t>
      </w:r>
    </w:p>
    <w:p w14:paraId="28DEE4F1">
      <w:pPr>
        <w:pStyle w:val="6"/>
        <w:numPr>
          <w:ilvl w:val="0"/>
          <w:numId w:val="0"/>
        </w:numPr>
        <w:spacing w:line="360" w:lineRule="auto"/>
        <w:jc w:val="both"/>
        <w:outlineLvl w:val="1"/>
        <w:rPr>
          <w:rFonts w:hint="default" w:ascii="宋体" w:hAnsi="宋体" w:eastAsia="宋体" w:cs="宋体"/>
          <w:b/>
          <w:color w:val="000000"/>
          <w:sz w:val="24"/>
          <w:szCs w:val="24"/>
          <w:shd w:val="clear" w:color="auto" w:fill="FFFFFF"/>
        </w:rPr>
      </w:pPr>
    </w:p>
    <w:p w14:paraId="5A1B1389">
      <w:pPr>
        <w:pStyle w:val="6"/>
        <w:numPr>
          <w:ilvl w:val="0"/>
          <w:numId w:val="0"/>
        </w:numPr>
        <w:spacing w:line="360" w:lineRule="auto"/>
        <w:jc w:val="both"/>
        <w:outlineLvl w:val="1"/>
        <w:rPr>
          <w:rFonts w:hint="default" w:ascii="宋体" w:hAnsi="宋体" w:eastAsia="宋体" w:cs="宋体"/>
          <w:b/>
          <w:color w:val="000000"/>
          <w:sz w:val="24"/>
          <w:szCs w:val="24"/>
          <w:shd w:val="clear" w:color="auto" w:fill="FFFFFF"/>
        </w:rPr>
      </w:pPr>
    </w:p>
    <w:p w14:paraId="5CC56AB4">
      <w:pPr>
        <w:spacing w:line="360" w:lineRule="auto"/>
        <w:jc w:val="both"/>
        <w:outlineLvl w:val="9"/>
        <w:rPr>
          <w:rFonts w:hint="eastAsia" w:ascii="宋体" w:hAnsi="宋体" w:eastAsia="宋体"/>
          <w:b/>
          <w:bCs/>
          <w:color w:val="000000"/>
          <w:sz w:val="32"/>
          <w:szCs w:val="32"/>
        </w:rPr>
      </w:pPr>
    </w:p>
    <w:p w14:paraId="3FEEA47A">
      <w:pPr>
        <w:spacing w:line="360" w:lineRule="auto"/>
        <w:jc w:val="center"/>
        <w:rPr>
          <w:rFonts w:hint="eastAsia" w:ascii="宋体" w:hAnsi="宋体" w:eastAsia="宋体"/>
          <w:b/>
          <w:bCs/>
          <w:color w:val="000000"/>
          <w:sz w:val="32"/>
          <w:szCs w:val="32"/>
        </w:rPr>
      </w:pPr>
    </w:p>
    <w:p w14:paraId="797FD52A">
      <w:pPr>
        <w:spacing w:line="360" w:lineRule="auto"/>
        <w:jc w:val="center"/>
        <w:rPr>
          <w:rFonts w:hint="eastAsia" w:ascii="宋体" w:hAnsi="宋体" w:eastAsia="宋体"/>
          <w:b/>
          <w:bCs/>
          <w:color w:val="000000"/>
          <w:sz w:val="32"/>
          <w:szCs w:val="32"/>
        </w:rPr>
      </w:pPr>
    </w:p>
    <w:p w14:paraId="1C7C09EC">
      <w:pPr>
        <w:spacing w:line="360" w:lineRule="auto"/>
        <w:jc w:val="center"/>
        <w:rPr>
          <w:rFonts w:hint="eastAsia" w:ascii="宋体" w:hAnsi="宋体" w:eastAsia="宋体"/>
          <w:b/>
          <w:bCs/>
          <w:color w:val="000000"/>
          <w:sz w:val="32"/>
          <w:szCs w:val="32"/>
        </w:rPr>
      </w:pPr>
    </w:p>
    <w:p w14:paraId="7587B16E">
      <w:pPr>
        <w:spacing w:line="360" w:lineRule="auto"/>
        <w:jc w:val="center"/>
        <w:rPr>
          <w:rFonts w:hint="eastAsia" w:ascii="宋体" w:hAnsi="宋体" w:eastAsia="宋体"/>
          <w:b/>
          <w:bCs/>
          <w:color w:val="000000"/>
          <w:sz w:val="32"/>
          <w:szCs w:val="32"/>
        </w:rPr>
      </w:pPr>
    </w:p>
    <w:p w14:paraId="074B6259">
      <w:pPr>
        <w:spacing w:line="360" w:lineRule="auto"/>
        <w:jc w:val="center"/>
        <w:rPr>
          <w:rFonts w:hint="eastAsia" w:ascii="宋体" w:hAnsi="宋体" w:eastAsia="宋体"/>
          <w:b/>
          <w:bCs/>
          <w:color w:val="000000"/>
          <w:sz w:val="32"/>
          <w:szCs w:val="32"/>
        </w:rPr>
      </w:pPr>
    </w:p>
    <w:p w14:paraId="7274E18C">
      <w:pPr>
        <w:spacing w:line="360" w:lineRule="auto"/>
        <w:jc w:val="center"/>
        <w:rPr>
          <w:rFonts w:hint="eastAsia" w:ascii="宋体" w:hAnsi="宋体" w:eastAsia="宋体"/>
          <w:b/>
          <w:bCs/>
          <w:color w:val="000000"/>
          <w:sz w:val="32"/>
          <w:szCs w:val="32"/>
        </w:rPr>
      </w:pPr>
    </w:p>
    <w:p w14:paraId="2DDA0C23">
      <w:pPr>
        <w:spacing w:line="360" w:lineRule="auto"/>
        <w:jc w:val="center"/>
        <w:rPr>
          <w:rFonts w:hint="eastAsia" w:ascii="宋体" w:hAnsi="宋体" w:eastAsia="宋体"/>
          <w:b/>
          <w:bCs/>
          <w:color w:val="000000"/>
          <w:sz w:val="32"/>
          <w:szCs w:val="32"/>
        </w:rPr>
      </w:pPr>
    </w:p>
    <w:p w14:paraId="6A06384B">
      <w:pPr>
        <w:spacing w:line="360" w:lineRule="auto"/>
        <w:jc w:val="center"/>
        <w:rPr>
          <w:rFonts w:hint="eastAsia" w:ascii="宋体" w:hAnsi="宋体" w:eastAsia="宋体"/>
          <w:b/>
          <w:bCs/>
          <w:color w:val="000000"/>
          <w:sz w:val="32"/>
          <w:szCs w:val="32"/>
        </w:rPr>
      </w:pPr>
    </w:p>
    <w:p w14:paraId="72A2B174">
      <w:pPr>
        <w:spacing w:line="360" w:lineRule="auto"/>
        <w:jc w:val="center"/>
        <w:rPr>
          <w:rFonts w:hint="eastAsia" w:ascii="宋体" w:hAnsi="宋体" w:eastAsia="宋体"/>
          <w:b/>
          <w:bCs/>
          <w:color w:val="000000"/>
          <w:sz w:val="32"/>
          <w:szCs w:val="32"/>
        </w:rPr>
      </w:pPr>
    </w:p>
    <w:p w14:paraId="683A0D24">
      <w:pPr>
        <w:spacing w:line="360" w:lineRule="auto"/>
        <w:jc w:val="center"/>
        <w:rPr>
          <w:rFonts w:hint="eastAsia" w:ascii="宋体" w:hAnsi="宋体" w:eastAsia="宋体"/>
          <w:b/>
          <w:bCs/>
          <w:color w:val="000000"/>
          <w:sz w:val="32"/>
          <w:szCs w:val="32"/>
        </w:rPr>
      </w:pPr>
    </w:p>
    <w:p w14:paraId="7522DAD3">
      <w:pPr>
        <w:spacing w:line="360" w:lineRule="auto"/>
        <w:jc w:val="center"/>
        <w:rPr>
          <w:rFonts w:hint="eastAsia" w:ascii="宋体" w:hAnsi="宋体" w:eastAsia="宋体"/>
          <w:b/>
          <w:bCs/>
          <w:color w:val="000000"/>
          <w:sz w:val="32"/>
          <w:szCs w:val="32"/>
        </w:rPr>
      </w:pPr>
    </w:p>
    <w:p w14:paraId="3EEA77C4">
      <w:pPr>
        <w:spacing w:line="360" w:lineRule="auto"/>
        <w:jc w:val="center"/>
        <w:rPr>
          <w:rFonts w:hint="eastAsia" w:ascii="宋体" w:hAnsi="宋体" w:eastAsia="宋体"/>
          <w:b/>
          <w:bCs/>
          <w:color w:val="000000"/>
          <w:sz w:val="32"/>
          <w:szCs w:val="32"/>
        </w:rPr>
      </w:pPr>
    </w:p>
    <w:p w14:paraId="15372782">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C91920"/>
    <w:rsid w:val="11E175F4"/>
    <w:rsid w:val="1D3A47FD"/>
    <w:rsid w:val="3F511FDB"/>
    <w:rsid w:val="4DC91920"/>
    <w:rsid w:val="6FFE74EC"/>
    <w:rsid w:val="7984294E"/>
    <w:rsid w:val="A76F9B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line="278" w:lineRule="auto"/>
      <w:jc w:val="left"/>
    </w:pPr>
    <w:rPr>
      <w:rFonts w:ascii="宋体" w:hAnsi="宋体" w:eastAsia="宋体" w:cs="宋体"/>
      <w:kern w:val="0"/>
      <w:sz w:val="24"/>
      <w:szCs w:val="24"/>
    </w:rPr>
  </w:style>
  <w:style w:type="character" w:styleId="5">
    <w:name w:val="Strong"/>
    <w:qFormat/>
    <w:uiPriority w:val="22"/>
    <w:rPr>
      <w:b/>
      <w:bCs/>
    </w:rPr>
  </w:style>
  <w:style w:type="paragraph" w:customStyle="1" w:styleId="6">
    <w:name w:val="null3"/>
    <w:qFormat/>
    <w:uiPriority w:val="0"/>
    <w:rPr>
      <w:rFonts w:hint="eastAsia" w:ascii="Calibri" w:hAnsi="Calibri" w:eastAsia="宋体" w:cs="Times New Roman"/>
      <w:kern w:val="0"/>
      <w:sz w:val="20"/>
      <w:szCs w:val="20"/>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2026-06-12T01:49:00Z</dcterms:created>
  <dc:creator>29018</dc:creator>
  <cp:lastModifiedBy>辉歌        </cp:lastModifiedBy>
  <dcterms:modified xsi:type="dcterms:W3CDTF">2026-08-06T16:57:20Z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3B4CE0787001563A2B4A746A6A5B2E58_42</vt:lpwstr>
  </property>
</Properties>
</file>