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F828E">
      <w:pPr>
        <w:jc w:val="center"/>
      </w:pPr>
      <w:r>
        <w:rPr>
          <w:rFonts w:ascii="黑体" w:hAnsi="黑体" w:eastAsia="黑体"/>
          <w:b/>
          <w:sz w:val="32"/>
        </w:rPr>
        <w:t>120急救指挥调度系统（升级）项目</w:t>
      </w:r>
    </w:p>
    <w:p w14:paraId="21DC5B92">
      <w:r>
        <w:rPr>
          <w:rFonts w:ascii="黑体" w:hAnsi="黑体" w:eastAsia="黑体"/>
          <w:b/>
          <w:sz w:val="26"/>
        </w:rPr>
        <w:t>一、突发事件AI辅助决策模块</w:t>
      </w:r>
    </w:p>
    <w:p w14:paraId="17C21E68">
      <w:r>
        <w:rPr>
          <w:rFonts w:ascii="宋体" w:hAnsi="宋体" w:eastAsia="宋体"/>
          <w:b w:val="0"/>
          <w:sz w:val="22"/>
        </w:rPr>
        <w:t>建设面向突发事件的AI辅助决策能力，支撑调度中心对突发事件的快速响应与科学指挥。模块涵盖突发事件全流程调度处置，以及多项AI智能模型能力，主要建设内容如下：</w:t>
      </w:r>
    </w:p>
    <w:p w14:paraId="385ACE23">
      <w:r>
        <w:rPr>
          <w:rFonts w:ascii="黑体" w:hAnsi="黑体" w:eastAsia="黑体"/>
          <w:b/>
          <w:sz w:val="22"/>
        </w:rPr>
        <w:t>1. 调度中心突发事件调度</w:t>
      </w:r>
    </w:p>
    <w:p w14:paraId="01418722">
      <w:pPr>
        <w:pStyle w:val="19"/>
      </w:pPr>
      <w:r>
        <w:rPr>
          <w:rFonts w:ascii="宋体" w:hAnsi="宋体" w:eastAsia="宋体"/>
          <w:b w:val="0"/>
          <w:sz w:val="22"/>
        </w:rPr>
        <w:t>事件半径标记：以事故现场为中心，在地图上对设定半径范围的圆形区域深色标记，展示范围内急救资源。</w:t>
      </w:r>
    </w:p>
    <w:p w14:paraId="781A5E3D">
      <w:pPr>
        <w:pStyle w:val="19"/>
      </w:pPr>
      <w:r>
        <w:rPr>
          <w:rFonts w:ascii="宋体" w:hAnsi="宋体" w:eastAsia="宋体"/>
          <w:b w:val="0"/>
          <w:sz w:val="22"/>
        </w:rPr>
        <w:t>事件统计：展示事件处置状态、事故类型/等级、持续时间、首呼/首派/首到/首院时间节点，以及派车数、到现场车数、伤亡分级（伤/重/中/轻）等统计。</w:t>
      </w:r>
    </w:p>
    <w:p w14:paraId="26766906">
      <w:pPr>
        <w:pStyle w:val="19"/>
      </w:pPr>
      <w:r>
        <w:rPr>
          <w:rFonts w:ascii="宋体" w:hAnsi="宋体" w:eastAsia="宋体"/>
          <w:b w:val="0"/>
          <w:sz w:val="22"/>
        </w:rPr>
        <w:t>救援预案：支持预案触发（按伤亡条件）、使用（车辆/通知/上报预案）、修改；执行出车预案（推荐派车）、通知预案（短信/电话/通知历史）、上报预案（初报/续报/终报/补充终报）。</w:t>
      </w:r>
    </w:p>
    <w:p w14:paraId="45601E27">
      <w:pPr>
        <w:pStyle w:val="19"/>
      </w:pPr>
      <w:r>
        <w:rPr>
          <w:rFonts w:ascii="宋体" w:hAnsi="宋体" w:eastAsia="宋体"/>
          <w:b w:val="0"/>
          <w:sz w:val="22"/>
        </w:rPr>
        <w:t>事件更新：现场死亡/重伤/中伤/轻伤人数更新。</w:t>
      </w:r>
    </w:p>
    <w:p w14:paraId="7124065A">
      <w:pPr>
        <w:pStyle w:val="19"/>
      </w:pPr>
      <w:r>
        <w:rPr>
          <w:rFonts w:ascii="宋体" w:hAnsi="宋体" w:eastAsia="宋体"/>
          <w:b w:val="0"/>
          <w:sz w:val="22"/>
        </w:rPr>
        <w:t>事件上报：选择上报人员/类型/时间/方式（企业微信、短信），模板自动生成，支持保存与发送、上报历史与详情查看。</w:t>
      </w:r>
    </w:p>
    <w:p w14:paraId="38AB14C5">
      <w:pPr>
        <w:pStyle w:val="19"/>
      </w:pPr>
      <w:r>
        <w:rPr>
          <w:rFonts w:ascii="宋体" w:hAnsi="宋体" w:eastAsia="宋体"/>
          <w:b w:val="0"/>
          <w:sz w:val="22"/>
        </w:rPr>
        <w:t>事件通知：支持企业微信、短信、系统通知、电话四种方式，按机构类型选择人员发送。</w:t>
      </w:r>
    </w:p>
    <w:p w14:paraId="74F5D920">
      <w:pPr>
        <w:pStyle w:val="19"/>
      </w:pPr>
      <w:r>
        <w:rPr>
          <w:rFonts w:ascii="宋体" w:hAnsi="宋体" w:eastAsia="宋体"/>
          <w:b w:val="0"/>
          <w:sz w:val="22"/>
        </w:rPr>
        <w:t>事件结束：确认应急救援目标达成后结束事件。</w:t>
      </w:r>
    </w:p>
    <w:p w14:paraId="7272FA2D">
      <w:r>
        <w:rPr>
          <w:rFonts w:ascii="黑体" w:hAnsi="黑体" w:eastAsia="黑体"/>
          <w:b/>
          <w:sz w:val="22"/>
        </w:rPr>
        <w:t>2. 信息汇总</w:t>
      </w:r>
    </w:p>
    <w:p w14:paraId="3860F7F6">
      <w:pPr>
        <w:pStyle w:val="19"/>
      </w:pPr>
      <w:r>
        <w:rPr>
          <w:rFonts w:ascii="宋体" w:hAnsi="宋体" w:eastAsia="宋体"/>
          <w:b w:val="0"/>
          <w:sz w:val="22"/>
        </w:rPr>
        <w:t>事件记录：处置状态、事故类型/等级、各时间节点、各项伤亡统计展示。</w:t>
      </w:r>
    </w:p>
    <w:p w14:paraId="40B2309B">
      <w:pPr>
        <w:pStyle w:val="19"/>
      </w:pPr>
      <w:r>
        <w:rPr>
          <w:rFonts w:ascii="宋体" w:hAnsi="宋体" w:eastAsia="宋体"/>
          <w:b w:val="0"/>
          <w:sz w:val="22"/>
        </w:rPr>
        <w:t>车辆信息：车辆统计与列表（名称/类型/司乘人员/转运/状态/区域等），按区域/类型/状态筛选、去除车辆、向车载发通知（上报内容/处置流程/送院提示/自定义）。</w:t>
      </w:r>
    </w:p>
    <w:p w14:paraId="36D1082D">
      <w:pPr>
        <w:pStyle w:val="19"/>
      </w:pPr>
      <w:r>
        <w:rPr>
          <w:rFonts w:ascii="宋体" w:hAnsi="宋体" w:eastAsia="宋体"/>
          <w:b w:val="0"/>
          <w:sz w:val="22"/>
        </w:rPr>
        <w:t>患者信息：患者统计与列表（来源/姓名/性别/年龄/伤情/送往地点），支持查询、新增、修改、删除。</w:t>
      </w:r>
    </w:p>
    <w:p w14:paraId="37927864">
      <w:pPr>
        <w:pStyle w:val="19"/>
      </w:pPr>
      <w:r>
        <w:rPr>
          <w:rFonts w:ascii="宋体" w:hAnsi="宋体" w:eastAsia="宋体"/>
          <w:b w:val="0"/>
          <w:sz w:val="22"/>
        </w:rPr>
        <w:t>医院信息：参与医院统计与列表（名称/等级/转送人数/距离/区域），按区域筛选。</w:t>
      </w:r>
    </w:p>
    <w:p w14:paraId="4CD70970">
      <w:r>
        <w:rPr>
          <w:rFonts w:ascii="黑体" w:hAnsi="黑体" w:eastAsia="黑体"/>
          <w:b/>
          <w:sz w:val="22"/>
        </w:rPr>
        <w:t>3. 信息报送</w:t>
      </w:r>
    </w:p>
    <w:p w14:paraId="394C1E40">
      <w:pPr>
        <w:pStyle w:val="19"/>
      </w:pPr>
      <w:r>
        <w:rPr>
          <w:rFonts w:ascii="宋体" w:hAnsi="宋体" w:eastAsia="宋体"/>
          <w:b w:val="0"/>
          <w:sz w:val="22"/>
        </w:rPr>
        <w:t>120指挥调度预案执行记录：派车/通知/上报预案历史列表。</w:t>
      </w:r>
    </w:p>
    <w:p w14:paraId="38C697FD">
      <w:pPr>
        <w:pStyle w:val="19"/>
      </w:pPr>
      <w:r>
        <w:rPr>
          <w:rFonts w:ascii="宋体" w:hAnsi="宋体" w:eastAsia="宋体"/>
          <w:b w:val="0"/>
          <w:sz w:val="22"/>
        </w:rPr>
        <w:t>120指挥调度领导指示：新增、移动端同步、列表与查看。</w:t>
      </w:r>
    </w:p>
    <w:p w14:paraId="117804F3">
      <w:r>
        <w:rPr>
          <w:rFonts w:ascii="黑体" w:hAnsi="黑体" w:eastAsia="黑体"/>
          <w:b/>
          <w:sz w:val="22"/>
        </w:rPr>
        <w:t>4. 患者信息</w:t>
      </w:r>
    </w:p>
    <w:p w14:paraId="0A227ED8">
      <w:pPr>
        <w:pStyle w:val="19"/>
      </w:pPr>
      <w:r>
        <w:rPr>
          <w:rFonts w:ascii="宋体" w:hAnsi="宋体" w:eastAsia="宋体"/>
          <w:b w:val="0"/>
          <w:sz w:val="22"/>
        </w:rPr>
        <w:t>转院：记录离开原医院与到达转院医院时间。</w:t>
      </w:r>
    </w:p>
    <w:p w14:paraId="765ADA14">
      <w:pPr>
        <w:pStyle w:val="19"/>
      </w:pPr>
      <w:r>
        <w:rPr>
          <w:rFonts w:ascii="宋体" w:hAnsi="宋体" w:eastAsia="宋体"/>
          <w:b w:val="0"/>
          <w:sz w:val="22"/>
        </w:rPr>
        <w:t>修改记录：记录患者信息全部操作（操作人/工号/时间）。</w:t>
      </w:r>
    </w:p>
    <w:p w14:paraId="64537350">
      <w:r>
        <w:rPr>
          <w:rFonts w:ascii="黑体" w:hAnsi="黑体" w:eastAsia="黑体"/>
          <w:b/>
          <w:sz w:val="22"/>
        </w:rPr>
        <w:t>5. 事件合并 / 拆分</w:t>
      </w:r>
    </w:p>
    <w:p w14:paraId="5FC24589">
      <w:pPr>
        <w:pStyle w:val="19"/>
      </w:pPr>
      <w:r>
        <w:rPr>
          <w:rFonts w:ascii="宋体" w:hAnsi="宋体" w:eastAsia="宋体"/>
          <w:b w:val="0"/>
          <w:sz w:val="22"/>
        </w:rPr>
        <w:t>多起重复事件（多人拨打120）合并为一；合并错误可再拆分。</w:t>
      </w:r>
    </w:p>
    <w:p w14:paraId="59A14CAC">
      <w:r>
        <w:rPr>
          <w:rFonts w:ascii="黑体" w:hAnsi="黑体" w:eastAsia="黑体"/>
          <w:b/>
          <w:sz w:val="22"/>
        </w:rPr>
        <w:t>6. 增援车辆</w:t>
      </w:r>
    </w:p>
    <w:p w14:paraId="43FA0889">
      <w:pPr>
        <w:pStyle w:val="19"/>
      </w:pPr>
      <w:r>
        <w:rPr>
          <w:rFonts w:ascii="宋体" w:hAnsi="宋体" w:eastAsia="宋体"/>
          <w:b w:val="0"/>
          <w:sz w:val="22"/>
        </w:rPr>
        <w:t>与120调度台集成，确认增援后调度台进入受理页面，支持重新定位现场并增援派车。</w:t>
      </w:r>
    </w:p>
    <w:p w14:paraId="706B6549">
      <w:r>
        <w:rPr>
          <w:rFonts w:ascii="黑体" w:hAnsi="黑体" w:eastAsia="黑体"/>
          <w:b/>
          <w:sz w:val="22"/>
        </w:rPr>
        <w:t>7. 事件总结</w:t>
      </w:r>
    </w:p>
    <w:p w14:paraId="503B6A58">
      <w:pPr>
        <w:pStyle w:val="19"/>
      </w:pPr>
      <w:r>
        <w:rPr>
          <w:rFonts w:ascii="宋体" w:hAnsi="宋体" w:eastAsia="宋体"/>
          <w:b w:val="0"/>
          <w:sz w:val="22"/>
        </w:rPr>
        <w:t>事件记录同步；统计图表（男女比例、年龄分段、诊断类别、伤情比例环形图）；处置时间轴（初报/续报/终报及领导指示追溯）。</w:t>
      </w:r>
    </w:p>
    <w:p w14:paraId="06F63D06">
      <w:r>
        <w:rPr>
          <w:rFonts w:ascii="黑体" w:hAnsi="黑体" w:eastAsia="黑体"/>
          <w:b/>
          <w:sz w:val="22"/>
        </w:rPr>
        <w:t>8. 智能预案匹配与推荐（AI模型）</w:t>
      </w:r>
    </w:p>
    <w:p w14:paraId="1C226A6C">
      <w:pPr>
        <w:pStyle w:val="19"/>
      </w:pPr>
      <w:r>
        <w:rPr>
          <w:rFonts w:ascii="宋体" w:hAnsi="宋体" w:eastAsia="宋体"/>
          <w:b w:val="0"/>
          <w:sz w:val="22"/>
        </w:rPr>
        <w:t>模型训练与优化：基于机器学习的预案匹配，事件/预案关键特征提取，多模型选型与超参数调优。</w:t>
      </w:r>
    </w:p>
    <w:p w14:paraId="49707548">
      <w:pPr>
        <w:pStyle w:val="19"/>
      </w:pPr>
      <w:r>
        <w:rPr>
          <w:rFonts w:ascii="宋体" w:hAnsi="宋体" w:eastAsia="宋体"/>
          <w:b w:val="0"/>
          <w:sz w:val="22"/>
        </w:rPr>
        <w:t>历史案例智能检索：支持语义级检索、关键词与向量混合索引。</w:t>
      </w:r>
    </w:p>
    <w:p w14:paraId="7176A965">
      <w:pPr>
        <w:pStyle w:val="19"/>
      </w:pPr>
      <w:r>
        <w:rPr>
          <w:rFonts w:ascii="宋体" w:hAnsi="宋体" w:eastAsia="宋体"/>
          <w:b w:val="0"/>
          <w:sz w:val="22"/>
        </w:rPr>
        <w:t>预案智能生成与推荐：模板推荐、内容生成、结构优化、质量评估。</w:t>
      </w:r>
    </w:p>
    <w:p w14:paraId="6065A772">
      <w:pPr>
        <w:pStyle w:val="19"/>
      </w:pPr>
      <w:r>
        <w:rPr>
          <w:rFonts w:ascii="宋体" w:hAnsi="宋体" w:eastAsia="宋体"/>
          <w:b w:val="0"/>
          <w:sz w:val="22"/>
        </w:rPr>
        <w:t>交付核心功能：实时预案匹配、多维度推荐、可解释性推荐（给出关键相似度因素）、预案效果预估。</w:t>
      </w:r>
    </w:p>
    <w:p w14:paraId="1F9E4E1E">
      <w:pPr>
        <w:pStyle w:val="19"/>
      </w:pPr>
      <w:r>
        <w:rPr>
          <w:rFonts w:ascii="宋体" w:hAnsi="宋体" w:eastAsia="宋体"/>
          <w:b w:val="0"/>
          <w:sz w:val="22"/>
        </w:rPr>
        <w:t>提供后端推理API与前端可视化（匹配结果、相似度雷达图、推荐排行榜）。</w:t>
      </w:r>
    </w:p>
    <w:p w14:paraId="7541F9D9">
      <w:r>
        <w:rPr>
          <w:rFonts w:ascii="黑体" w:hAnsi="黑体" w:eastAsia="黑体"/>
          <w:b/>
          <w:sz w:val="22"/>
        </w:rPr>
        <w:t>9. 智能监测预警模型（AI模型）</w:t>
      </w:r>
    </w:p>
    <w:p w14:paraId="42D082FD">
      <w:pPr>
        <w:pStyle w:val="19"/>
      </w:pPr>
      <w:r>
        <w:rPr>
          <w:rFonts w:ascii="宋体" w:hAnsi="宋体" w:eastAsia="宋体"/>
          <w:b w:val="0"/>
          <w:sz w:val="22"/>
        </w:rPr>
        <w:t>异常事件智能检测：统计/机器学习/深度学习多层次异常检测。</w:t>
      </w:r>
    </w:p>
    <w:p w14:paraId="70967EFF">
      <w:pPr>
        <w:pStyle w:val="19"/>
      </w:pPr>
      <w:r>
        <w:rPr>
          <w:rFonts w:ascii="宋体" w:hAnsi="宋体" w:eastAsia="宋体"/>
          <w:b w:val="0"/>
          <w:sz w:val="22"/>
        </w:rPr>
        <w:t>预警效果评估与优化：评估指标体系、反馈学习、参数优化、模型更新。</w:t>
      </w:r>
    </w:p>
    <w:p w14:paraId="6AD9FC82">
      <w:pPr>
        <w:pStyle w:val="19"/>
      </w:pPr>
      <w:r>
        <w:rPr>
          <w:rFonts w:ascii="宋体" w:hAnsi="宋体" w:eastAsia="宋体"/>
          <w:b w:val="0"/>
          <w:sz w:val="22"/>
        </w:rPr>
        <w:t>模型轻量化部署：量化压缩、边缘计算部署。</w:t>
      </w:r>
    </w:p>
    <w:p w14:paraId="2BFF2AA8">
      <w:pPr>
        <w:pStyle w:val="19"/>
      </w:pPr>
      <w:r>
        <w:rPr>
          <w:rFonts w:ascii="宋体" w:hAnsi="宋体" w:eastAsia="宋体"/>
          <w:b w:val="0"/>
          <w:sz w:val="22"/>
        </w:rPr>
        <w:t>监控大屏与实时监测后端：态势可视化、多维看板、流式计算与智能告警。</w:t>
      </w:r>
    </w:p>
    <w:p w14:paraId="2B822E47">
      <w:r>
        <w:rPr>
          <w:rFonts w:ascii="黑体" w:hAnsi="黑体" w:eastAsia="黑体"/>
          <w:b/>
          <w:sz w:val="22"/>
        </w:rPr>
        <w:t>10. 智能信息处理模型（AI模型）</w:t>
      </w:r>
    </w:p>
    <w:p w14:paraId="7C04BB81">
      <w:pPr>
        <w:pStyle w:val="19"/>
      </w:pPr>
      <w:r>
        <w:rPr>
          <w:rFonts w:ascii="宋体" w:hAnsi="宋体" w:eastAsia="宋体"/>
          <w:b w:val="0"/>
          <w:sz w:val="22"/>
        </w:rPr>
        <w:t>呼救电话智能分析：语音预处理、ASR识别（多方言/口音）、关键信息提取（命名实体识别）、情感分析、意图识别、质量控制。</w:t>
      </w:r>
    </w:p>
    <w:p w14:paraId="264E4E1F">
      <w:pPr>
        <w:pStyle w:val="19"/>
      </w:pPr>
      <w:r>
        <w:rPr>
          <w:rFonts w:ascii="宋体" w:hAnsi="宋体" w:eastAsia="宋体"/>
          <w:b w:val="0"/>
          <w:sz w:val="22"/>
        </w:rPr>
        <w:t>事件类型智能分类：层次化分类体系、特征工程、分类模型、在线学习。</w:t>
      </w:r>
    </w:p>
    <w:p w14:paraId="6FF2464E">
      <w:pPr>
        <w:pStyle w:val="19"/>
      </w:pPr>
      <w:r>
        <w:rPr>
          <w:rFonts w:ascii="宋体" w:hAnsi="宋体" w:eastAsia="宋体"/>
          <w:b w:val="0"/>
          <w:sz w:val="22"/>
        </w:rPr>
        <w:t>报告自动生成：模板管理、数据收集、内容生成、图表生成、质量控制、版本协作。</w:t>
      </w:r>
    </w:p>
    <w:p w14:paraId="738434F3">
      <w:r>
        <w:rPr>
          <w:rFonts w:ascii="黑体" w:hAnsi="黑体" w:eastAsia="黑体"/>
          <w:b/>
          <w:sz w:val="22"/>
        </w:rPr>
        <w:t>11. 智能决策模型（AI模型）</w:t>
      </w:r>
    </w:p>
    <w:p w14:paraId="1FE15A15">
      <w:pPr>
        <w:pStyle w:val="19"/>
      </w:pPr>
      <w:r>
        <w:rPr>
          <w:rFonts w:ascii="宋体" w:hAnsi="宋体" w:eastAsia="宋体"/>
          <w:b w:val="0"/>
          <w:sz w:val="22"/>
        </w:rPr>
        <w:t>综合态势智能分析：数据融合、态势感知（GIS）、态势评估、趋势预测、不确定性分析。</w:t>
      </w:r>
    </w:p>
    <w:p w14:paraId="61290090">
      <w:pPr>
        <w:pStyle w:val="19"/>
      </w:pPr>
      <w:r>
        <w:rPr>
          <w:rFonts w:ascii="宋体" w:hAnsi="宋体" w:eastAsia="宋体"/>
          <w:b w:val="0"/>
          <w:sz w:val="22"/>
        </w:rPr>
        <w:t>决策方案智能推荐：案例检索、方案生成、约束处理、多目标优化、推荐排序。</w:t>
      </w:r>
    </w:p>
    <w:p w14:paraId="07FA2970">
      <w:r>
        <w:rPr>
          <w:rFonts w:ascii="黑体" w:hAnsi="黑体" w:eastAsia="黑体"/>
          <w:b/>
          <w:sz w:val="22"/>
        </w:rPr>
        <w:t>12. 语音识别模型（AI模型）</w:t>
      </w:r>
    </w:p>
    <w:p w14:paraId="57BCB9BF">
      <w:pPr>
        <w:pStyle w:val="19"/>
      </w:pPr>
      <w:r>
        <w:rPr>
          <w:rFonts w:ascii="宋体" w:hAnsi="宋体" w:eastAsia="宋体"/>
          <w:b w:val="0"/>
          <w:sz w:val="22"/>
        </w:rPr>
        <w:t>ASR模型训练：应急场景训练、数据增强、领域自适应、噪声鲁棒性优化。</w:t>
      </w:r>
    </w:p>
    <w:p w14:paraId="300F4984">
      <w:pPr>
        <w:pStyle w:val="19"/>
      </w:pPr>
      <w:r>
        <w:rPr>
          <w:rFonts w:ascii="宋体" w:hAnsi="宋体" w:eastAsia="宋体"/>
          <w:b w:val="0"/>
          <w:sz w:val="22"/>
        </w:rPr>
        <w:t>模型蒸馏优化：知识蒸馏、推理性能优化、解码策略优化。</w:t>
      </w:r>
    </w:p>
    <w:p w14:paraId="5AA11EA3">
      <w:r>
        <w:rPr>
          <w:rFonts w:ascii="黑体" w:hAnsi="黑体" w:eastAsia="黑体"/>
          <w:b/>
          <w:sz w:val="22"/>
        </w:rPr>
        <w:t>13. 自然语言处理（NLP）</w:t>
      </w:r>
    </w:p>
    <w:p w14:paraId="0B5B6F9F">
      <w:pPr>
        <w:pStyle w:val="19"/>
      </w:pPr>
      <w:r>
        <w:rPr>
          <w:rFonts w:ascii="宋体" w:hAnsi="宋体" w:eastAsia="宋体"/>
          <w:b w:val="0"/>
          <w:sz w:val="22"/>
        </w:rPr>
        <w:t>多任务NLP模型、联合实体识别（地点/时间/人员/事件类型）、意图与情感分析。</w:t>
      </w:r>
    </w:p>
    <w:p w14:paraId="5FB11D04">
      <w:pPr>
        <w:pStyle w:val="19"/>
      </w:pPr>
      <w:r>
        <w:rPr>
          <w:rFonts w:ascii="宋体" w:hAnsi="宋体" w:eastAsia="宋体"/>
          <w:b w:val="0"/>
          <w:sz w:val="22"/>
        </w:rPr>
        <w:t>语音处理后端（实时链路、推理服务、智能后处理）与信息处理前端（人机协同界面、音频播放、文本展示、智能标注、质量控制）。</w:t>
      </w:r>
    </w:p>
    <w:p w14:paraId="0235FC5B">
      <w:r>
        <w:rPr>
          <w:rFonts w:ascii="黑体" w:hAnsi="黑体" w:eastAsia="黑体"/>
          <w:b/>
          <w:sz w:val="22"/>
        </w:rPr>
        <w:t>14. 态势分析模型（AI模型）</w:t>
      </w:r>
    </w:p>
    <w:p w14:paraId="064A780B">
      <w:pPr>
        <w:pStyle w:val="19"/>
      </w:pPr>
      <w:r>
        <w:rPr>
          <w:rFonts w:ascii="宋体" w:hAnsi="宋体" w:eastAsia="宋体"/>
          <w:b w:val="0"/>
          <w:sz w:val="22"/>
        </w:rPr>
        <w:t>多模态融合：多源数据融合、异构整合、动态推演（时序/空间/关联分析）。</w:t>
      </w:r>
    </w:p>
    <w:p w14:paraId="7CA570AC">
      <w:pPr>
        <w:pStyle w:val="19"/>
      </w:pPr>
      <w:r>
        <w:rPr>
          <w:rFonts w:ascii="宋体" w:hAnsi="宋体" w:eastAsia="宋体"/>
          <w:b w:val="0"/>
          <w:sz w:val="22"/>
        </w:rPr>
        <w:t>决策推荐算法：智能决策、多目标优化、约束求解。</w:t>
      </w:r>
    </w:p>
    <w:p w14:paraId="06134B73">
      <w:pPr>
        <w:pStyle w:val="19"/>
      </w:pPr>
      <w:r>
        <w:rPr>
          <w:rFonts w:ascii="宋体" w:hAnsi="宋体" w:eastAsia="宋体"/>
          <w:b w:val="0"/>
          <w:sz w:val="22"/>
        </w:rPr>
        <w:t>决策支持前后端：数据聚合、模型推理调度、方案生成、效果模拟、可视化决策支持。</w:t>
      </w:r>
    </w:p>
    <w:p w14:paraId="3C15F20B">
      <w:r>
        <w:rPr>
          <w:rFonts w:ascii="黑体" w:hAnsi="黑体" w:eastAsia="黑体"/>
          <w:b/>
          <w:sz w:val="26"/>
        </w:rPr>
        <w:t>二、AED智能化监督管理</w:t>
      </w:r>
    </w:p>
    <w:p w14:paraId="331F1030">
      <w:r>
        <w:rPr>
          <w:rFonts w:ascii="宋体" w:hAnsi="宋体" w:eastAsia="宋体"/>
          <w:b w:val="0"/>
          <w:sz w:val="22"/>
        </w:rPr>
        <w:t>建设覆盖120调度范围的AED设备智能化监管能力，主要包括：</w:t>
      </w:r>
    </w:p>
    <w:p w14:paraId="5463CA35">
      <w:r>
        <w:rPr>
          <w:rFonts w:ascii="黑体" w:hAnsi="黑体" w:eastAsia="黑体"/>
          <w:b/>
          <w:sz w:val="22"/>
        </w:rPr>
        <w:t>1. AED信息采集</w:t>
      </w:r>
    </w:p>
    <w:p w14:paraId="6F53913C">
      <w:pPr>
        <w:pStyle w:val="19"/>
      </w:pPr>
      <w:r>
        <w:rPr>
          <w:rFonts w:ascii="宋体" w:hAnsi="宋体" w:eastAsia="宋体"/>
          <w:b w:val="0"/>
          <w:sz w:val="22"/>
        </w:rPr>
        <w:t>标准化接口采集位置、设备状态、电极片/电池状态、自检报告、日常巡检、使用记录，汇总分析并可视化展示；与急救指挥调度系统整合，调度员可远程指导取用附近可用AED。</w:t>
      </w:r>
    </w:p>
    <w:p w14:paraId="2500D33E">
      <w:r>
        <w:rPr>
          <w:rFonts w:ascii="黑体" w:hAnsi="黑体" w:eastAsia="黑体"/>
          <w:b/>
          <w:sz w:val="22"/>
        </w:rPr>
        <w:t>2. 实时数据统计</w:t>
      </w:r>
    </w:p>
    <w:p w14:paraId="76782943">
      <w:pPr>
        <w:pStyle w:val="19"/>
      </w:pPr>
      <w:r>
        <w:rPr>
          <w:rFonts w:ascii="宋体" w:hAnsi="宋体" w:eastAsia="宋体"/>
          <w:b w:val="0"/>
          <w:sz w:val="22"/>
        </w:rPr>
        <w:t>监管总量、实时在线、掉线、偏移、故障数量在首页展示。</w:t>
      </w:r>
    </w:p>
    <w:p w14:paraId="1E5FE9CA">
      <w:r>
        <w:rPr>
          <w:rFonts w:ascii="黑体" w:hAnsi="黑体" w:eastAsia="黑体"/>
          <w:b/>
          <w:sz w:val="22"/>
        </w:rPr>
        <w:t>3. 设备异常提示</w:t>
      </w:r>
    </w:p>
    <w:p w14:paraId="19E61C39">
      <w:pPr>
        <w:pStyle w:val="19"/>
      </w:pPr>
      <w:r>
        <w:rPr>
          <w:rFonts w:ascii="宋体" w:hAnsi="宋体" w:eastAsia="宋体"/>
          <w:b w:val="0"/>
          <w:sz w:val="22"/>
        </w:rPr>
        <w:t>异常设备列表、点击定位、详情查看（序列号/型号/状态/电池容量/信号强度/急救次数/安装位置/所属单位/管理员电话）。</w:t>
      </w:r>
    </w:p>
    <w:p w14:paraId="4C2077E3">
      <w:r>
        <w:rPr>
          <w:rFonts w:ascii="黑体" w:hAnsi="黑体" w:eastAsia="黑体"/>
          <w:b/>
          <w:sz w:val="22"/>
        </w:rPr>
        <w:t>4. 地图标注筛选</w:t>
      </w:r>
    </w:p>
    <w:p w14:paraId="6C1D96B6">
      <w:pPr>
        <w:pStyle w:val="19"/>
      </w:pPr>
      <w:r>
        <w:rPr>
          <w:rFonts w:ascii="宋体" w:hAnsi="宋体" w:eastAsia="宋体"/>
          <w:b w:val="0"/>
          <w:sz w:val="22"/>
        </w:rPr>
        <w:t>按设备状态、安装场所（交通枢纽/学校/医疗机构/养老机构/政府机关/商超/社区/公园/宾馆/公司）、所属区域在地图标注展示。</w:t>
      </w:r>
    </w:p>
    <w:p w14:paraId="43F0D86D">
      <w:r>
        <w:rPr>
          <w:rFonts w:ascii="黑体" w:hAnsi="黑体" w:eastAsia="黑体"/>
          <w:b/>
          <w:sz w:val="22"/>
        </w:rPr>
        <w:t>5. AED分布地图</w:t>
      </w:r>
    </w:p>
    <w:p w14:paraId="7C37A9B2">
      <w:pPr>
        <w:pStyle w:val="19"/>
      </w:pPr>
      <w:r>
        <w:rPr>
          <w:rFonts w:ascii="宋体" w:hAnsi="宋体" w:eastAsia="宋体"/>
          <w:b w:val="0"/>
          <w:sz w:val="22"/>
        </w:rPr>
        <w:t>聚合图与按状态着色（绿正常/蓝偏移/黄掉线/红故障）的分布图。</w:t>
      </w:r>
    </w:p>
    <w:p w14:paraId="294EDE56">
      <w:r>
        <w:rPr>
          <w:rFonts w:ascii="黑体" w:hAnsi="黑体" w:eastAsia="黑体"/>
          <w:b/>
          <w:sz w:val="22"/>
        </w:rPr>
        <w:t>6. AED救治信息</w:t>
      </w:r>
    </w:p>
    <w:p w14:paraId="3D317E3A">
      <w:pPr>
        <w:pStyle w:val="19"/>
      </w:pPr>
      <w:r>
        <w:rPr>
          <w:rFonts w:ascii="宋体" w:hAnsi="宋体" w:eastAsia="宋体"/>
          <w:b w:val="0"/>
          <w:sz w:val="22"/>
        </w:rPr>
        <w:t>按安放场所类型、安装位置、起止时间查询救治流水。</w:t>
      </w:r>
    </w:p>
    <w:p w14:paraId="2B9F9162">
      <w:r>
        <w:rPr>
          <w:rFonts w:ascii="黑体" w:hAnsi="黑体" w:eastAsia="黑体"/>
          <w:b/>
          <w:sz w:val="22"/>
        </w:rPr>
        <w:t>7. 统计图表展示</w:t>
      </w:r>
    </w:p>
    <w:p w14:paraId="329F6249">
      <w:pPr>
        <w:pStyle w:val="19"/>
      </w:pPr>
      <w:r>
        <w:rPr>
          <w:rFonts w:ascii="宋体" w:hAnsi="宋体" w:eastAsia="宋体"/>
          <w:b w:val="0"/>
          <w:sz w:val="22"/>
        </w:rPr>
        <w:t>设备状态/分布/区域柱状图；救治次数（急救/放电）、救治时间（急救总时长/CPR时长）折线图，支持近10天/6个月/1年/3年周期查询。</w:t>
      </w:r>
    </w:p>
    <w:p w14:paraId="49B82DC1">
      <w:r>
        <w:rPr>
          <w:rFonts w:ascii="黑体" w:hAnsi="黑体" w:eastAsia="黑体"/>
          <w:b/>
          <w:sz w:val="26"/>
        </w:rPr>
        <w:t>三、信创适配</w:t>
      </w:r>
    </w:p>
    <w:p w14:paraId="3DCF0193">
      <w:r>
        <w:rPr>
          <w:rFonts w:ascii="宋体" w:hAnsi="宋体" w:eastAsia="宋体"/>
          <w:b w:val="0"/>
          <w:sz w:val="22"/>
        </w:rPr>
        <w:t>系统需完成国产化适配改造，满足信创要求，主要范围包括：</w:t>
      </w:r>
    </w:p>
    <w:p w14:paraId="76AD623D">
      <w:r>
        <w:rPr>
          <w:rFonts w:ascii="黑体" w:hAnsi="黑体" w:eastAsia="黑体"/>
          <w:b/>
          <w:sz w:val="22"/>
        </w:rPr>
        <w:t>1. 应用系统改造</w:t>
      </w:r>
    </w:p>
    <w:p w14:paraId="2A72EA31">
      <w:pPr>
        <w:pStyle w:val="19"/>
      </w:pPr>
      <w:r>
        <w:rPr>
          <w:rFonts w:ascii="宋体" w:hAnsi="宋体" w:eastAsia="宋体"/>
          <w:b w:val="0"/>
          <w:sz w:val="22"/>
        </w:rPr>
        <w:t>浏览器适配改造：兼容性分析、页面布局与样式、图形渲染、插件支持（OFD在线阅览/Flash流程控件/上传下载）、交互界面、网络通信。</w:t>
      </w:r>
    </w:p>
    <w:p w14:paraId="100CDD2A">
      <w:pPr>
        <w:pStyle w:val="19"/>
      </w:pPr>
      <w:r>
        <w:rPr>
          <w:rFonts w:ascii="宋体" w:hAnsi="宋体" w:eastAsia="宋体"/>
          <w:b w:val="0"/>
          <w:sz w:val="22"/>
        </w:rPr>
        <w:t>操作系统适配改造：国产数据库/中间件/JDK/平台系统的安装部署与测试。</w:t>
      </w:r>
    </w:p>
    <w:p w14:paraId="1807DD1E">
      <w:pPr>
        <w:pStyle w:val="19"/>
      </w:pPr>
      <w:r>
        <w:rPr>
          <w:rFonts w:ascii="宋体" w:hAnsi="宋体" w:eastAsia="宋体"/>
          <w:b w:val="0"/>
          <w:sz w:val="22"/>
        </w:rPr>
        <w:t>全面适配测试：模块测试、功能测试、性能测试。</w:t>
      </w:r>
    </w:p>
    <w:p w14:paraId="18F0D223">
      <w:r>
        <w:rPr>
          <w:rFonts w:ascii="黑体" w:hAnsi="黑体" w:eastAsia="黑体"/>
          <w:b/>
          <w:sz w:val="22"/>
        </w:rPr>
        <w:t>2. 数据库适配</w:t>
      </w:r>
    </w:p>
    <w:p w14:paraId="5479A54D">
      <w:pPr>
        <w:pStyle w:val="19"/>
      </w:pPr>
      <w:r>
        <w:rPr>
          <w:rFonts w:ascii="宋体" w:hAnsi="宋体" w:eastAsia="宋体"/>
          <w:b w:val="0"/>
          <w:sz w:val="22"/>
        </w:rPr>
        <w:t>国产数据库（如人大金仓）驱动、字符集设定、数据转换、存储过程、字段类型、触发器适配。</w:t>
      </w:r>
    </w:p>
    <w:p w14:paraId="444CC36E">
      <w:r>
        <w:rPr>
          <w:rFonts w:ascii="宋体" w:hAnsi="宋体" w:eastAsia="宋体"/>
          <w:b w:val="0"/>
          <w:sz w:val="20"/>
        </w:rPr>
        <w:t>注：具体适配页面数量、表单数量、SQL语句数量等实施工作量指标，由采购人另行说明。</w:t>
      </w:r>
    </w:p>
    <w:p w14:paraId="5E6309C8">
      <w:r>
        <w:rPr>
          <w:rFonts w:ascii="黑体" w:hAnsi="黑体" w:eastAsia="黑体"/>
          <w:b/>
          <w:sz w:val="26"/>
        </w:rPr>
        <w:t>四、容灾备份与高可用（双活）改造</w:t>
      </w:r>
    </w:p>
    <w:p w14:paraId="3AFA05E2">
      <w:r>
        <w:rPr>
          <w:rFonts w:ascii="宋体" w:hAnsi="宋体" w:eastAsia="宋体"/>
          <w:b w:val="0"/>
          <w:sz w:val="22"/>
        </w:rPr>
        <w:t>系统需具备高可用与异地容灾能力，保障120急救业务连续性，各核心组件均需支持双活部署，实现单点故障无缝切换、负载均衡与业务不中断。主要改造范围：</w:t>
      </w:r>
    </w:p>
    <w:p w14:paraId="4AA6A128">
      <w:r>
        <w:rPr>
          <w:rFonts w:ascii="黑体" w:hAnsi="黑体" w:eastAsia="黑体"/>
          <w:b/>
          <w:sz w:val="22"/>
        </w:rPr>
        <w:t>1. 数据库模块</w:t>
      </w:r>
    </w:p>
    <w:p w14:paraId="576A36B1">
      <w:pPr>
        <w:pStyle w:val="19"/>
      </w:pPr>
      <w:r>
        <w:rPr>
          <w:rFonts w:ascii="宋体" w:hAnsi="宋体" w:eastAsia="宋体"/>
          <w:b w:val="0"/>
          <w:sz w:val="22"/>
        </w:rPr>
        <w:t>双活+异地容灾部署，数据实时同步（主备互备、异地互备），状态监控，故障自动/手动切换；人员组织机构权限库、急救资源库、急救调度库、病历库、地图库、告知库等实时同步。</w:t>
      </w:r>
    </w:p>
    <w:p w14:paraId="0F30C809">
      <w:r>
        <w:rPr>
          <w:rFonts w:ascii="黑体" w:hAnsi="黑体" w:eastAsia="黑体"/>
          <w:b/>
          <w:sz w:val="22"/>
        </w:rPr>
        <w:t>2. 应用服务程序</w:t>
      </w:r>
    </w:p>
    <w:p w14:paraId="489E008D">
      <w:pPr>
        <w:pStyle w:val="19"/>
      </w:pPr>
      <w:r>
        <w:rPr>
          <w:rFonts w:ascii="宋体" w:hAnsi="宋体" w:eastAsia="宋体"/>
          <w:b w:val="0"/>
          <w:sz w:val="22"/>
        </w:rPr>
        <w:t>基于中间件的WebService服务；业务接口/数据同步/字典数据/基础数据/运行数据/连接/内部通信/负载均衡/缓存同步/授权认证/安全认证/日志/数据接口等双活设计；HTTPS加密传输。</w:t>
      </w:r>
    </w:p>
    <w:p w14:paraId="23B3D89C">
      <w:r>
        <w:rPr>
          <w:rFonts w:ascii="黑体" w:hAnsi="黑体" w:eastAsia="黑体"/>
          <w:b/>
          <w:sz w:val="22"/>
        </w:rPr>
        <w:t>3. 受理调度台</w:t>
      </w:r>
    </w:p>
    <w:p w14:paraId="19A6346F">
      <w:pPr>
        <w:pStyle w:val="19"/>
      </w:pPr>
      <w:r>
        <w:rPr>
          <w:rFonts w:ascii="宋体" w:hAnsi="宋体" w:eastAsia="宋体"/>
          <w:b w:val="0"/>
          <w:sz w:val="22"/>
        </w:rPr>
        <w:t>由UDP通讯改为TCP多通道双活通讯；登录双服务检测，派车/事件/受理/车辆刷新/内部通信/通知/短信/各业务模块双活改造，UI双活警告提醒。</w:t>
      </w:r>
    </w:p>
    <w:p w14:paraId="1DE10728">
      <w:r>
        <w:rPr>
          <w:rFonts w:ascii="黑体" w:hAnsi="黑体" w:eastAsia="黑体"/>
          <w:b/>
          <w:sz w:val="22"/>
        </w:rPr>
        <w:t>4. 消息服务程序</w:t>
      </w:r>
    </w:p>
    <w:p w14:paraId="04AFAD7B">
      <w:pPr>
        <w:pStyle w:val="19"/>
      </w:pPr>
      <w:r>
        <w:rPr>
          <w:rFonts w:ascii="宋体" w:hAnsi="宋体" w:eastAsia="宋体"/>
          <w:b w:val="0"/>
          <w:sz w:val="22"/>
        </w:rPr>
        <w:t>双活部署互订阅保活、消息同步中转；基础通信、JSON协议加密、中转服务、REST接口、断线重连、点对点与广播模式。</w:t>
      </w:r>
    </w:p>
    <w:p w14:paraId="610603C6">
      <w:r>
        <w:rPr>
          <w:rFonts w:ascii="黑体" w:hAnsi="黑体" w:eastAsia="黑体"/>
          <w:b/>
          <w:sz w:val="22"/>
        </w:rPr>
        <w:t>5. 车载程序</w:t>
      </w:r>
    </w:p>
    <w:p w14:paraId="7239C44B">
      <w:pPr>
        <w:pStyle w:val="19"/>
      </w:pPr>
      <w:r>
        <w:rPr>
          <w:rFonts w:ascii="宋体" w:hAnsi="宋体" w:eastAsia="宋体"/>
          <w:b w:val="0"/>
          <w:sz w:val="22"/>
        </w:rPr>
        <w:t>车载终端集成接收任务、状态监控、定位上传与人员考勤等功能；支持通讯服务故障自动切换，自动连接/切换IP端口、录音上传/升级/日志/导航/基础数据等地址。</w:t>
      </w:r>
    </w:p>
    <w:p w14:paraId="22B40DD4">
      <w:r>
        <w:rPr>
          <w:rFonts w:ascii="黑体" w:hAnsi="黑体" w:eastAsia="黑体"/>
          <w:b/>
          <w:sz w:val="22"/>
        </w:rPr>
        <w:t>6. 通信服务</w:t>
      </w:r>
    </w:p>
    <w:p w14:paraId="14C0C075">
      <w:pPr>
        <w:pStyle w:val="19"/>
      </w:pPr>
      <w:r>
        <w:rPr>
          <w:rFonts w:ascii="宋体" w:hAnsi="宋体" w:eastAsia="宋体"/>
          <w:b w:val="0"/>
          <w:sz w:val="22"/>
        </w:rPr>
        <w:t>TCP内部通讯，双活部署心跳保活，终端在通讯服务故障时自动切换；负载均衡、车载管理/接入、短信模块等双活改造。</w:t>
      </w:r>
    </w:p>
    <w:p w14:paraId="4F073FBD">
      <w:r>
        <w:rPr>
          <w:rFonts w:ascii="黑体" w:hAnsi="黑体" w:eastAsia="黑体"/>
          <w:b/>
          <w:sz w:val="22"/>
        </w:rPr>
        <w:t>7. CTI对接程序</w:t>
      </w:r>
    </w:p>
    <w:p w14:paraId="5823635D">
      <w:pPr>
        <w:pStyle w:val="19"/>
      </w:pPr>
      <w:r>
        <w:rPr>
          <w:rFonts w:ascii="宋体" w:hAnsi="宋体" w:eastAsia="宋体"/>
          <w:b w:val="0"/>
          <w:sz w:val="22"/>
        </w:rPr>
        <w:t>双中心互为备份、平滑切换；座席中继切换、CTI功能（话机控制/座席状态/恶意屏蔽/ACD排队/接口/数据同步）双活改造。</w:t>
      </w:r>
      <w:bookmarkStart w:id="0" w:name="_GoBack"/>
      <w:bookmarkEnd w:id="0"/>
    </w:p>
    <w:p w14:paraId="7FC0E86C">
      <w:r>
        <w:rPr>
          <w:rFonts w:ascii="黑体" w:hAnsi="黑体" w:eastAsia="黑体"/>
          <w:b/>
          <w:sz w:val="22"/>
        </w:rPr>
        <w:t>8. 程控交换机</w:t>
      </w:r>
    </w:p>
    <w:p w14:paraId="555DC84C">
      <w:pPr>
        <w:pStyle w:val="19"/>
      </w:pPr>
      <w:r>
        <w:rPr>
          <w:rFonts w:ascii="宋体" w:hAnsi="宋体" w:eastAsia="宋体"/>
          <w:b w:val="0"/>
          <w:sz w:val="22"/>
        </w:rPr>
        <w:t>多台数字程控交换机部署、双机热备，保障120语音接入高可用。</w:t>
      </w:r>
    </w:p>
    <w:tbl>
      <w:tblPr>
        <w:tblStyle w:val="35"/>
        <w:tblW w:w="4998" w:type="pct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3253"/>
        <w:gridCol w:w="2214"/>
        <w:gridCol w:w="2214"/>
      </w:tblGrid>
      <w:tr w14:paraId="257320C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662" w:type="pct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01151FB1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序号</w:t>
            </w:r>
          </w:p>
        </w:tc>
        <w:tc>
          <w:tcPr>
            <w:tcW w:w="1837" w:type="pct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5A0E574A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设备名称</w:t>
            </w:r>
          </w:p>
        </w:tc>
        <w:tc>
          <w:tcPr>
            <w:tcW w:w="1250" w:type="pct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4A3C04C2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单位</w:t>
            </w:r>
          </w:p>
        </w:tc>
        <w:tc>
          <w:tcPr>
            <w:tcW w:w="1250" w:type="pct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51422503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数量</w:t>
            </w:r>
          </w:p>
        </w:tc>
      </w:tr>
      <w:tr w14:paraId="0280183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662" w:type="pct"/>
            <w:tcBorders>
              <w:tl2br w:val="nil"/>
              <w:tr2bl w:val="nil"/>
            </w:tcBorders>
            <w:vAlign w:val="center"/>
          </w:tcPr>
          <w:p w14:paraId="029A720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837" w:type="pct"/>
            <w:tcBorders>
              <w:tl2br w:val="nil"/>
              <w:tr2bl w:val="nil"/>
            </w:tcBorders>
            <w:vAlign w:val="center"/>
          </w:tcPr>
          <w:p w14:paraId="55F2E62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核心网络交换机</w:t>
            </w:r>
          </w:p>
        </w:tc>
        <w:tc>
          <w:tcPr>
            <w:tcW w:w="1250" w:type="pct"/>
            <w:tcBorders>
              <w:tl2br w:val="nil"/>
              <w:tr2bl w:val="nil"/>
            </w:tcBorders>
            <w:vAlign w:val="center"/>
          </w:tcPr>
          <w:p w14:paraId="4E7B228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台</w:t>
            </w:r>
          </w:p>
        </w:tc>
        <w:tc>
          <w:tcPr>
            <w:tcW w:w="1250" w:type="pct"/>
            <w:tcBorders>
              <w:tl2br w:val="nil"/>
              <w:tr2bl w:val="nil"/>
            </w:tcBorders>
            <w:vAlign w:val="center"/>
          </w:tcPr>
          <w:p w14:paraId="6BD1D2C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</w:tr>
      <w:tr w14:paraId="10B43C4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662" w:type="pct"/>
            <w:tcBorders>
              <w:tl2br w:val="nil"/>
              <w:tr2bl w:val="nil"/>
            </w:tcBorders>
            <w:vAlign w:val="center"/>
          </w:tcPr>
          <w:p w14:paraId="7785F7A5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1837" w:type="pct"/>
            <w:tcBorders>
              <w:tl2br w:val="nil"/>
              <w:tr2bl w:val="nil"/>
            </w:tcBorders>
            <w:vAlign w:val="center"/>
          </w:tcPr>
          <w:p w14:paraId="1C101B3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数字程控交换机</w:t>
            </w:r>
          </w:p>
        </w:tc>
        <w:tc>
          <w:tcPr>
            <w:tcW w:w="1250" w:type="pct"/>
            <w:tcBorders>
              <w:tl2br w:val="nil"/>
              <w:tr2bl w:val="nil"/>
            </w:tcBorders>
            <w:vAlign w:val="center"/>
          </w:tcPr>
          <w:p w14:paraId="6DB2B59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台</w:t>
            </w:r>
          </w:p>
        </w:tc>
        <w:tc>
          <w:tcPr>
            <w:tcW w:w="1250" w:type="pct"/>
            <w:tcBorders>
              <w:tl2br w:val="nil"/>
              <w:tr2bl w:val="nil"/>
            </w:tcBorders>
            <w:vAlign w:val="center"/>
          </w:tcPr>
          <w:p w14:paraId="578256A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</w:tr>
      <w:tr w14:paraId="0DEEA00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662" w:type="pct"/>
            <w:tcBorders>
              <w:tl2br w:val="nil"/>
              <w:tr2bl w:val="nil"/>
            </w:tcBorders>
            <w:vAlign w:val="center"/>
          </w:tcPr>
          <w:p w14:paraId="3670405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837" w:type="pct"/>
            <w:tcBorders>
              <w:tl2br w:val="nil"/>
              <w:tr2bl w:val="nil"/>
            </w:tcBorders>
            <w:vAlign w:val="center"/>
          </w:tcPr>
          <w:p w14:paraId="5C4EF35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数字话机</w:t>
            </w:r>
          </w:p>
        </w:tc>
        <w:tc>
          <w:tcPr>
            <w:tcW w:w="1250" w:type="pct"/>
            <w:tcBorders>
              <w:tl2br w:val="nil"/>
              <w:tr2bl w:val="nil"/>
            </w:tcBorders>
            <w:vAlign w:val="center"/>
          </w:tcPr>
          <w:p w14:paraId="606E0ED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台</w:t>
            </w:r>
          </w:p>
        </w:tc>
        <w:tc>
          <w:tcPr>
            <w:tcW w:w="1250" w:type="pct"/>
            <w:tcBorders>
              <w:tl2br w:val="nil"/>
              <w:tr2bl w:val="nil"/>
            </w:tcBorders>
            <w:vAlign w:val="center"/>
          </w:tcPr>
          <w:p w14:paraId="5051D3B5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</w:t>
            </w:r>
          </w:p>
        </w:tc>
      </w:tr>
    </w:tbl>
    <w:p w14:paraId="4A2E4CEB">
      <w:r>
        <w:rPr>
          <w:rFonts w:ascii="黑体" w:hAnsi="黑体" w:eastAsia="黑体"/>
          <w:b/>
          <w:sz w:val="26"/>
        </w:rPr>
        <w:t>五、120调度中心配套硬件</w:t>
      </w:r>
    </w:p>
    <w:p w14:paraId="13255175">
      <w:r>
        <w:rPr>
          <w:rFonts w:ascii="宋体" w:hAnsi="宋体" w:eastAsia="宋体"/>
          <w:b w:val="0"/>
          <w:sz w:val="22"/>
        </w:rPr>
        <w:t>为满足调度接警与系统运行需要，配套硬件主要包括：</w:t>
      </w:r>
    </w:p>
    <w:p w14:paraId="751AC5B5">
      <w:pPr>
        <w:pStyle w:val="19"/>
      </w:pPr>
      <w:r>
        <w:rPr>
          <w:rFonts w:ascii="宋体" w:hAnsi="宋体" w:eastAsia="宋体"/>
          <w:b w:val="0"/>
          <w:sz w:val="22"/>
        </w:rPr>
        <w:t>数字程控交换机及数字话机：支撑120语音接入与双机热备。</w:t>
      </w:r>
    </w:p>
    <w:p w14:paraId="3D4FDA6C">
      <w:pPr>
        <w:pStyle w:val="19"/>
      </w:pPr>
      <w:r>
        <w:rPr>
          <w:rFonts w:ascii="宋体" w:hAnsi="宋体" w:eastAsia="宋体"/>
          <w:b w:val="0"/>
          <w:sz w:val="22"/>
        </w:rPr>
        <w:t>核心网络交换机：支撑系统组网与高可用部署。</w:t>
      </w:r>
    </w:p>
    <w:p w14:paraId="7789304F">
      <w:pPr>
        <w:pStyle w:val="19"/>
        <w:rPr>
          <w:rFonts w:ascii="宋体" w:hAnsi="宋体" w:eastAsia="宋体"/>
          <w:b w:val="0"/>
          <w:sz w:val="20"/>
        </w:rPr>
      </w:pPr>
      <w:r>
        <w:rPr>
          <w:rFonts w:ascii="宋体" w:hAnsi="宋体" w:eastAsia="宋体"/>
          <w:b w:val="0"/>
          <w:sz w:val="22"/>
        </w:rPr>
        <w:t>120调度室配套终端：音视频交互终端、操作台显示终端、音响、接警耳机等，按调度座席数量配置，用于接警处理及录音听取。</w:t>
      </w:r>
    </w:p>
    <w:tbl>
      <w:tblPr>
        <w:tblStyle w:val="35"/>
        <w:tblW w:w="4998" w:type="pct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3253"/>
        <w:gridCol w:w="2214"/>
        <w:gridCol w:w="2214"/>
      </w:tblGrid>
      <w:tr w14:paraId="72E490F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662" w:type="pct"/>
            <w:tcBorders>
              <w:tl2br w:val="nil"/>
              <w:tr2bl w:val="nil"/>
            </w:tcBorders>
            <w:shd w:val="clear" w:color="auto" w:fill="BFBFBF"/>
          </w:tcPr>
          <w:p w14:paraId="70B0DBB8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序号</w:t>
            </w:r>
          </w:p>
        </w:tc>
        <w:tc>
          <w:tcPr>
            <w:tcW w:w="1837" w:type="pct"/>
            <w:tcBorders>
              <w:tl2br w:val="nil"/>
              <w:tr2bl w:val="nil"/>
            </w:tcBorders>
            <w:shd w:val="clear" w:color="auto" w:fill="BFBFBF"/>
          </w:tcPr>
          <w:p w14:paraId="01FA4849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设备名称</w:t>
            </w:r>
          </w:p>
        </w:tc>
        <w:tc>
          <w:tcPr>
            <w:tcW w:w="1250" w:type="pct"/>
            <w:tcBorders>
              <w:tl2br w:val="nil"/>
              <w:tr2bl w:val="nil"/>
            </w:tcBorders>
            <w:shd w:val="clear" w:color="auto" w:fill="BFBFBF"/>
          </w:tcPr>
          <w:p w14:paraId="234A1291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单位</w:t>
            </w:r>
          </w:p>
        </w:tc>
        <w:tc>
          <w:tcPr>
            <w:tcW w:w="1250" w:type="pct"/>
            <w:tcBorders>
              <w:tl2br w:val="nil"/>
              <w:tr2bl w:val="nil"/>
            </w:tcBorders>
            <w:shd w:val="clear" w:color="auto" w:fill="BFBFBF"/>
          </w:tcPr>
          <w:p w14:paraId="55B8D3C6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数量</w:t>
            </w:r>
          </w:p>
        </w:tc>
      </w:tr>
      <w:tr w14:paraId="656E27C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662" w:type="pct"/>
            <w:tcBorders>
              <w:tl2br w:val="nil"/>
              <w:tr2bl w:val="nil"/>
            </w:tcBorders>
          </w:tcPr>
          <w:p w14:paraId="28C402D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837" w:type="pct"/>
            <w:tcBorders>
              <w:tl2br w:val="nil"/>
              <w:tr2bl w:val="nil"/>
            </w:tcBorders>
            <w:vAlign w:val="center"/>
          </w:tcPr>
          <w:p w14:paraId="35C177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/>
              </w:rPr>
              <w:t>音视频交互终端</w:t>
            </w:r>
          </w:p>
        </w:tc>
        <w:tc>
          <w:tcPr>
            <w:tcW w:w="1250" w:type="pct"/>
            <w:tcBorders>
              <w:tl2br w:val="nil"/>
              <w:tr2bl w:val="nil"/>
            </w:tcBorders>
          </w:tcPr>
          <w:p w14:paraId="65DD1B1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台</w:t>
            </w:r>
          </w:p>
        </w:tc>
        <w:tc>
          <w:tcPr>
            <w:tcW w:w="1250" w:type="pct"/>
            <w:tcBorders>
              <w:tl2br w:val="nil"/>
              <w:tr2bl w:val="nil"/>
            </w:tcBorders>
            <w:vAlign w:val="center"/>
          </w:tcPr>
          <w:p w14:paraId="385032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14</w:t>
            </w:r>
          </w:p>
        </w:tc>
      </w:tr>
      <w:tr w14:paraId="7D43158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662" w:type="pct"/>
            <w:tcBorders>
              <w:tl2br w:val="nil"/>
              <w:tr2bl w:val="nil"/>
            </w:tcBorders>
          </w:tcPr>
          <w:p w14:paraId="7912383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1837" w:type="pct"/>
            <w:tcBorders>
              <w:tl2br w:val="nil"/>
              <w:tr2bl w:val="nil"/>
            </w:tcBorders>
            <w:vAlign w:val="center"/>
          </w:tcPr>
          <w:p w14:paraId="4DEED8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操作台显示终端</w:t>
            </w:r>
          </w:p>
        </w:tc>
        <w:tc>
          <w:tcPr>
            <w:tcW w:w="1250" w:type="pct"/>
            <w:tcBorders>
              <w:tl2br w:val="nil"/>
              <w:tr2bl w:val="nil"/>
            </w:tcBorders>
          </w:tcPr>
          <w:p w14:paraId="515F3AA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台</w:t>
            </w:r>
          </w:p>
        </w:tc>
        <w:tc>
          <w:tcPr>
            <w:tcW w:w="1250" w:type="pct"/>
            <w:tcBorders>
              <w:tl2br w:val="nil"/>
              <w:tr2bl w:val="nil"/>
            </w:tcBorders>
            <w:vAlign w:val="center"/>
          </w:tcPr>
          <w:p w14:paraId="416D7A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14</w:t>
            </w:r>
          </w:p>
        </w:tc>
      </w:tr>
      <w:tr w14:paraId="4ED01AA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662" w:type="pct"/>
            <w:tcBorders>
              <w:tl2br w:val="nil"/>
              <w:tr2bl w:val="nil"/>
            </w:tcBorders>
          </w:tcPr>
          <w:p w14:paraId="247A7BE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837" w:type="pct"/>
            <w:tcBorders>
              <w:tl2br w:val="nil"/>
              <w:tr2bl w:val="nil"/>
            </w:tcBorders>
            <w:vAlign w:val="center"/>
          </w:tcPr>
          <w:p w14:paraId="399D4F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音响</w:t>
            </w:r>
          </w:p>
        </w:tc>
        <w:tc>
          <w:tcPr>
            <w:tcW w:w="1250" w:type="pct"/>
            <w:tcBorders>
              <w:tl2br w:val="nil"/>
              <w:tr2bl w:val="nil"/>
            </w:tcBorders>
          </w:tcPr>
          <w:p w14:paraId="55A0E0D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台</w:t>
            </w:r>
          </w:p>
        </w:tc>
        <w:tc>
          <w:tcPr>
            <w:tcW w:w="1250" w:type="pct"/>
            <w:tcBorders>
              <w:tl2br w:val="nil"/>
              <w:tr2bl w:val="nil"/>
            </w:tcBorders>
            <w:vAlign w:val="center"/>
          </w:tcPr>
          <w:p w14:paraId="4C7999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14</w:t>
            </w:r>
          </w:p>
        </w:tc>
      </w:tr>
      <w:tr w14:paraId="1F4D27F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662" w:type="pct"/>
            <w:tcBorders>
              <w:tl2br w:val="nil"/>
              <w:tr2bl w:val="nil"/>
            </w:tcBorders>
          </w:tcPr>
          <w:p w14:paraId="0B9FA9C5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1837" w:type="pct"/>
            <w:tcBorders>
              <w:tl2br w:val="nil"/>
              <w:tr2bl w:val="nil"/>
            </w:tcBorders>
            <w:vAlign w:val="center"/>
          </w:tcPr>
          <w:p w14:paraId="6EAA5C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接警耳机</w:t>
            </w:r>
          </w:p>
        </w:tc>
        <w:tc>
          <w:tcPr>
            <w:tcW w:w="1250" w:type="pct"/>
            <w:tcBorders>
              <w:tl2br w:val="nil"/>
              <w:tr2bl w:val="nil"/>
            </w:tcBorders>
          </w:tcPr>
          <w:p w14:paraId="0A452B0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套</w:t>
            </w:r>
          </w:p>
        </w:tc>
        <w:tc>
          <w:tcPr>
            <w:tcW w:w="1250" w:type="pct"/>
            <w:tcBorders>
              <w:tl2br w:val="nil"/>
              <w:tr2bl w:val="nil"/>
            </w:tcBorders>
            <w:vAlign w:val="center"/>
          </w:tcPr>
          <w:p w14:paraId="65C8E2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20</w:t>
            </w:r>
          </w:p>
        </w:tc>
      </w:tr>
    </w:tbl>
    <w:p w14:paraId="5ABE9DE8"/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2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6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21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5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36664893"/>
    <w:rsid w:val="792C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200" w:line="276" w:lineRule="auto"/>
    </w:pPr>
    <w:rPr>
      <w:rFonts w:ascii="宋体" w:hAnsi="宋体" w:eastAsia="宋体" w:cstheme="minorBidi"/>
      <w:sz w:val="22"/>
      <w:szCs w:val="22"/>
      <w:lang w:val="en-US" w:eastAsia="en-US" w:bidi="ar-SA"/>
    </w:rPr>
  </w:style>
  <w:style w:type="paragraph" w:styleId="6">
    <w:name w:val="heading 1"/>
    <w:basedOn w:val="1"/>
    <w:next w:val="1"/>
    <w:link w:val="140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7">
    <w:name w:val="heading 2"/>
    <w:basedOn w:val="1"/>
    <w:next w:val="1"/>
    <w:link w:val="141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8">
    <w:name w:val="heading 3"/>
    <w:basedOn w:val="1"/>
    <w:next w:val="1"/>
    <w:link w:val="142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9">
    <w:name w:val="heading 4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10">
    <w:name w:val="heading 5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11">
    <w:name w:val="heading 6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12">
    <w:name w:val="heading 7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3">
    <w:name w:val="heading 8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4">
    <w:name w:val="heading 9"/>
    <w:basedOn w:val="1"/>
    <w:next w:val="1"/>
    <w:link w:val="157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4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146"/>
    <w:unhideWhenUsed/>
    <w:qFormat/>
    <w:uiPriority w:val="99"/>
    <w:pPr>
      <w:spacing w:after="120"/>
    </w:pPr>
  </w:style>
  <w:style w:type="paragraph" w:styleId="3">
    <w:name w:val="Body Text First Indent 2"/>
    <w:basedOn w:val="4"/>
    <w:qFormat/>
    <w:uiPriority w:val="0"/>
    <w:pPr>
      <w:spacing w:after="120"/>
      <w:ind w:left="420" w:leftChars="200" w:firstLine="420" w:firstLineChars="200"/>
    </w:pPr>
    <w:rPr>
      <w:sz w:val="21"/>
    </w:rPr>
  </w:style>
  <w:style w:type="paragraph" w:styleId="4">
    <w:name w:val="Body Text Indent"/>
    <w:basedOn w:val="1"/>
    <w:qFormat/>
    <w:uiPriority w:val="0"/>
    <w:pPr>
      <w:ind w:firstLine="645"/>
    </w:pPr>
    <w:rPr>
      <w:rFonts w:ascii="Arial" w:hAnsi="Arial" w:eastAsia="仿宋_GB2312"/>
      <w:sz w:val="28"/>
    </w:rPr>
  </w:style>
  <w:style w:type="paragraph" w:styleId="5">
    <w:name w:val="macro"/>
    <w:link w:val="149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5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6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7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8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9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20">
    <w:name w:val="Body Text 3"/>
    <w:basedOn w:val="1"/>
    <w:link w:val="148"/>
    <w:unhideWhenUsed/>
    <w:qFormat/>
    <w:uiPriority w:val="99"/>
    <w:pPr>
      <w:spacing w:after="120"/>
    </w:pPr>
    <w:rPr>
      <w:sz w:val="16"/>
      <w:szCs w:val="16"/>
    </w:rPr>
  </w:style>
  <w:style w:type="paragraph" w:styleId="21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22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3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4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5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6">
    <w:name w:val="footer"/>
    <w:basedOn w:val="1"/>
    <w:link w:val="13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7">
    <w:name w:val="header"/>
    <w:basedOn w:val="1"/>
    <w:link w:val="1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8">
    <w:name w:val="Subtitle"/>
    <w:basedOn w:val="1"/>
    <w:next w:val="1"/>
    <w:link w:val="14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9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30">
    <w:name w:val="Body Text 2"/>
    <w:basedOn w:val="1"/>
    <w:link w:val="147"/>
    <w:unhideWhenUsed/>
    <w:qFormat/>
    <w:uiPriority w:val="99"/>
    <w:pPr>
      <w:spacing w:after="120" w:line="480" w:lineRule="auto"/>
    </w:pPr>
  </w:style>
  <w:style w:type="paragraph" w:styleId="31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2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3">
    <w:name w:val="Title"/>
    <w:basedOn w:val="1"/>
    <w:next w:val="1"/>
    <w:link w:val="143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5">
    <w:name w:val="Table Grid"/>
    <w:basedOn w:val="3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6">
    <w:name w:val="Light Shading"/>
    <w:basedOn w:val="34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7">
    <w:name w:val="Light Shading Accent 1"/>
    <w:basedOn w:val="34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8">
    <w:name w:val="Light Shading Accent 2"/>
    <w:basedOn w:val="34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9">
    <w:name w:val="Light Shading Accent 3"/>
    <w:basedOn w:val="34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40">
    <w:name w:val="Light Shading Accent 4"/>
    <w:basedOn w:val="34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1">
    <w:name w:val="Light Shading Accent 5"/>
    <w:basedOn w:val="34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2">
    <w:name w:val="Light Shading Accent 6"/>
    <w:basedOn w:val="34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3">
    <w:name w:val="Light List"/>
    <w:basedOn w:val="34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4">
    <w:name w:val="Light List Accent 1"/>
    <w:basedOn w:val="34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5">
    <w:name w:val="Light List Accent 2"/>
    <w:basedOn w:val="34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6">
    <w:name w:val="Light List Accent 3"/>
    <w:basedOn w:val="34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7">
    <w:name w:val="Light List Accent 4"/>
    <w:basedOn w:val="34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8">
    <w:name w:val="Light List Accent 5"/>
    <w:basedOn w:val="34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9">
    <w:name w:val="Light List Accent 6"/>
    <w:basedOn w:val="34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50">
    <w:name w:val="Light Grid"/>
    <w:basedOn w:val="34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1">
    <w:name w:val="Light Grid Accent 1"/>
    <w:basedOn w:val="34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2">
    <w:name w:val="Light Grid Accent 2"/>
    <w:basedOn w:val="34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3">
    <w:name w:val="Light Grid Accent 3"/>
    <w:basedOn w:val="34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4">
    <w:name w:val="Light Grid Accent 4"/>
    <w:basedOn w:val="34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5">
    <w:name w:val="Light Grid Accent 5"/>
    <w:basedOn w:val="34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6">
    <w:name w:val="Light Grid Accent 6"/>
    <w:basedOn w:val="34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7">
    <w:name w:val="Medium Shading 1"/>
    <w:basedOn w:val="34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1"/>
    <w:basedOn w:val="34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2"/>
    <w:basedOn w:val="34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3"/>
    <w:basedOn w:val="34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4"/>
    <w:basedOn w:val="34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5"/>
    <w:basedOn w:val="34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1 Accent 6"/>
    <w:basedOn w:val="34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4">
    <w:name w:val="Medium Shading 2"/>
    <w:basedOn w:val="34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1"/>
    <w:basedOn w:val="34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2"/>
    <w:basedOn w:val="34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3"/>
    <w:basedOn w:val="34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4"/>
    <w:basedOn w:val="34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5"/>
    <w:basedOn w:val="34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Shading 2 Accent 6"/>
    <w:basedOn w:val="34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1">
    <w:name w:val="Medium List 1"/>
    <w:basedOn w:val="34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2">
    <w:name w:val="Medium List 1 Accent 1"/>
    <w:basedOn w:val="34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3">
    <w:name w:val="Medium List 1 Accent 2"/>
    <w:basedOn w:val="34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4">
    <w:name w:val="Medium List 1 Accent 3"/>
    <w:basedOn w:val="34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5">
    <w:name w:val="Medium List 1 Accent 4"/>
    <w:basedOn w:val="34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6">
    <w:name w:val="Medium List 1 Accent 5"/>
    <w:basedOn w:val="34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7">
    <w:name w:val="Medium List 1 Accent 6"/>
    <w:basedOn w:val="34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8">
    <w:name w:val="Medium List 2"/>
    <w:basedOn w:val="34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1"/>
    <w:basedOn w:val="34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2"/>
    <w:basedOn w:val="34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3"/>
    <w:basedOn w:val="34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4"/>
    <w:basedOn w:val="34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5"/>
    <w:basedOn w:val="34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List 2 Accent 6"/>
    <w:basedOn w:val="34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5">
    <w:name w:val="Medium Grid 1"/>
    <w:basedOn w:val="34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6">
    <w:name w:val="Medium Grid 1 Accent 1"/>
    <w:basedOn w:val="34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7">
    <w:name w:val="Medium Grid 1 Accent 2"/>
    <w:basedOn w:val="34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8">
    <w:name w:val="Medium Grid 1 Accent 3"/>
    <w:basedOn w:val="34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9">
    <w:name w:val="Medium Grid 1 Accent 4"/>
    <w:basedOn w:val="34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90">
    <w:name w:val="Medium Grid 1 Accent 5"/>
    <w:basedOn w:val="34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1">
    <w:name w:val="Medium Grid 1 Accent 6"/>
    <w:basedOn w:val="34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2">
    <w:name w:val="Medium Grid 2"/>
    <w:basedOn w:val="34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1"/>
    <w:basedOn w:val="34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2"/>
    <w:basedOn w:val="34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3"/>
    <w:basedOn w:val="34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4"/>
    <w:basedOn w:val="34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5"/>
    <w:basedOn w:val="34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2 Accent 6"/>
    <w:basedOn w:val="34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9">
    <w:name w:val="Medium Grid 3"/>
    <w:basedOn w:val="34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00">
    <w:name w:val="Medium Grid 3 Accent 1"/>
    <w:basedOn w:val="34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1">
    <w:name w:val="Medium Grid 3 Accent 2"/>
    <w:basedOn w:val="34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2">
    <w:name w:val="Medium Grid 3 Accent 3"/>
    <w:basedOn w:val="34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3">
    <w:name w:val="Medium Grid 3 Accent 4"/>
    <w:basedOn w:val="34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4">
    <w:name w:val="Medium Grid 3 Accent 5"/>
    <w:basedOn w:val="34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5">
    <w:name w:val="Medium Grid 3 Accent 6"/>
    <w:basedOn w:val="34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6">
    <w:name w:val="Dark List"/>
    <w:basedOn w:val="34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7">
    <w:name w:val="Dark List Accent 1"/>
    <w:basedOn w:val="34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8">
    <w:name w:val="Dark List Accent 2"/>
    <w:basedOn w:val="34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9">
    <w:name w:val="Dark List Accent 3"/>
    <w:basedOn w:val="34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0">
    <w:name w:val="Dark List Accent 4"/>
    <w:basedOn w:val="34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1">
    <w:name w:val="Dark List Accent 5"/>
    <w:basedOn w:val="34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2">
    <w:name w:val="Dark List Accent 6"/>
    <w:basedOn w:val="34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3">
    <w:name w:val="Colorful Shading"/>
    <w:basedOn w:val="34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1"/>
    <w:basedOn w:val="34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2"/>
    <w:basedOn w:val="34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3"/>
    <w:basedOn w:val="34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7">
    <w:name w:val="Colorful Shading Accent 4"/>
    <w:basedOn w:val="34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5"/>
    <w:basedOn w:val="34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Shading Accent 6"/>
    <w:basedOn w:val="34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0">
    <w:name w:val="Colorful List"/>
    <w:basedOn w:val="34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1">
    <w:name w:val="Colorful List Accent 1"/>
    <w:basedOn w:val="34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2">
    <w:name w:val="Colorful List Accent 2"/>
    <w:basedOn w:val="34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3">
    <w:name w:val="Colorful List Accent 3"/>
    <w:basedOn w:val="34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4">
    <w:name w:val="Colorful List Accent 4"/>
    <w:basedOn w:val="34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5">
    <w:name w:val="Colorful List Accent 5"/>
    <w:basedOn w:val="34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6">
    <w:name w:val="Colorful List Accent 6"/>
    <w:basedOn w:val="34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7">
    <w:name w:val="Colorful Grid"/>
    <w:basedOn w:val="34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8">
    <w:name w:val="Colorful Grid Accent 1"/>
    <w:basedOn w:val="34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9">
    <w:name w:val="Colorful Grid Accent 2"/>
    <w:basedOn w:val="34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30">
    <w:name w:val="Colorful Grid Accent 3"/>
    <w:basedOn w:val="34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1">
    <w:name w:val="Colorful Grid Accent 4"/>
    <w:basedOn w:val="34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2">
    <w:name w:val="Colorful Grid Accent 5"/>
    <w:basedOn w:val="34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3">
    <w:name w:val="Colorful Grid Accent 6"/>
    <w:basedOn w:val="34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5">
    <w:name w:val="Strong"/>
    <w:basedOn w:val="134"/>
    <w:qFormat/>
    <w:uiPriority w:val="22"/>
    <w:rPr>
      <w:b/>
      <w:bCs/>
    </w:rPr>
  </w:style>
  <w:style w:type="character" w:styleId="136">
    <w:name w:val="Emphasis"/>
    <w:basedOn w:val="134"/>
    <w:qFormat/>
    <w:uiPriority w:val="20"/>
    <w:rPr>
      <w:i/>
      <w:iCs/>
    </w:rPr>
  </w:style>
  <w:style w:type="character" w:customStyle="1" w:styleId="137">
    <w:name w:val="Header Char"/>
    <w:basedOn w:val="134"/>
    <w:link w:val="27"/>
    <w:qFormat/>
    <w:uiPriority w:val="99"/>
  </w:style>
  <w:style w:type="character" w:customStyle="1" w:styleId="138">
    <w:name w:val="Footer Char"/>
    <w:basedOn w:val="134"/>
    <w:link w:val="26"/>
    <w:qFormat/>
    <w:uiPriority w:val="99"/>
  </w:style>
  <w:style w:type="paragraph" w:styleId="139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40">
    <w:name w:val="Heading 1 Char"/>
    <w:basedOn w:val="134"/>
    <w:link w:val="6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1">
    <w:name w:val="Heading 2 Char"/>
    <w:basedOn w:val="134"/>
    <w:link w:val="7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2">
    <w:name w:val="Heading 3 Char"/>
    <w:basedOn w:val="134"/>
    <w:link w:val="8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3">
    <w:name w:val="Title Char"/>
    <w:basedOn w:val="134"/>
    <w:link w:val="33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4">
    <w:name w:val="Subtitle Char"/>
    <w:basedOn w:val="134"/>
    <w:link w:val="28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5">
    <w:name w:val="List Paragraph"/>
    <w:basedOn w:val="1"/>
    <w:qFormat/>
    <w:uiPriority w:val="34"/>
    <w:pPr>
      <w:ind w:left="720"/>
      <w:contextualSpacing/>
    </w:pPr>
  </w:style>
  <w:style w:type="character" w:customStyle="1" w:styleId="146">
    <w:name w:val="Body Text Char"/>
    <w:basedOn w:val="134"/>
    <w:link w:val="2"/>
    <w:qFormat/>
    <w:uiPriority w:val="99"/>
  </w:style>
  <w:style w:type="character" w:customStyle="1" w:styleId="147">
    <w:name w:val="Body Text 2 Char"/>
    <w:basedOn w:val="134"/>
    <w:link w:val="30"/>
    <w:qFormat/>
    <w:uiPriority w:val="99"/>
  </w:style>
  <w:style w:type="character" w:customStyle="1" w:styleId="148">
    <w:name w:val="Body Text 3 Char"/>
    <w:basedOn w:val="134"/>
    <w:link w:val="20"/>
    <w:qFormat/>
    <w:uiPriority w:val="99"/>
    <w:rPr>
      <w:sz w:val="16"/>
      <w:szCs w:val="16"/>
    </w:rPr>
  </w:style>
  <w:style w:type="character" w:customStyle="1" w:styleId="149">
    <w:name w:val="Macro Text Char"/>
    <w:basedOn w:val="134"/>
    <w:link w:val="5"/>
    <w:qFormat/>
    <w:uiPriority w:val="99"/>
    <w:rPr>
      <w:rFonts w:ascii="Courier" w:hAnsi="Courier"/>
      <w:sz w:val="20"/>
      <w:szCs w:val="20"/>
    </w:rPr>
  </w:style>
  <w:style w:type="paragraph" w:styleId="150">
    <w:name w:val="Quote"/>
    <w:basedOn w:val="1"/>
    <w:next w:val="1"/>
    <w:link w:val="151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Quote Char"/>
    <w:basedOn w:val="134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2">
    <w:name w:val="Heading 4 Char"/>
    <w:basedOn w:val="134"/>
    <w:link w:val="9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3">
    <w:name w:val="Heading 5 Char"/>
    <w:basedOn w:val="134"/>
    <w:link w:val="10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4">
    <w:name w:val="Heading 6 Char"/>
    <w:basedOn w:val="134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5">
    <w:name w:val="Heading 7 Char"/>
    <w:basedOn w:val="134"/>
    <w:link w:val="12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Heading 8 Char"/>
    <w:basedOn w:val="134"/>
    <w:link w:val="13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7">
    <w:name w:val="Heading 9 Char"/>
    <w:basedOn w:val="134"/>
    <w:link w:val="14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8">
    <w:name w:val="Intense Quote"/>
    <w:basedOn w:val="1"/>
    <w:next w:val="1"/>
    <w:link w:val="159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Intense Quote Char"/>
    <w:basedOn w:val="134"/>
    <w:link w:val="158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Emphasis"/>
    <w:basedOn w:val="134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1">
    <w:name w:val="Intense Emphasis"/>
    <w:basedOn w:val="134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2">
    <w:name w:val="Subtle Reference"/>
    <w:basedOn w:val="134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3">
    <w:name w:val="Intense Reference"/>
    <w:basedOn w:val="134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4">
    <w:name w:val="Book Title"/>
    <w:basedOn w:val="134"/>
    <w:qFormat/>
    <w:uiPriority w:val="33"/>
    <w:rPr>
      <w:b/>
      <w:bCs/>
      <w:smallCaps/>
      <w:spacing w:val="5"/>
    </w:rPr>
  </w:style>
  <w:style w:type="paragraph" w:customStyle="1" w:styleId="165">
    <w:name w:val="TOC Heading"/>
    <w:basedOn w:val="6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3235</Words>
  <Characters>3380</Characters>
  <Lines>0</Lines>
  <Paragraphs>0</Paragraphs>
  <TotalTime>0</TotalTime>
  <ScaleCrop>false</ScaleCrop>
  <LinksUpToDate>false</LinksUpToDate>
  <CharactersWithSpaces>3413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周暖青</cp:lastModifiedBy>
  <dcterms:modified xsi:type="dcterms:W3CDTF">2026-08-07T02:26:52Z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eyJoZGlkIjoiZDkyZDQ0YWRiYWM5YzVjNThkZjQ3ZWRjMzU5NmUyZGIiLCJ1c2VySWQiOiIxNzg1ODI5NjQyIn0=</vt:lpwstr>
  </property>
  <property fmtid="{D5CDD505-2E9C-101B-9397-08002B2CF9AE}" pid="3" name="KSOProductBuildVer">
    <vt:lpwstr>2052-12.1.0.28043</vt:lpwstr>
  </property>
  <property fmtid="{D5CDD505-2E9C-101B-9397-08002B2CF9AE}" pid="4" name="ICV">
    <vt:lpwstr>CADE9E4E45B143459E677437434EC486_12</vt:lpwstr>
  </property>
</Properties>
</file>