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B09F">
      <w:pPr>
        <w:jc w:val="center"/>
      </w:pPr>
      <w:r>
        <w:rPr>
          <w:rFonts w:ascii="黑体" w:hAnsi="黑体" w:eastAsia="黑体"/>
          <w:b/>
          <w:sz w:val="32"/>
        </w:rPr>
        <w:t>20家县级医院救治能力提升</w:t>
      </w:r>
    </w:p>
    <w:p w14:paraId="15FD4C7B">
      <w:pPr>
        <w:spacing w:before="160"/>
      </w:pPr>
      <w:r>
        <w:rPr>
          <w:rFonts w:ascii="黑体" w:hAnsi="黑体" w:eastAsia="黑体"/>
          <w:b/>
          <w:sz w:val="26"/>
        </w:rPr>
        <w:t>一、云电脑服务</w:t>
      </w:r>
    </w:p>
    <w:p w14:paraId="31D63E03">
      <w:r>
        <w:rPr>
          <w:rFonts w:ascii="黑体" w:hAnsi="黑体" w:eastAsia="黑体"/>
          <w:b/>
          <w:sz w:val="24"/>
        </w:rPr>
        <w:t>服务目标与使用场景</w:t>
      </w:r>
    </w:p>
    <w:p w14:paraId="78474239">
      <w:r>
        <w:rPr>
          <w:rFonts w:ascii="宋体" w:hAnsi="宋体" w:eastAsia="宋体"/>
          <w:b w:val="0"/>
          <w:sz w:val="22"/>
        </w:rPr>
        <w:t>支撑省卫健委对紧急医学救援的远程指挥、跨单位（如应急管理等）数据查询与协同、省立医院与20家县级医院的远程会诊协同，以及院内跨科室会诊与病案讨论，实现优质医疗资源下沉与救治能力提升。</w:t>
      </w:r>
    </w:p>
    <w:p w14:paraId="5EF95617">
      <w:r>
        <w:rPr>
          <w:rFonts w:ascii="黑体" w:hAnsi="黑体" w:eastAsia="黑体"/>
          <w:b/>
          <w:sz w:val="24"/>
        </w:rPr>
        <w:t>云电脑规模与配置</w:t>
      </w:r>
    </w:p>
    <w:p w14:paraId="313BCAD6">
      <w:r>
        <w:rPr>
          <w:rFonts w:ascii="宋体" w:hAnsi="宋体" w:eastAsia="宋体"/>
          <w:b w:val="0"/>
          <w:sz w:val="22"/>
        </w:rPr>
        <w:t>本次按每家县医院5台、省级相关单位各5台、省立医院20台，合计130台云电脑，提供5年服务；单台配置 VCPU≥4核、内存≥8G、系统盘≥120G、数据盘≥10G，支持通过互联网、政务专网等安全通道登录，支持投屏协作与一键切换。</w:t>
      </w:r>
    </w:p>
    <w:p w14:paraId="29C8E0BE">
      <w:r>
        <w:rPr>
          <w:rFonts w:ascii="黑体" w:hAnsi="黑体" w:eastAsia="黑体"/>
          <w:b/>
          <w:sz w:val="24"/>
        </w:rPr>
        <w:t>安全管理能力</w:t>
      </w:r>
    </w:p>
    <w:p w14:paraId="41552925">
      <w:r>
        <w:rPr>
          <w:rFonts w:ascii="宋体" w:hAnsi="宋体" w:eastAsia="宋体"/>
          <w:b w:val="0"/>
          <w:sz w:val="22"/>
        </w:rPr>
        <w:t>平台通过网络安全等级保护2.0第三级测评；支持账号密码+短信验证码双因素认证、虚拟私有云网络隔离、出入向端口访问控制、终端接入管控（绑定终端标识）与数据防泄露（外设管控、文件加密及外发脱密审批、桌面水印防截屏）；提供实时监控仪表盘与完整操作审计日志。</w:t>
      </w:r>
    </w:p>
    <w:p w14:paraId="42D8A7E5">
      <w:r>
        <w:rPr>
          <w:rFonts w:ascii="黑体" w:hAnsi="黑体" w:eastAsia="黑体"/>
          <w:b/>
          <w:sz w:val="24"/>
        </w:rPr>
        <w:t>云专线服务</w:t>
      </w:r>
    </w:p>
    <w:p w14:paraId="5F645071">
      <w:r>
        <w:rPr>
          <w:rFonts w:ascii="宋体" w:hAnsi="宋体" w:eastAsia="宋体"/>
          <w:b w:val="0"/>
          <w:sz w:val="22"/>
        </w:rPr>
        <w:t>提供云电脑平台至各医疗机构及协同单位的云专线，本项目按20家县医院各1条、省立医院2条配置，保障跨机构低时延互联（具体时延与院区接入指标以采购人另行明确为准）；提供5年云专线服务。</w:t>
      </w:r>
    </w:p>
    <w:p w14:paraId="0D8C4CE2">
      <w:r>
        <w:rPr>
          <w:rFonts w:ascii="黑体" w:hAnsi="黑体" w:eastAsia="黑体"/>
          <w:b/>
          <w:sz w:val="24"/>
        </w:rPr>
        <w:t>服务标准</w:t>
      </w:r>
    </w:p>
    <w:p w14:paraId="6564CB94">
      <w:r>
        <w:rPr>
          <w:rFonts w:ascii="宋体" w:hAnsi="宋体" w:eastAsia="宋体"/>
          <w:b w:val="0"/>
          <w:sz w:val="22"/>
        </w:rPr>
        <w:t>提供分级 SLA（业务中断/功能严重受损/一般功能/咨询）与7×24小时客服、在线工单；安全合规满足等保2.0三级要求。</w:t>
      </w:r>
    </w:p>
    <w:p w14:paraId="42F5C47E">
      <w:pPr>
        <w:spacing w:before="160"/>
      </w:pPr>
      <w:r>
        <w:rPr>
          <w:rFonts w:ascii="黑体" w:hAnsi="黑体" w:eastAsia="黑体"/>
          <w:b/>
          <w:sz w:val="26"/>
        </w:rPr>
        <w:t>二、视频监控服务</w:t>
      </w:r>
    </w:p>
    <w:p w14:paraId="612A0468">
      <w:r>
        <w:rPr>
          <w:rFonts w:hint="eastAsia" w:ascii="宋体" w:hAnsi="宋体" w:eastAsia="宋体"/>
          <w:b w:val="0"/>
          <w:sz w:val="22"/>
        </w:rPr>
        <w:t>在20家县医院的急诊大厅、急诊抢救室，各放置2个监控摄像头，实现指挥中心调用县医院急诊现场视频，并实现双方通话。</w:t>
      </w:r>
    </w:p>
    <w:p w14:paraId="3C84A15D">
      <w:r>
        <w:rPr>
          <w:rFonts w:ascii="黑体" w:hAnsi="黑体" w:eastAsia="黑体"/>
          <w:b/>
          <w:sz w:val="24"/>
        </w:rPr>
        <w:t>功能要求</w:t>
      </w:r>
    </w:p>
    <w:p w14:paraId="7B0D35A6">
      <w:r>
        <w:rPr>
          <w:rFonts w:ascii="宋体" w:hAnsi="宋体" w:eastAsia="宋体"/>
          <w:b w:val="0"/>
          <w:sz w:val="22"/>
        </w:rPr>
        <w:t>摄像头≥400万像素，支持语音对讲与云台控制；视频平台支持转码（国标 GB/T 28181）、云台控制、自带7天视频存储并开放 API 调用接口；支持对接国家紧急医学救援（福建）基地音视频通信调度应用，实现统一调度；每个点位配备上行互联网宽带。</w:t>
      </w:r>
    </w:p>
    <w:p w14:paraId="32D8B5CB">
      <w:r>
        <w:rPr>
          <w:rFonts w:ascii="黑体" w:hAnsi="黑体" w:eastAsia="黑体"/>
          <w:b/>
          <w:sz w:val="24"/>
        </w:rPr>
        <w:t>安全与期限</w:t>
      </w:r>
    </w:p>
    <w:p w14:paraId="6B086C73">
      <w:r>
        <w:rPr>
          <w:rFonts w:ascii="宋体" w:hAnsi="宋体" w:eastAsia="宋体"/>
          <w:b w:val="0"/>
          <w:sz w:val="22"/>
        </w:rPr>
        <w:t>视频平台通过网络安全等级保护2.0第三级测评；提供5年视频监控服务。</w:t>
      </w:r>
    </w:p>
    <w:p w14:paraId="182BB53E">
      <w:pPr>
        <w:spacing w:before="160"/>
      </w:pPr>
      <w:r>
        <w:rPr>
          <w:rFonts w:ascii="黑体" w:hAnsi="黑体" w:eastAsia="黑体"/>
          <w:b/>
          <w:sz w:val="26"/>
        </w:rPr>
        <w:t>三、20家医院急诊视频会议系统</w:t>
      </w:r>
    </w:p>
    <w:p w14:paraId="1A951CBD">
      <w:r>
        <w:rPr>
          <w:rFonts w:ascii="黑体" w:hAnsi="黑体" w:eastAsia="黑体"/>
          <w:b/>
          <w:sz w:val="24"/>
        </w:rPr>
        <w:t>系统设计</w:t>
      </w:r>
    </w:p>
    <w:p w14:paraId="2A3B85E9">
      <w:r>
        <w:rPr>
          <w:rFonts w:ascii="宋体" w:hAnsi="宋体" w:eastAsia="宋体"/>
          <w:b w:val="0"/>
          <w:sz w:val="22"/>
        </w:rPr>
        <w:t>20家县医院急诊科配置移动视频会诊推车，支持开展与省内各医疗机构的视频会商（远程会诊）；支持视频专网与5G移动信号接入，可数字级联上级突发公共卫生事件高清视频会议系统；支持将本地病历经视频终端投射至远端医生端实时查看。</w:t>
      </w:r>
    </w:p>
    <w:p w14:paraId="05E29300">
      <w:r>
        <w:rPr>
          <w:rFonts w:ascii="黑体" w:hAnsi="黑体" w:eastAsia="黑体"/>
          <w:b/>
          <w:sz w:val="24"/>
        </w:rPr>
        <w:t>系统功能</w:t>
      </w:r>
    </w:p>
    <w:p w14:paraId="5180B61D">
      <w:pPr>
        <w:rPr>
          <w:rFonts w:ascii="宋体" w:hAnsi="宋体" w:eastAsia="宋体"/>
          <w:b w:val="0"/>
          <w:sz w:val="22"/>
        </w:rPr>
      </w:pPr>
      <w:r>
        <w:rPr>
          <w:rFonts w:ascii="宋体" w:hAnsi="宋体" w:eastAsia="宋体"/>
          <w:b w:val="0"/>
          <w:sz w:val="22"/>
        </w:rPr>
        <w:t>具备基本功能与会议功能（含主席控制、混音控制、音视频及数据双流加密等），保障会议内容安全；含视频线路规划与主要设备配置清单。</w:t>
      </w:r>
    </w:p>
    <w:p w14:paraId="4D0A23B4">
      <w:pPr>
        <w:pStyle w:val="8"/>
        <w:keepNext/>
        <w:keepLines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after="240"/>
        <w:textAlignment w:val="auto"/>
        <w:outlineLvl w:val="2"/>
        <w:rPr>
          <w:rFonts w:hint="eastAsia"/>
        </w:rPr>
      </w:pPr>
      <w:r>
        <w:rPr>
          <w:rFonts w:hint="eastAsia"/>
        </w:rPr>
        <w:t>主要设备清单</w:t>
      </w:r>
    </w:p>
    <w:p w14:paraId="19088E21">
      <w:pPr>
        <w:pStyle w:val="18"/>
        <w:rPr>
          <w:rFonts w:hint="eastAsia"/>
        </w:rPr>
      </w:pPr>
      <w:r>
        <w:rPr>
          <w:rFonts w:hint="eastAsia"/>
        </w:rPr>
        <w:t xml:space="preserve">表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STYLEREF 1 \s </w:instrText>
      </w:r>
      <w:r>
        <w:rPr>
          <w:rFonts w:hint="eastAsia"/>
        </w:rPr>
        <w:fldChar w:fldCharType="separate"/>
      </w:r>
      <w:r>
        <w:rPr>
          <w:rFonts w:hint="eastAsia"/>
        </w:rPr>
        <w:t>0</w:t>
      </w:r>
      <w:r>
        <w:rPr>
          <w:rFonts w:hint="eastAsia"/>
        </w:rPr>
        <w:fldChar w:fldCharType="end"/>
      </w:r>
      <w:r>
        <w:rPr>
          <w:rFonts w:hint="eastAsia"/>
        </w:rPr>
        <w:t>-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表 \* ARABIC \s 1 </w:instrText>
      </w:r>
      <w:r>
        <w:rPr>
          <w:rFonts w:hint="eastAsia"/>
        </w:rPr>
        <w:fldChar w:fldCharType="separate"/>
      </w:r>
      <w:r>
        <w:rPr>
          <w:rFonts w:hint="eastAsia"/>
        </w:rPr>
        <w:t>1</w:t>
      </w:r>
      <w:r>
        <w:rPr>
          <w:rFonts w:hint="eastAsia"/>
        </w:rPr>
        <w:fldChar w:fldCharType="end"/>
      </w:r>
      <w:bookmarkStart w:id="0" w:name="_Toc6506"/>
      <w:r>
        <w:rPr>
          <w:rFonts w:hint="eastAsia"/>
        </w:rPr>
        <w:t>20家医院急诊视频会议系统主要设备</w:t>
      </w:r>
      <w:r>
        <w:rPr>
          <w:rFonts w:hint="eastAsia"/>
          <w:lang w:eastAsia="zh-CN"/>
        </w:rPr>
        <w:t>清单</w:t>
      </w:r>
      <w:r>
        <w:rPr>
          <w:rFonts w:hint="eastAsia"/>
        </w:rPr>
        <w:t>表</w:t>
      </w:r>
      <w:bookmarkEnd w:id="0"/>
    </w:p>
    <w:tbl>
      <w:tblPr>
        <w:tblStyle w:val="169"/>
        <w:tblW w:w="5000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5829"/>
        <w:gridCol w:w="1520"/>
        <w:gridCol w:w="780"/>
      </w:tblGrid>
      <w:tr w14:paraId="61F022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411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  <w:insideH w:val="single" w:sz="4" w:space="0"/>
              <w:insideV w:val="single" w:sz="4" w:space="0"/>
              <w:tl2br w:val="nil"/>
              <w:tr2bl w:val="nil"/>
            </w:tcBorders>
            <w:shd w:val="clear" w:color="auto" w:fill="BFBFBF"/>
            <w:vAlign w:val="center"/>
          </w:tcPr>
          <w:p w14:paraId="78414461">
            <w:pPr>
              <w:pStyle w:val="168"/>
              <w:rPr>
                <w:b w:val="0"/>
              </w:rPr>
            </w:pPr>
            <w:r>
              <w:rPr>
                <w:rFonts w:hint="eastAsia"/>
                <w:b/>
                <w:lang w:bidi="ar"/>
              </w:rPr>
              <w:t>序号</w:t>
            </w:r>
          </w:p>
        </w:tc>
        <w:tc>
          <w:tcPr>
            <w:tcW w:w="3290" w:type="pct"/>
            <w:tcBorders>
              <w:top w:val="double" w:color="auto" w:sz="4" w:space="0"/>
              <w:bottom w:val="single" w:color="auto" w:sz="4" w:space="0"/>
              <w:right w:val="single" w:color="auto" w:sz="4" w:space="0"/>
              <w:insideH w:val="single" w:sz="4" w:space="0"/>
              <w:insideV w:val="single" w:sz="4" w:space="0"/>
              <w:tl2br w:val="nil"/>
              <w:tr2bl w:val="nil"/>
            </w:tcBorders>
            <w:shd w:val="clear" w:color="auto" w:fill="BFBFBF"/>
            <w:vAlign w:val="center"/>
          </w:tcPr>
          <w:p w14:paraId="7AE92682">
            <w:pPr>
              <w:pStyle w:val="168"/>
              <w:rPr>
                <w:b w:val="0"/>
              </w:rPr>
            </w:pPr>
            <w:r>
              <w:rPr>
                <w:rFonts w:hint="eastAsia"/>
                <w:b/>
                <w:lang w:bidi="ar"/>
              </w:rPr>
              <w:t>服务名称</w:t>
            </w:r>
          </w:p>
        </w:tc>
        <w:tc>
          <w:tcPr>
            <w:tcW w:w="858" w:type="pct"/>
            <w:tcBorders>
              <w:top w:val="double" w:color="auto" w:sz="4" w:space="0"/>
              <w:bottom w:val="single" w:color="auto" w:sz="4" w:space="0"/>
              <w:right w:val="single" w:color="auto" w:sz="4" w:space="0"/>
              <w:insideH w:val="single" w:sz="4" w:space="0"/>
              <w:insideV w:val="single" w:sz="4" w:space="0"/>
              <w:tl2br w:val="nil"/>
              <w:tr2bl w:val="nil"/>
            </w:tcBorders>
            <w:shd w:val="clear" w:color="auto" w:fill="BFBFBF"/>
            <w:vAlign w:val="center"/>
          </w:tcPr>
          <w:p w14:paraId="5D77515F">
            <w:pPr>
              <w:pStyle w:val="168"/>
              <w:rPr>
                <w:b w:val="0"/>
              </w:rPr>
            </w:pPr>
            <w:r>
              <w:rPr>
                <w:rFonts w:hint="eastAsia"/>
                <w:b/>
                <w:lang w:bidi="ar"/>
              </w:rPr>
              <w:t>数量</w:t>
            </w:r>
          </w:p>
        </w:tc>
        <w:tc>
          <w:tcPr>
            <w:tcW w:w="440" w:type="pct"/>
            <w:tcBorders>
              <w:top w:val="double" w:color="auto" w:sz="4" w:space="0"/>
              <w:bottom w:val="single" w:color="auto" w:sz="4" w:space="0"/>
              <w:right w:val="double" w:color="auto" w:sz="4" w:space="0"/>
              <w:insideH w:val="single" w:sz="4" w:space="0"/>
              <w:insideV w:val="single" w:sz="4" w:space="0"/>
              <w:tl2br w:val="nil"/>
              <w:tr2bl w:val="nil"/>
            </w:tcBorders>
            <w:shd w:val="clear" w:color="auto" w:fill="BFBFBF"/>
            <w:vAlign w:val="center"/>
          </w:tcPr>
          <w:p w14:paraId="45798500">
            <w:pPr>
              <w:pStyle w:val="168"/>
              <w:rPr>
                <w:b w:val="0"/>
              </w:rPr>
            </w:pPr>
            <w:r>
              <w:rPr>
                <w:rFonts w:hint="eastAsia"/>
                <w:b/>
                <w:lang w:bidi="ar"/>
              </w:rPr>
              <w:t>单位</w:t>
            </w:r>
          </w:p>
        </w:tc>
      </w:tr>
      <w:tr w14:paraId="38F47F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" w:type="pct"/>
            <w:vAlign w:val="center"/>
          </w:tcPr>
          <w:p w14:paraId="54693A22">
            <w:pPr>
              <w:pStyle w:val="168"/>
            </w:pPr>
            <w:r>
              <w:rPr>
                <w:rFonts w:hint="eastAsia"/>
                <w:lang w:bidi="ar"/>
              </w:rPr>
              <w:t>1</w:t>
            </w:r>
          </w:p>
        </w:tc>
        <w:tc>
          <w:tcPr>
            <w:tcW w:w="3290" w:type="pct"/>
            <w:vAlign w:val="center"/>
          </w:tcPr>
          <w:p w14:paraId="63E800D1">
            <w:pPr>
              <w:pStyle w:val="168"/>
            </w:pPr>
            <w:r>
              <w:rPr>
                <w:rFonts w:hint="eastAsia"/>
                <w:lang w:bidi="ar"/>
              </w:rPr>
              <w:t>高清视频会议终端（20医院急诊）</w:t>
            </w:r>
          </w:p>
        </w:tc>
        <w:tc>
          <w:tcPr>
            <w:tcW w:w="858" w:type="pct"/>
            <w:vAlign w:val="center"/>
          </w:tcPr>
          <w:p w14:paraId="5674434B">
            <w:pPr>
              <w:pStyle w:val="168"/>
            </w:pPr>
            <w:r>
              <w:rPr>
                <w:rFonts w:hint="eastAsia"/>
                <w:lang w:bidi="ar"/>
              </w:rPr>
              <w:t>20</w:t>
            </w:r>
          </w:p>
        </w:tc>
        <w:tc>
          <w:tcPr>
            <w:tcW w:w="440" w:type="pct"/>
            <w:vAlign w:val="center"/>
          </w:tcPr>
          <w:p w14:paraId="45466744">
            <w:pPr>
              <w:pStyle w:val="168"/>
            </w:pPr>
            <w:r>
              <w:rPr>
                <w:rFonts w:hint="eastAsia"/>
                <w:lang w:bidi="ar"/>
              </w:rPr>
              <w:t>台</w:t>
            </w:r>
          </w:p>
        </w:tc>
      </w:tr>
      <w:tr w14:paraId="22335A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" w:type="pct"/>
            <w:vAlign w:val="center"/>
          </w:tcPr>
          <w:p w14:paraId="16C9961A">
            <w:pPr>
              <w:pStyle w:val="168"/>
            </w:pPr>
            <w:r>
              <w:rPr>
                <w:rFonts w:hint="eastAsia"/>
                <w:lang w:bidi="ar"/>
              </w:rPr>
              <w:t>2</w:t>
            </w:r>
          </w:p>
        </w:tc>
        <w:tc>
          <w:tcPr>
            <w:tcW w:w="3290" w:type="pct"/>
            <w:vAlign w:val="center"/>
          </w:tcPr>
          <w:p w14:paraId="4E900F94">
            <w:pPr>
              <w:pStyle w:val="168"/>
            </w:pPr>
            <w:r>
              <w:rPr>
                <w:rFonts w:hint="eastAsia"/>
                <w:lang w:bidi="ar"/>
              </w:rPr>
              <w:t>视频会诊推车（20医院急诊）</w:t>
            </w:r>
          </w:p>
        </w:tc>
        <w:tc>
          <w:tcPr>
            <w:tcW w:w="858" w:type="pct"/>
            <w:vAlign w:val="center"/>
          </w:tcPr>
          <w:p w14:paraId="07B27A15">
            <w:pPr>
              <w:pStyle w:val="168"/>
            </w:pPr>
            <w:r>
              <w:rPr>
                <w:rFonts w:hint="eastAsia"/>
                <w:lang w:bidi="ar"/>
              </w:rPr>
              <w:t>20</w:t>
            </w:r>
          </w:p>
        </w:tc>
        <w:tc>
          <w:tcPr>
            <w:tcW w:w="440" w:type="pct"/>
            <w:vAlign w:val="center"/>
          </w:tcPr>
          <w:p w14:paraId="65023EE2">
            <w:pPr>
              <w:pStyle w:val="168"/>
            </w:pPr>
            <w:r>
              <w:rPr>
                <w:rFonts w:hint="eastAsia"/>
                <w:lang w:bidi="ar"/>
              </w:rPr>
              <w:t>台</w:t>
            </w:r>
          </w:p>
        </w:tc>
      </w:tr>
      <w:tr w14:paraId="227C56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" w:type="pct"/>
            <w:vAlign w:val="center"/>
          </w:tcPr>
          <w:p w14:paraId="271D8736">
            <w:pPr>
              <w:pStyle w:val="168"/>
            </w:pPr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3290" w:type="pct"/>
            <w:vAlign w:val="center"/>
          </w:tcPr>
          <w:p w14:paraId="32D8E0A9">
            <w:pPr>
              <w:pStyle w:val="168"/>
            </w:pPr>
            <w:r>
              <w:rPr>
                <w:rFonts w:hint="eastAsia"/>
                <w:lang w:bidi="ar"/>
              </w:rPr>
              <w:t>配件（</w:t>
            </w:r>
            <w:r>
              <w:rPr>
                <w:rFonts w:hint="eastAsia" w:cstheme="minorEastAsia"/>
                <w:sz w:val="24"/>
              </w:rPr>
              <w:t>含5G cpe 音箱、麦克风、安装线材</w:t>
            </w:r>
            <w:r>
              <w:rPr>
                <w:rFonts w:hint="eastAsia"/>
                <w:lang w:bidi="ar"/>
              </w:rPr>
              <w:t>）</w:t>
            </w:r>
          </w:p>
        </w:tc>
        <w:tc>
          <w:tcPr>
            <w:tcW w:w="858" w:type="pct"/>
            <w:vAlign w:val="center"/>
          </w:tcPr>
          <w:p w14:paraId="452F7628">
            <w:pPr>
              <w:pStyle w:val="168"/>
            </w:pPr>
            <w:r>
              <w:rPr>
                <w:rFonts w:hint="eastAsia"/>
                <w:lang w:bidi="ar"/>
              </w:rPr>
              <w:t>20</w:t>
            </w:r>
          </w:p>
        </w:tc>
        <w:tc>
          <w:tcPr>
            <w:tcW w:w="440" w:type="pct"/>
            <w:vAlign w:val="center"/>
          </w:tcPr>
          <w:p w14:paraId="48D4B04D">
            <w:pPr>
              <w:pStyle w:val="168"/>
            </w:pPr>
            <w:r>
              <w:rPr>
                <w:rFonts w:hint="eastAsia"/>
                <w:lang w:bidi="ar"/>
              </w:rPr>
              <w:t>套</w:t>
            </w:r>
          </w:p>
        </w:tc>
      </w:tr>
      <w:tr w14:paraId="1E903B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" w:type="pct"/>
            <w:vAlign w:val="center"/>
          </w:tcPr>
          <w:p w14:paraId="17155F53">
            <w:pPr>
              <w:pStyle w:val="168"/>
            </w:pPr>
            <w:r>
              <w:rPr>
                <w:rFonts w:hint="eastAsia"/>
                <w:lang w:bidi="ar"/>
              </w:rPr>
              <w:t>4</w:t>
            </w:r>
          </w:p>
        </w:tc>
        <w:tc>
          <w:tcPr>
            <w:tcW w:w="3290" w:type="pct"/>
            <w:vAlign w:val="center"/>
          </w:tcPr>
          <w:p w14:paraId="29F6A308">
            <w:pPr>
              <w:pStyle w:val="168"/>
            </w:pPr>
            <w:r>
              <w:rPr>
                <w:rFonts w:hint="eastAsia"/>
                <w:lang w:bidi="ar"/>
              </w:rPr>
              <w:t>专线（</w:t>
            </w:r>
            <w:r>
              <w:rPr>
                <w:rFonts w:hint="eastAsia" w:cstheme="minorEastAsia"/>
                <w:sz w:val="24"/>
              </w:rPr>
              <w:t>5年5G通信流量费【150G/月】</w:t>
            </w:r>
            <w:r>
              <w:rPr>
                <w:rFonts w:hint="eastAsia"/>
                <w:lang w:bidi="ar"/>
              </w:rPr>
              <w:t>）</w:t>
            </w:r>
          </w:p>
        </w:tc>
        <w:tc>
          <w:tcPr>
            <w:tcW w:w="858" w:type="pct"/>
            <w:vAlign w:val="center"/>
          </w:tcPr>
          <w:p w14:paraId="75D9465D">
            <w:pPr>
              <w:pStyle w:val="168"/>
            </w:pPr>
            <w:r>
              <w:rPr>
                <w:rFonts w:hint="eastAsia"/>
                <w:lang w:bidi="ar"/>
              </w:rPr>
              <w:t>20</w:t>
            </w:r>
          </w:p>
        </w:tc>
        <w:tc>
          <w:tcPr>
            <w:tcW w:w="440" w:type="pct"/>
            <w:vAlign w:val="center"/>
          </w:tcPr>
          <w:p w14:paraId="2B6D6389">
            <w:pPr>
              <w:pStyle w:val="168"/>
            </w:pPr>
            <w:r>
              <w:rPr>
                <w:rFonts w:hint="eastAsia"/>
                <w:lang w:bidi="ar"/>
              </w:rPr>
              <w:t>条</w:t>
            </w:r>
          </w:p>
        </w:tc>
      </w:tr>
    </w:tbl>
    <w:p w14:paraId="296882C9">
      <w:pPr>
        <w:rPr>
          <w:rFonts w:ascii="宋体" w:hAnsi="宋体" w:eastAsia="宋体"/>
          <w:b w:val="0"/>
          <w:sz w:val="22"/>
        </w:rPr>
      </w:pPr>
      <w:bookmarkStart w:id="1" w:name="_GoBack"/>
      <w:bookmarkEnd w:id="1"/>
    </w:p>
    <w:p w14:paraId="1279AA9D">
      <w:pPr>
        <w:spacing w:before="160"/>
      </w:pPr>
      <w:r>
        <w:rPr>
          <w:rFonts w:ascii="黑体" w:hAnsi="黑体" w:eastAsia="黑体"/>
          <w:b/>
          <w:sz w:val="26"/>
        </w:rPr>
        <w:t>四、区域高质量数据采集协同平台（科研平台）</w:t>
      </w:r>
    </w:p>
    <w:p w14:paraId="041C36C2">
      <w:r>
        <w:rPr>
          <w:rFonts w:ascii="黑体" w:hAnsi="黑体" w:eastAsia="黑体"/>
          <w:b/>
          <w:sz w:val="24"/>
        </w:rPr>
        <w:t>建设背景</w:t>
      </w:r>
    </w:p>
    <w:p w14:paraId="75B956A4">
      <w:r>
        <w:rPr>
          <w:rFonts w:ascii="宋体" w:hAnsi="宋体" w:eastAsia="宋体"/>
          <w:b w:val="0"/>
          <w:sz w:val="22"/>
        </w:rPr>
        <w:t>解决科研数据分散、标准不一、非结构化数据难利用、项目全流程质控缺失、数据溯源与安全共享不足等问题，支撑多中心联合研究。</w:t>
      </w:r>
    </w:p>
    <w:p w14:paraId="04555A8A">
      <w:r>
        <w:rPr>
          <w:rFonts w:ascii="黑体" w:hAnsi="黑体" w:eastAsia="黑体"/>
          <w:b/>
          <w:sz w:val="24"/>
        </w:rPr>
        <w:t>多机构管理中心</w:t>
      </w:r>
    </w:p>
    <w:p w14:paraId="453F71D6">
      <w:r>
        <w:rPr>
          <w:rFonts w:ascii="宋体" w:hAnsi="宋体" w:eastAsia="宋体"/>
          <w:b w:val="0"/>
          <w:sz w:val="22"/>
        </w:rPr>
        <w:t>机构注册入驻与人员组织管理、角色与功能权限配置、多机构协同数据资源共享。</w:t>
      </w:r>
    </w:p>
    <w:p w14:paraId="5283DF91">
      <w:r>
        <w:rPr>
          <w:rFonts w:ascii="黑体" w:hAnsi="黑体" w:eastAsia="黑体"/>
          <w:b/>
          <w:sz w:val="24"/>
        </w:rPr>
        <w:t>专病项目管理</w:t>
      </w:r>
    </w:p>
    <w:p w14:paraId="2F5E3B74">
      <w:r>
        <w:rPr>
          <w:rFonts w:ascii="宋体" w:hAnsi="宋体" w:eastAsia="宋体"/>
          <w:b w:val="0"/>
          <w:sz w:val="22"/>
        </w:rPr>
        <w:t>支持按疾病亚型/分期/人群创建专病研究队列并关联指标集与数据字典；可视化追踪队列构建、数据采集、随访、分析等阶段进度并设置关键节点预警；支持跨机构协作职责分工与数据贡献统计。</w:t>
      </w:r>
    </w:p>
    <w:p w14:paraId="39717674">
      <w:r>
        <w:rPr>
          <w:rFonts w:ascii="黑体" w:hAnsi="黑体" w:eastAsia="黑体"/>
          <w:b/>
          <w:sz w:val="24"/>
        </w:rPr>
        <w:t>受试者全周期管理</w:t>
      </w:r>
    </w:p>
    <w:p w14:paraId="375C12E0">
      <w:r>
        <w:rPr>
          <w:rFonts w:ascii="宋体" w:hAnsi="宋体" w:eastAsia="宋体"/>
          <w:b w:val="0"/>
          <w:sz w:val="22"/>
        </w:rPr>
        <w:t>患者入组管理（支持按科研编号/姓名检索与入组报告）、多源数据关联、随访全流程管理（自定义随访计划、自动提醒、线上问卷与依从性记录）。</w:t>
      </w:r>
    </w:p>
    <w:p w14:paraId="0C06BC76">
      <w:r>
        <w:rPr>
          <w:rFonts w:ascii="黑体" w:hAnsi="黑体" w:eastAsia="黑体"/>
          <w:b/>
          <w:sz w:val="24"/>
        </w:rPr>
        <w:t>多源多模态数据利用</w:t>
      </w:r>
    </w:p>
    <w:p w14:paraId="5002BB5B">
      <w:r>
        <w:rPr>
          <w:rFonts w:ascii="宋体" w:hAnsi="宋体" w:eastAsia="宋体"/>
          <w:b w:val="0"/>
          <w:sz w:val="22"/>
        </w:rPr>
        <w:t>对人口学、电子病历、检验检查、病理、手术等数据源进行分类预处理；影像数据按类型标注与标准化存储；支持关系型、NoSQL、文件、大数据、Web 服务等多类数据源接入。</w:t>
      </w:r>
    </w:p>
    <w:p w14:paraId="289DF41B">
      <w:r>
        <w:rPr>
          <w:rFonts w:ascii="黑体" w:hAnsi="黑体" w:eastAsia="黑体"/>
          <w:b/>
          <w:sz w:val="24"/>
        </w:rPr>
        <w:t>结构化表单设计管理</w:t>
      </w:r>
    </w:p>
    <w:p w14:paraId="6DEE8C62">
      <w:r>
        <w:rPr>
          <w:rFonts w:ascii="宋体" w:hAnsi="宋体" w:eastAsia="宋体"/>
          <w:b w:val="0"/>
          <w:sz w:val="22"/>
        </w:rPr>
        <w:t>提供表单设计器（组件库、自定义控件、树状目录管理与检索）、多种创建方式（Excel 导入、可视化拖拽、模板复用、移动端适配）、报表设计器与大屏展示（含地图与实时刷新）、表单数据管理与导出、表单级权限管理。</w:t>
      </w:r>
    </w:p>
    <w:p w14:paraId="6414D92A">
      <w:r>
        <w:rPr>
          <w:rFonts w:ascii="黑体" w:hAnsi="黑体" w:eastAsia="黑体"/>
          <w:b/>
          <w:sz w:val="24"/>
        </w:rPr>
        <w:t>多源变量智能采集</w:t>
      </w:r>
    </w:p>
    <w:p w14:paraId="56CB4716">
      <w:r>
        <w:rPr>
          <w:rFonts w:ascii="宋体" w:hAnsi="宋体" w:eastAsia="宋体"/>
          <w:b w:val="0"/>
          <w:sz w:val="22"/>
        </w:rPr>
        <w:t>结合大模型能力从结构化、非结构化（文本/报告/语音）与未信息化数据中智能提取科研变量；支持表单批量采集、后台自动采集任务、历史回顾性批量采集，以及医学影像与生理信号等多模态数据采集。</w:t>
      </w:r>
    </w:p>
    <w:p w14:paraId="60F98607">
      <w:r>
        <w:rPr>
          <w:rFonts w:ascii="黑体" w:hAnsi="黑体" w:eastAsia="黑体"/>
          <w:b/>
          <w:sz w:val="24"/>
        </w:rPr>
        <w:t>结构化电子病历</w:t>
      </w:r>
    </w:p>
    <w:p w14:paraId="25EBF9ED">
      <w:r>
        <w:rPr>
          <w:rFonts w:ascii="宋体" w:hAnsi="宋体" w:eastAsia="宋体"/>
          <w:b w:val="0"/>
          <w:sz w:val="22"/>
        </w:rPr>
        <w:t>内置省立医院成熟的结构化电子病历模板供医联体医院零部署使用；支持按文书框架整体或按需生成病历文书，并经标准接口/数据库视图/复制等方式回写电子病历系统；提供 AI 指令工程与模板配置。</w:t>
      </w:r>
    </w:p>
    <w:p w14:paraId="6669A580">
      <w:r>
        <w:rPr>
          <w:rFonts w:ascii="黑体" w:hAnsi="黑体" w:eastAsia="黑体"/>
          <w:b/>
          <w:sz w:val="24"/>
        </w:rPr>
        <w:t>元数据溯源与 AI 指令</w:t>
      </w:r>
    </w:p>
    <w:p w14:paraId="76915D4E">
      <w:r>
        <w:rPr>
          <w:rFonts w:ascii="宋体" w:hAnsi="宋体" w:eastAsia="宋体"/>
          <w:b w:val="0"/>
          <w:sz w:val="22"/>
        </w:rPr>
        <w:t>变量值精细溯源与原文依据高亮定位；支持不同数据源的结构化 Prompt 配置与指令动态生成。</w:t>
      </w:r>
    </w:p>
    <w:p w14:paraId="39E77B45">
      <w:r>
        <w:rPr>
          <w:rFonts w:ascii="黑体" w:hAnsi="黑体" w:eastAsia="黑体"/>
          <w:b/>
          <w:sz w:val="24"/>
        </w:rPr>
        <w:t>高质量数据集看板</w:t>
      </w:r>
    </w:p>
    <w:p w14:paraId="0F19795C">
      <w:r>
        <w:rPr>
          <w:rFonts w:ascii="宋体" w:hAnsi="宋体" w:eastAsia="宋体"/>
          <w:b w:val="0"/>
          <w:sz w:val="22"/>
        </w:rPr>
        <w:t>提供数据采集看板、以患者为单位的采集进度与明细、按权限的数据集下载（原始/标化）、消息通知。</w:t>
      </w:r>
    </w:p>
    <w:p w14:paraId="3A90023A">
      <w:r>
        <w:rPr>
          <w:rFonts w:ascii="黑体" w:hAnsi="黑体" w:eastAsia="黑体"/>
          <w:b/>
          <w:sz w:val="24"/>
        </w:rPr>
        <w:t>系统管理</w:t>
      </w:r>
    </w:p>
    <w:p w14:paraId="0BAC9A66">
      <w:r>
        <w:rPr>
          <w:rFonts w:ascii="宋体" w:hAnsi="宋体" w:eastAsia="宋体"/>
          <w:b w:val="0"/>
          <w:sz w:val="22"/>
        </w:rPr>
        <w:t>用户/角色/权限管理、个人中心、功能模块管理；数据集安全与隐私（去标识化、安全存储、操作轨迹日志）；第三方系统对接、大模型接入管理；操作日志、登录日志与升级维护日志管理。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4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6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7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D7F205C"/>
    <w:rsid w:val="10A818CA"/>
    <w:rsid w:val="363C648D"/>
    <w:rsid w:val="475573AE"/>
    <w:rsid w:val="4C0A69B9"/>
    <w:rsid w:val="503D7A5C"/>
    <w:rsid w:val="718A4497"/>
    <w:rsid w:val="7D08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宋体" w:hAnsi="宋体" w:eastAsia="宋体" w:cstheme="minorBidi"/>
      <w:sz w:val="22"/>
      <w:szCs w:val="22"/>
      <w:lang w:val="en-US" w:eastAsia="en-US" w:bidi="ar-SA"/>
    </w:rPr>
  </w:style>
  <w:style w:type="paragraph" w:styleId="6">
    <w:name w:val="heading 1"/>
    <w:basedOn w:val="1"/>
    <w:next w:val="1"/>
    <w:link w:val="142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7">
    <w:name w:val="heading 2"/>
    <w:basedOn w:val="1"/>
    <w:next w:val="1"/>
    <w:link w:val="14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8">
    <w:name w:val="heading 3"/>
    <w:basedOn w:val="1"/>
    <w:next w:val="1"/>
    <w:link w:val="144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9">
    <w:name w:val="heading 4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10">
    <w:name w:val="heading 5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11">
    <w:name w:val="heading 6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12">
    <w:name w:val="heading 7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3">
    <w:name w:val="heading 8"/>
    <w:basedOn w:val="1"/>
    <w:next w:val="1"/>
    <w:link w:val="158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4">
    <w:name w:val="heading 9"/>
    <w:basedOn w:val="1"/>
    <w:next w:val="1"/>
    <w:link w:val="159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6">
    <w:name w:val="Default Paragraph Font"/>
    <w:semiHidden/>
    <w:unhideWhenUsed/>
    <w:uiPriority w:val="1"/>
  </w:style>
  <w:style w:type="table" w:default="1" w:styleId="3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48"/>
    <w:unhideWhenUsed/>
    <w:qFormat/>
    <w:uiPriority w:val="99"/>
    <w:pPr>
      <w:spacing w:after="120"/>
    </w:pPr>
  </w:style>
  <w:style w:type="paragraph" w:styleId="3">
    <w:name w:val="Body Text First Indent 2"/>
    <w:basedOn w:val="4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4">
    <w:name w:val="Body Text Indent"/>
    <w:basedOn w:val="1"/>
    <w:qFormat/>
    <w:uiPriority w:val="0"/>
    <w:pPr>
      <w:ind w:firstLine="645"/>
    </w:pPr>
    <w:rPr>
      <w:rFonts w:ascii="Arial" w:hAnsi="Arial" w:eastAsia="仿宋_GB2312"/>
      <w:sz w:val="28"/>
    </w:rPr>
  </w:style>
  <w:style w:type="paragraph" w:styleId="5">
    <w:name w:val="macro"/>
    <w:link w:val="151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5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6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7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8">
    <w:name w:val="caption"/>
    <w:basedOn w:val="1"/>
    <w:next w:val="19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customStyle="1" w:styleId="19">
    <w:name w:val="KY1正文"/>
    <w:basedOn w:val="20"/>
    <w:autoRedefine/>
    <w:qFormat/>
    <w:uiPriority w:val="0"/>
    <w:pPr>
      <w:spacing w:line="360" w:lineRule="auto"/>
      <w:ind w:firstLine="480" w:firstLineChars="200"/>
      <w:jc w:val="left"/>
    </w:pPr>
    <w:rPr>
      <w:rFonts w:ascii="Times New Roman" w:hAnsi="Times New Roman" w:eastAsia="宋体" w:cstheme="minorEastAsia"/>
      <w:sz w:val="24"/>
    </w:rPr>
  </w:style>
  <w:style w:type="paragraph" w:customStyle="1" w:styleId="20">
    <w:name w:val="!基准"/>
    <w:qFormat/>
    <w:uiPriority w:val="5"/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1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2">
    <w:name w:val="Body Text 3"/>
    <w:basedOn w:val="1"/>
    <w:link w:val="150"/>
    <w:unhideWhenUsed/>
    <w:qFormat/>
    <w:uiPriority w:val="99"/>
    <w:pPr>
      <w:spacing w:after="120"/>
    </w:pPr>
    <w:rPr>
      <w:sz w:val="16"/>
      <w:szCs w:val="16"/>
    </w:rPr>
  </w:style>
  <w:style w:type="paragraph" w:styleId="23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4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5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6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7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8">
    <w:name w:val="footer"/>
    <w:basedOn w:val="1"/>
    <w:link w:val="14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9">
    <w:name w:val="header"/>
    <w:basedOn w:val="1"/>
    <w:link w:val="13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0">
    <w:name w:val="Subtitle"/>
    <w:basedOn w:val="1"/>
    <w:next w:val="1"/>
    <w:link w:val="14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1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32">
    <w:name w:val="Body Text 2"/>
    <w:basedOn w:val="1"/>
    <w:link w:val="149"/>
    <w:unhideWhenUsed/>
    <w:qFormat/>
    <w:uiPriority w:val="99"/>
    <w:pPr>
      <w:spacing w:after="120" w:line="480" w:lineRule="auto"/>
    </w:pPr>
  </w:style>
  <w:style w:type="paragraph" w:styleId="33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4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5">
    <w:name w:val="Title"/>
    <w:basedOn w:val="1"/>
    <w:next w:val="1"/>
    <w:link w:val="145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7">
    <w:name w:val="Table Grid"/>
    <w:basedOn w:val="3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8">
    <w:name w:val="Light Shading"/>
    <w:basedOn w:val="36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9">
    <w:name w:val="Light Shading Accent 1"/>
    <w:basedOn w:val="36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40">
    <w:name w:val="Light Shading Accent 2"/>
    <w:basedOn w:val="36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1">
    <w:name w:val="Light Shading Accent 3"/>
    <w:basedOn w:val="36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2">
    <w:name w:val="Light Shading Accent 4"/>
    <w:basedOn w:val="36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3">
    <w:name w:val="Light Shading Accent 5"/>
    <w:basedOn w:val="36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4">
    <w:name w:val="Light Shading Accent 6"/>
    <w:basedOn w:val="36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5">
    <w:name w:val="Light List"/>
    <w:basedOn w:val="36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6">
    <w:name w:val="Light List Accent 1"/>
    <w:basedOn w:val="36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7">
    <w:name w:val="Light List Accent 2"/>
    <w:basedOn w:val="36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8">
    <w:name w:val="Light List Accent 3"/>
    <w:basedOn w:val="36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9">
    <w:name w:val="Light List Accent 4"/>
    <w:basedOn w:val="36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50">
    <w:name w:val="Light List Accent 5"/>
    <w:basedOn w:val="36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1">
    <w:name w:val="Light List Accent 6"/>
    <w:basedOn w:val="36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2">
    <w:name w:val="Light Grid"/>
    <w:basedOn w:val="36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3">
    <w:name w:val="Light Grid Accent 1"/>
    <w:basedOn w:val="36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4">
    <w:name w:val="Light Grid Accent 2"/>
    <w:basedOn w:val="36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5">
    <w:name w:val="Light Grid Accent 3"/>
    <w:basedOn w:val="36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6">
    <w:name w:val="Light Grid Accent 4"/>
    <w:basedOn w:val="36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7">
    <w:name w:val="Light Grid Accent 5"/>
    <w:basedOn w:val="36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8">
    <w:name w:val="Light Grid Accent 6"/>
    <w:basedOn w:val="36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9">
    <w:name w:val="Medium Shading 1"/>
    <w:basedOn w:val="36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1"/>
    <w:basedOn w:val="36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2"/>
    <w:basedOn w:val="36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3"/>
    <w:basedOn w:val="36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4"/>
    <w:basedOn w:val="36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1 Accent 5"/>
    <w:basedOn w:val="36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5">
    <w:name w:val="Medium Shading 1 Accent 6"/>
    <w:basedOn w:val="36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6">
    <w:name w:val="Medium Shading 2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1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2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3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4"/>
    <w:basedOn w:val="36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5"/>
    <w:basedOn w:val="36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Shading 2 Accent 6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3">
    <w:name w:val="Medium List 1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4">
    <w:name w:val="Medium List 1 Accent 1"/>
    <w:basedOn w:val="36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5">
    <w:name w:val="Medium List 1 Accent 2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6">
    <w:name w:val="Medium List 1 Accent 3"/>
    <w:basedOn w:val="36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7">
    <w:name w:val="Medium List 1 Accent 4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8">
    <w:name w:val="Medium List 1 Accent 5"/>
    <w:basedOn w:val="36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9">
    <w:name w:val="Medium List 1 Accent 6"/>
    <w:basedOn w:val="36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80">
    <w:name w:val="Medium List 2"/>
    <w:basedOn w:val="36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1"/>
    <w:basedOn w:val="36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2"/>
    <w:basedOn w:val="36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3"/>
    <w:basedOn w:val="36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4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List 2 Accent 5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6">
    <w:name w:val="Medium List 2 Accent 6"/>
    <w:basedOn w:val="36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7">
    <w:name w:val="Medium Grid 1"/>
    <w:basedOn w:val="36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8">
    <w:name w:val="Medium Grid 1 Accent 1"/>
    <w:basedOn w:val="36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9">
    <w:name w:val="Medium Grid 1 Accent 2"/>
    <w:basedOn w:val="36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90">
    <w:name w:val="Medium Grid 1 Accent 3"/>
    <w:basedOn w:val="36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91">
    <w:name w:val="Medium Grid 1 Accent 4"/>
    <w:basedOn w:val="36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2">
    <w:name w:val="Medium Grid 1 Accent 5"/>
    <w:basedOn w:val="36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3">
    <w:name w:val="Medium Grid 1 Accent 6"/>
    <w:basedOn w:val="36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4">
    <w:name w:val="Medium Grid 2"/>
    <w:basedOn w:val="36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1"/>
    <w:basedOn w:val="36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2"/>
    <w:basedOn w:val="36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3"/>
    <w:basedOn w:val="36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4"/>
    <w:basedOn w:val="36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2 Accent 5"/>
    <w:basedOn w:val="36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2 Accent 6"/>
    <w:basedOn w:val="36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1">
    <w:name w:val="Medium Grid 3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2">
    <w:name w:val="Medium Grid 3 Accent 1"/>
    <w:basedOn w:val="36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3">
    <w:name w:val="Medium Grid 3 Accent 2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4">
    <w:name w:val="Medium Grid 3 Accent 3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5">
    <w:name w:val="Medium Grid 3 Accent 4"/>
    <w:basedOn w:val="36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6">
    <w:name w:val="Medium Grid 3 Accent 5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7">
    <w:name w:val="Medium Grid 3 Accent 6"/>
    <w:basedOn w:val="36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8">
    <w:name w:val="Dark List"/>
    <w:basedOn w:val="36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9">
    <w:name w:val="Dark List Accent 1"/>
    <w:basedOn w:val="36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10">
    <w:name w:val="Dark List Accent 2"/>
    <w:basedOn w:val="36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1">
    <w:name w:val="Dark List Accent 3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2">
    <w:name w:val="Dark List Accent 4"/>
    <w:basedOn w:val="36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3">
    <w:name w:val="Dark List Accent 5"/>
    <w:basedOn w:val="36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4">
    <w:name w:val="Dark List Accent 6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5">
    <w:name w:val="Colorful Shading"/>
    <w:basedOn w:val="36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1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2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3"/>
    <w:basedOn w:val="36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9">
    <w:name w:val="Colorful Shading Accent 4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5"/>
    <w:basedOn w:val="36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Shading Accent 6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2">
    <w:name w:val="Colorful List"/>
    <w:basedOn w:val="36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3">
    <w:name w:val="Colorful List Accent 1"/>
    <w:basedOn w:val="36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4">
    <w:name w:val="Colorful List Accent 2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5">
    <w:name w:val="Colorful List Accent 3"/>
    <w:basedOn w:val="36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6">
    <w:name w:val="Colorful List Accent 4"/>
    <w:basedOn w:val="36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7">
    <w:name w:val="Colorful List Accent 5"/>
    <w:basedOn w:val="36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8">
    <w:name w:val="Colorful List Accent 6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9">
    <w:name w:val="Colorful Grid"/>
    <w:basedOn w:val="36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30">
    <w:name w:val="Colorful Grid Accent 1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31">
    <w:name w:val="Colorful Grid Accent 2"/>
    <w:basedOn w:val="36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Colorful Grid Accent 3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3">
    <w:name w:val="Colorful Grid Accent 4"/>
    <w:basedOn w:val="36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4">
    <w:name w:val="Colorful Grid Accent 5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5">
    <w:name w:val="Colorful Grid Accent 6"/>
    <w:basedOn w:val="36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7">
    <w:name w:val="Strong"/>
    <w:basedOn w:val="136"/>
    <w:qFormat/>
    <w:uiPriority w:val="22"/>
    <w:rPr>
      <w:b/>
      <w:bCs/>
    </w:rPr>
  </w:style>
  <w:style w:type="character" w:styleId="138">
    <w:name w:val="Emphasis"/>
    <w:basedOn w:val="136"/>
    <w:qFormat/>
    <w:uiPriority w:val="20"/>
    <w:rPr>
      <w:i/>
      <w:iCs/>
    </w:rPr>
  </w:style>
  <w:style w:type="character" w:customStyle="1" w:styleId="139">
    <w:name w:val="Header Char"/>
    <w:basedOn w:val="136"/>
    <w:link w:val="29"/>
    <w:uiPriority w:val="99"/>
  </w:style>
  <w:style w:type="character" w:customStyle="1" w:styleId="140">
    <w:name w:val="Footer Char"/>
    <w:basedOn w:val="136"/>
    <w:link w:val="28"/>
    <w:qFormat/>
    <w:uiPriority w:val="99"/>
  </w:style>
  <w:style w:type="paragraph" w:styleId="14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2">
    <w:name w:val="Heading 1 Char"/>
    <w:basedOn w:val="136"/>
    <w:link w:val="6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3">
    <w:name w:val="Heading 2 Char"/>
    <w:basedOn w:val="136"/>
    <w:link w:val="7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4">
    <w:name w:val="Heading 3 Char"/>
    <w:basedOn w:val="136"/>
    <w:link w:val="8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5">
    <w:name w:val="Title Char"/>
    <w:basedOn w:val="136"/>
    <w:link w:val="3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6">
    <w:name w:val="Subtitle Char"/>
    <w:basedOn w:val="136"/>
    <w:link w:val="3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Body Text Char"/>
    <w:basedOn w:val="136"/>
    <w:link w:val="2"/>
    <w:qFormat/>
    <w:uiPriority w:val="99"/>
  </w:style>
  <w:style w:type="character" w:customStyle="1" w:styleId="149">
    <w:name w:val="Body Text 2 Char"/>
    <w:basedOn w:val="136"/>
    <w:link w:val="32"/>
    <w:qFormat/>
    <w:uiPriority w:val="99"/>
  </w:style>
  <w:style w:type="character" w:customStyle="1" w:styleId="150">
    <w:name w:val="Body Text 3 Char"/>
    <w:basedOn w:val="136"/>
    <w:link w:val="22"/>
    <w:qFormat/>
    <w:uiPriority w:val="99"/>
    <w:rPr>
      <w:sz w:val="16"/>
      <w:szCs w:val="16"/>
    </w:rPr>
  </w:style>
  <w:style w:type="character" w:customStyle="1" w:styleId="151">
    <w:name w:val="Macro Text Char"/>
    <w:basedOn w:val="136"/>
    <w:link w:val="5"/>
    <w:qFormat/>
    <w:uiPriority w:val="99"/>
    <w:rPr>
      <w:rFonts w:ascii="Courier" w:hAnsi="Courier"/>
      <w:sz w:val="20"/>
      <w:szCs w:val="20"/>
    </w:rPr>
  </w:style>
  <w:style w:type="paragraph" w:styleId="152">
    <w:name w:val="Quote"/>
    <w:basedOn w:val="1"/>
    <w:next w:val="1"/>
    <w:link w:val="153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3">
    <w:name w:val="Quote Char"/>
    <w:basedOn w:val="136"/>
    <w:link w:val="15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4">
    <w:name w:val="Heading 4 Char"/>
    <w:basedOn w:val="136"/>
    <w:link w:val="9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5">
    <w:name w:val="Heading 5 Char"/>
    <w:basedOn w:val="136"/>
    <w:link w:val="10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6">
    <w:name w:val="Heading 6 Char"/>
    <w:basedOn w:val="136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7">
    <w:name w:val="Heading 7 Char"/>
    <w:basedOn w:val="136"/>
    <w:link w:val="12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Heading 8 Char"/>
    <w:basedOn w:val="136"/>
    <w:link w:val="13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9">
    <w:name w:val="Heading 9 Char"/>
    <w:basedOn w:val="136"/>
    <w:link w:val="14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60">
    <w:name w:val="Intense Quote"/>
    <w:basedOn w:val="1"/>
    <w:next w:val="1"/>
    <w:link w:val="161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Intense Quote Char"/>
    <w:basedOn w:val="136"/>
    <w:link w:val="160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Emphasis"/>
    <w:basedOn w:val="136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3">
    <w:name w:val="Intense Emphasis"/>
    <w:basedOn w:val="136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4">
    <w:name w:val="Subtle Reference"/>
    <w:basedOn w:val="136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5">
    <w:name w:val="Intense Reference"/>
    <w:basedOn w:val="136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6">
    <w:name w:val="Book Title"/>
    <w:basedOn w:val="136"/>
    <w:qFormat/>
    <w:uiPriority w:val="33"/>
    <w:rPr>
      <w:b/>
      <w:bCs/>
      <w:smallCaps/>
      <w:spacing w:val="5"/>
    </w:rPr>
  </w:style>
  <w:style w:type="paragraph" w:customStyle="1" w:styleId="167">
    <w:name w:val="TOC Heading"/>
    <w:basedOn w:val="6"/>
    <w:next w:val="1"/>
    <w:semiHidden/>
    <w:unhideWhenUsed/>
    <w:qFormat/>
    <w:uiPriority w:val="39"/>
    <w:pPr>
      <w:outlineLvl w:val="9"/>
    </w:pPr>
  </w:style>
  <w:style w:type="paragraph" w:customStyle="1" w:styleId="168">
    <w:name w:val="KY3表文"/>
    <w:basedOn w:val="1"/>
    <w:autoRedefine/>
    <w:qFormat/>
    <w:uiPriority w:val="0"/>
    <w:pPr>
      <w:widowControl/>
      <w:snapToGrid w:val="0"/>
      <w:contextualSpacing/>
      <w:jc w:val="center"/>
    </w:pPr>
    <w:rPr>
      <w:rFonts w:ascii="Times New Roman" w:hAnsi="Times New Roman" w:eastAsia="宋体" w:cs="Times New Roman"/>
      <w:color w:val="000000" w:themeColor="text1"/>
      <w:kern w:val="0"/>
      <w:szCs w:val="24"/>
      <w14:textFill>
        <w14:solidFill>
          <w14:schemeClr w14:val="tx1"/>
        </w14:solidFill>
      </w14:textFill>
    </w:rPr>
  </w:style>
  <w:style w:type="table" w:customStyle="1" w:styleId="169">
    <w:name w:val="FC1"/>
    <w:basedOn w:val="36"/>
    <w:autoRedefine/>
    <w:qFormat/>
    <w:uiPriority w:val="99"/>
    <w:pPr>
      <w:jc w:val="both"/>
    </w:pPr>
    <w:rPr>
      <w:szCs w:val="21"/>
    </w:rPr>
    <w:tblPr>
      <w:tblBorders>
        <w:top w:val="double" w:color="auto" w:sz="4" w:space="0"/>
        <w:left w:val="double" w:color="auto" w:sz="4" w:space="0"/>
        <w:bottom w:val="double" w:color="auto" w:sz="4" w:space="0"/>
        <w:right w:val="double" w:color="auto" w:sz="4" w:space="0"/>
        <w:insideH w:val="single" w:color="auto" w:sz="4" w:space="0"/>
        <w:insideV w:val="single" w:color="auto" w:sz="4" w:space="0"/>
      </w:tblBorders>
    </w:tblPr>
    <w:tcPr>
      <w:vAlign w:val="center"/>
    </w:tcPr>
    <w:tblStylePr w:type="firstRow">
      <w:rPr>
        <w:b/>
      </w:rPr>
      <w:tcPr>
        <w:tcBorders>
          <w:top w:val="double" w:color="auto" w:sz="4" w:space="0"/>
          <w:left w:val="double" w:color="auto" w:sz="4" w:space="0"/>
          <w:bottom w:val="single" w:color="auto" w:sz="4" w:space="0"/>
          <w:right w:val="double" w:color="auto" w:sz="4" w:space="0"/>
          <w:insideH w:val="nil"/>
          <w:insideV w:val="single" w:sz="4" w:space="0"/>
          <w:tl2br w:val="nil"/>
          <w:tr2bl w:val="nil"/>
        </w:tcBorders>
        <w:shd w:val="clear" w:color="auto" w:fill="BFBFB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2059</Words>
  <Characters>2120</Characters>
  <Lines>0</Lines>
  <Paragraphs>0</Paragraphs>
  <TotalTime>0</TotalTime>
  <ScaleCrop>false</ScaleCrop>
  <LinksUpToDate>false</LinksUpToDate>
  <CharactersWithSpaces>2138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周暖青</cp:lastModifiedBy>
  <dcterms:modified xsi:type="dcterms:W3CDTF">2026-08-07T03:31:24Z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eyJoZGlkIjoiZDkyZDQ0YWRiYWM5YzVjNThkZjQ3ZWRjMzU5NmUyZGIiLCJ1c2VySWQiOiIxNzg1ODI5NjQyIn0=</vt:lpwstr>
  </property>
  <property fmtid="{D5CDD505-2E9C-101B-9397-08002B2CF9AE}" pid="3" name="KSOProductBuildVer">
    <vt:lpwstr>2052-12.1.0.28043</vt:lpwstr>
  </property>
  <property fmtid="{D5CDD505-2E9C-101B-9397-08002B2CF9AE}" pid="4" name="ICV">
    <vt:lpwstr>825CB296F8444E47A02D4C08B8AA70B4_12</vt:lpwstr>
  </property>
</Properties>
</file>