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3E9F8">
      <w:pPr>
        <w:jc w:val="center"/>
      </w:pPr>
      <w:bookmarkStart w:id="0" w:name="_GoBack"/>
      <w:bookmarkEnd w:id="0"/>
      <w:r>
        <w:rPr>
          <w:rFonts w:hint="eastAsia" w:ascii="黑体" w:hAnsi="黑体" w:eastAsia="黑体"/>
          <w:b/>
          <w:sz w:val="32"/>
        </w:rPr>
        <w:t>检伤分类系统(救援队)</w:t>
      </w:r>
    </w:p>
    <w:p w14:paraId="08B372E5">
      <w:r>
        <w:rPr>
          <w:rFonts w:ascii="黑体" w:hAnsi="黑体" w:eastAsia="黑体"/>
          <w:b/>
          <w:sz w:val="26"/>
        </w:rPr>
        <w:t>一、建设背景与总体内容</w:t>
      </w:r>
    </w:p>
    <w:p w14:paraId="21B680E8">
      <w:r>
        <w:rPr>
          <w:rFonts w:hint="eastAsia" w:ascii="宋体" w:hAnsi="宋体" w:eastAsia="宋体"/>
          <w:b w:val="0"/>
          <w:sz w:val="22"/>
        </w:rPr>
        <w:t>检伤分类系统面向国家紧急医学救援队现场救援场景，通过建立统一的检伤分类标准体系，结合 PDA 移动终端应用，实现伤员“现场检伤—转运前评估—转运中监控—转运后交接—院内救治结局”全流程数据闭环，提升医学救援现场处置效率与伤员救治质量。系统由 PC 端管理应用与 PDA 现场端应用组成，内置标准检伤方法库与各类字典，支撑不同灾害类型下快速、规范的伤员分拣</w:t>
      </w:r>
      <w:r>
        <w:rPr>
          <w:rFonts w:ascii="宋体" w:hAnsi="宋体" w:eastAsia="宋体"/>
          <w:b w:val="0"/>
          <w:sz w:val="22"/>
        </w:rPr>
        <w:t>。</w:t>
      </w:r>
    </w:p>
    <w:p w14:paraId="4CBFCE58">
      <w:pPr>
        <w:rPr>
          <w:rFonts w:ascii="黑体" w:hAnsi="黑体" w:eastAsia="黑体"/>
          <w:b/>
          <w:sz w:val="26"/>
        </w:rPr>
      </w:pPr>
      <w:r>
        <w:rPr>
          <w:rFonts w:ascii="黑体" w:hAnsi="黑体" w:eastAsia="黑体"/>
          <w:b/>
          <w:sz w:val="26"/>
        </w:rPr>
        <w:t>二、PC 端主要功能</w:t>
      </w:r>
    </w:p>
    <w:p w14:paraId="5DB24783">
      <w:pPr>
        <w:rPr>
          <w:rFonts w:ascii="黑体" w:hAnsi="黑体" w:eastAsia="黑体"/>
          <w:b/>
          <w:sz w:val="22"/>
        </w:rPr>
      </w:pPr>
      <w:r>
        <w:rPr>
          <w:rFonts w:ascii="黑体" w:hAnsi="黑体" w:eastAsia="黑体"/>
          <w:b/>
          <w:sz w:val="22"/>
        </w:rPr>
        <w:t>1. 标准库建设</w:t>
      </w:r>
    </w:p>
    <w:p w14:paraId="7009E5C1">
      <w:r>
        <w:rPr>
          <w:b w:val="0"/>
        </w:rPr>
        <w:t>内置多种通用及专项检伤分类方法（如 START、JumpSTART、SALT、MASS、Sieve、CBRN、核与辐射、烧伤专项、炭疽专项等），支持自定义检伤方案配置；建立事件与灾情类型、受伤部位与伤情、处置措施等标准字典，支撑结构化数据录入与统计。</w:t>
      </w:r>
    </w:p>
    <w:p w14:paraId="76426912">
      <w:pPr>
        <w:rPr>
          <w:rFonts w:ascii="黑体" w:hAnsi="黑体" w:eastAsia="黑体"/>
          <w:b/>
          <w:sz w:val="22"/>
        </w:rPr>
      </w:pPr>
      <w:r>
        <w:rPr>
          <w:rFonts w:ascii="黑体" w:hAnsi="黑体" w:eastAsia="黑体"/>
          <w:b/>
          <w:sz w:val="22"/>
        </w:rPr>
        <w:t>2. 检伤分析</w:t>
      </w:r>
    </w:p>
    <w:p w14:paraId="52605546">
      <w:r>
        <w:rPr>
          <w:b w:val="0"/>
        </w:rPr>
        <w:t>提供按检伤分级、伤情、伤部、病例状态等多维度的统计与查询，并支持自动生成救援任务总结分析报告，为救援效果评估与预案优化提供数据依据。</w:t>
      </w:r>
    </w:p>
    <w:p w14:paraId="2DA5A288">
      <w:pPr>
        <w:rPr>
          <w:rFonts w:ascii="黑体" w:hAnsi="黑体" w:eastAsia="黑体"/>
          <w:b/>
          <w:sz w:val="22"/>
        </w:rPr>
      </w:pPr>
      <w:r>
        <w:rPr>
          <w:rFonts w:ascii="黑体" w:hAnsi="黑体" w:eastAsia="黑体"/>
          <w:b/>
          <w:sz w:val="22"/>
        </w:rPr>
        <w:t>3. 病例整体信息</w:t>
      </w:r>
    </w:p>
    <w:p w14:paraId="76FF5E8C">
      <w:r>
        <w:rPr>
          <w:b w:val="0"/>
        </w:rPr>
        <w:t>集中展示伤员基础信息、历次检伤分级结果及判定依据、伤情、伤部、处置措施与去向等全流程数据，支持历史追溯。</w:t>
      </w:r>
    </w:p>
    <w:p w14:paraId="45C92B37">
      <w:pPr>
        <w:rPr>
          <w:rFonts w:ascii="黑体" w:hAnsi="黑体" w:eastAsia="黑体"/>
          <w:b/>
          <w:sz w:val="22"/>
        </w:rPr>
      </w:pPr>
      <w:r>
        <w:rPr>
          <w:rFonts w:ascii="黑体" w:hAnsi="黑体" w:eastAsia="黑体"/>
          <w:b/>
          <w:sz w:val="22"/>
        </w:rPr>
        <w:t>4. 可视化大屏</w:t>
      </w:r>
    </w:p>
    <w:p w14:paraId="3662AC36">
      <w:r>
        <w:rPr>
          <w:b w:val="0"/>
        </w:rPr>
        <w:t>以图表形式动态展示检伤方法库、事件灾情图谱、任务数据监控与多维度统计分析，为现场指挥决策提供可视化支撑。</w:t>
      </w:r>
    </w:p>
    <w:p w14:paraId="21B59017">
      <w:pPr>
        <w:rPr>
          <w:rFonts w:ascii="黑体" w:hAnsi="黑体" w:eastAsia="黑体"/>
          <w:b/>
          <w:sz w:val="22"/>
        </w:rPr>
      </w:pPr>
      <w:r>
        <w:rPr>
          <w:rFonts w:ascii="黑体" w:hAnsi="黑体" w:eastAsia="黑体"/>
          <w:b/>
          <w:sz w:val="22"/>
        </w:rPr>
        <w:t>5. 后台管理</w:t>
      </w:r>
    </w:p>
    <w:p w14:paraId="49F23999">
      <w:r>
        <w:rPr>
          <w:b w:val="0"/>
        </w:rPr>
        <w:t>包括 PDA 设备管理、检伤模型参数配置、字典配置、角色与权限管理、操作日志管理等，保障系统可控、可用与可追溯。</w:t>
      </w:r>
    </w:p>
    <w:p w14:paraId="6A33E16F">
      <w:pPr>
        <w:rPr>
          <w:rFonts w:ascii="黑体" w:hAnsi="黑体" w:eastAsia="黑体"/>
          <w:b/>
          <w:sz w:val="26"/>
        </w:rPr>
      </w:pPr>
      <w:r>
        <w:rPr>
          <w:rFonts w:ascii="黑体" w:hAnsi="黑体" w:eastAsia="黑体"/>
          <w:b/>
          <w:sz w:val="26"/>
        </w:rPr>
        <w:t>三、PDA 现场端主要功能</w:t>
      </w:r>
    </w:p>
    <w:p w14:paraId="3F8F22C4">
      <w:r>
        <w:rPr>
          <w:b w:val="0"/>
        </w:rPr>
        <w:t>现场快速检伤：支持任务获取与离线保存、RFID 腕带自动识别与伤员档案创建、按检伤方案分步引导与自动分级、语音指令辅助大规模初筛、操作可回溯；</w:t>
      </w:r>
    </w:p>
    <w:p w14:paraId="39EF336D">
      <w:r>
        <w:rPr>
          <w:b w:val="0"/>
        </w:rPr>
        <w:t>伤情处置记录：标准化记录受伤部位、伤情类型、处置措施与病例去向；</w:t>
      </w:r>
    </w:p>
    <w:p w14:paraId="7238F237">
      <w:r>
        <w:rPr>
          <w:b w:val="0"/>
        </w:rPr>
        <w:t>检伤结果列表与设备信息展示：集中展示已检伤伤员信息与数据提交状态，支持设备基础信息与配置同步。</w:t>
      </w:r>
    </w:p>
    <w:p w14:paraId="6B2C694D">
      <w:pPr>
        <w:rPr>
          <w:rFonts w:ascii="黑体" w:hAnsi="黑体" w:eastAsia="黑体"/>
          <w:b/>
          <w:sz w:val="26"/>
        </w:rPr>
      </w:pPr>
      <w:r>
        <w:rPr>
          <w:rFonts w:ascii="黑体" w:hAnsi="黑体" w:eastAsia="黑体"/>
          <w:b/>
          <w:sz w:val="26"/>
        </w:rPr>
        <w:t>四、系统接口设计</w:t>
      </w:r>
    </w:p>
    <w:p w14:paraId="3C1F3BF8">
      <w:r>
        <w:rPr>
          <w:b w:val="0"/>
        </w:rPr>
        <w:t>系统提供标准 Restful API，与国家紧急医学救援队（福建）信息化管理平台、紧急医学救援指挥业务系统对接，实现任务数据、检伤结果数据的双向同步与共享。（接口字段细节本版省略，由采购人另行提供。）</w:t>
      </w:r>
    </w:p>
    <w:p w14:paraId="2B7A3058">
      <w:pPr>
        <w:rPr>
          <w:rFonts w:ascii="黑体" w:hAnsi="黑体" w:eastAsia="黑体"/>
          <w:b/>
          <w:sz w:val="26"/>
        </w:rPr>
      </w:pPr>
      <w:r>
        <w:rPr>
          <w:rFonts w:ascii="黑体" w:hAnsi="黑体" w:eastAsia="黑体"/>
          <w:b/>
          <w:sz w:val="26"/>
        </w:rPr>
        <w:t>五、配套硬件</w:t>
      </w:r>
    </w:p>
    <w:p w14:paraId="7C5AE002">
      <w:pPr>
        <w:rPr>
          <w:rFonts w:hint="eastAsia" w:ascii="黑体" w:hAnsi="黑体" w:eastAsia="黑体"/>
          <w:b/>
          <w:sz w:val="22"/>
        </w:rPr>
      </w:pPr>
      <w:r>
        <w:rPr>
          <w:rFonts w:hint="eastAsia" w:ascii="黑体" w:hAnsi="黑体" w:eastAsia="黑体"/>
          <w:b/>
          <w:sz w:val="22"/>
          <w:lang w:val="en-US" w:eastAsia="zh-CN"/>
        </w:rPr>
        <w:t>1、</w:t>
      </w:r>
      <w:r>
        <w:rPr>
          <w:rFonts w:hint="eastAsia" w:ascii="黑体" w:hAnsi="黑体" w:eastAsia="黑体"/>
          <w:b/>
          <w:sz w:val="22"/>
        </w:rPr>
        <w:t>PDA</w:t>
      </w:r>
    </w:p>
    <w:p w14:paraId="455096D3">
      <w:pPr>
        <w:pStyle w:val="19"/>
        <w:rPr>
          <w:lang w:eastAsia="zh"/>
        </w:rPr>
      </w:pPr>
      <w:r>
        <w:rPr>
          <w:rFonts w:hint="eastAsia"/>
        </w:rPr>
        <w:t>PDA作为现场检伤分类的移动终端，支持</w:t>
      </w:r>
      <w:r>
        <w:rPr>
          <w:rFonts w:hint="eastAsia"/>
          <w:lang w:eastAsia="zh"/>
        </w:rPr>
        <w:t>救援队通过PDA扫描伤员标签卡</w:t>
      </w:r>
      <w:r>
        <w:rPr>
          <w:rFonts w:hint="eastAsia"/>
        </w:rPr>
        <w:t>实时录入伤员基本信息、</w:t>
      </w:r>
      <w:r>
        <w:rPr>
          <w:rFonts w:hint="eastAsia"/>
          <w:lang w:eastAsia="zh"/>
        </w:rPr>
        <w:t>检伤分类数据、伤情伤部</w:t>
      </w:r>
      <w:r>
        <w:rPr>
          <w:rFonts w:hint="eastAsia"/>
        </w:rPr>
        <w:t>及救治措施，并生成电子伤票。</w:t>
      </w:r>
      <w:r>
        <w:rPr>
          <w:rFonts w:hint="eastAsia"/>
          <w:lang w:eastAsia="zh"/>
        </w:rPr>
        <w:t>支持通过蜂窝网络、蓝牙、无线局域网等方式传输数据。</w:t>
      </w:r>
    </w:p>
    <w:p w14:paraId="3FB6FE49">
      <w:pPr>
        <w:pStyle w:val="19"/>
        <w:rPr>
          <w:lang w:eastAsia="zh"/>
        </w:rPr>
      </w:pPr>
      <w:r>
        <w:rPr>
          <w:rFonts w:hint="eastAsia"/>
        </w:rPr>
        <w:t>国家紧急医学救援（福建）队配备10台，</w:t>
      </w:r>
      <w:r>
        <w:rPr>
          <w:rFonts w:hint="eastAsia"/>
          <w:lang w:eastAsia="zh"/>
        </w:rPr>
        <w:t>21支</w:t>
      </w:r>
      <w:r>
        <w:rPr>
          <w:rFonts w:hint="eastAsia"/>
        </w:rPr>
        <w:t>省级紧急医学救援队</w:t>
      </w:r>
      <w:r>
        <w:rPr>
          <w:rFonts w:hint="eastAsia"/>
          <w:lang w:eastAsia="zh"/>
        </w:rPr>
        <w:t>各</w:t>
      </w:r>
      <w:r>
        <w:rPr>
          <w:rFonts w:hint="eastAsia"/>
        </w:rPr>
        <w:t>配备2台，</w:t>
      </w:r>
      <w:r>
        <w:rPr>
          <w:rFonts w:hint="eastAsia"/>
          <w:lang w:eastAsia="zh"/>
        </w:rPr>
        <w:t>总计</w:t>
      </w:r>
      <w:r>
        <w:rPr>
          <w:rFonts w:hint="eastAsia"/>
        </w:rPr>
        <w:t>52</w:t>
      </w:r>
      <w:r>
        <w:rPr>
          <w:rFonts w:hint="eastAsia"/>
          <w:lang w:eastAsia="zh"/>
        </w:rPr>
        <w:t>台PDA。</w:t>
      </w:r>
    </w:p>
    <w:tbl>
      <w:tblPr>
        <w:tblStyle w:val="37"/>
        <w:tblW w:w="4998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1082"/>
        <w:gridCol w:w="5755"/>
        <w:gridCol w:w="701"/>
        <w:gridCol w:w="627"/>
      </w:tblGrid>
      <w:tr w14:paraId="04DE6A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88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6A4603FE">
            <w:pPr>
              <w:pStyle w:val="168"/>
              <w:rPr>
                <w:b/>
                <w:bCs/>
                <w:lang w:eastAsia="zh"/>
              </w:rPr>
            </w:pPr>
            <w:r>
              <w:rPr>
                <w:rFonts w:hint="eastAsia"/>
                <w:b/>
                <w:bCs/>
                <w:lang w:eastAsia="zh"/>
              </w:rPr>
              <w:t>序号</w:t>
            </w:r>
          </w:p>
        </w:tc>
        <w:tc>
          <w:tcPr>
            <w:tcW w:w="611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1B14206F">
            <w:pPr>
              <w:pStyle w:val="168"/>
              <w:rPr>
                <w:b/>
                <w:bCs/>
                <w:lang w:eastAsia="zh"/>
              </w:rPr>
            </w:pPr>
            <w:r>
              <w:rPr>
                <w:rFonts w:hint="eastAsia"/>
                <w:b/>
                <w:bCs/>
                <w:lang w:eastAsia="zh"/>
              </w:rPr>
              <w:t>硬件名称</w:t>
            </w:r>
          </w:p>
        </w:tc>
        <w:tc>
          <w:tcPr>
            <w:tcW w:w="3249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6E2D1125">
            <w:pPr>
              <w:pStyle w:val="168"/>
              <w:rPr>
                <w:b/>
                <w:bCs/>
                <w:lang w:eastAsia="zh"/>
              </w:rPr>
            </w:pPr>
            <w:r>
              <w:rPr>
                <w:rFonts w:hint="eastAsia"/>
                <w:b/>
                <w:bCs/>
                <w:lang w:eastAsia="zh"/>
              </w:rPr>
              <w:t>参数要求</w:t>
            </w:r>
          </w:p>
        </w:tc>
        <w:tc>
          <w:tcPr>
            <w:tcW w:w="396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51F7BBF1">
            <w:pPr>
              <w:pStyle w:val="168"/>
              <w:rPr>
                <w:b/>
                <w:bCs/>
                <w:lang w:eastAsia="zh"/>
              </w:rPr>
            </w:pPr>
            <w:r>
              <w:rPr>
                <w:rFonts w:hint="eastAsia"/>
                <w:b/>
                <w:bCs/>
                <w:lang w:eastAsia="zh"/>
              </w:rPr>
              <w:t>数量</w:t>
            </w:r>
          </w:p>
        </w:tc>
        <w:tc>
          <w:tcPr>
            <w:tcW w:w="354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27F1DE00">
            <w:pPr>
              <w:pStyle w:val="168"/>
              <w:rPr>
                <w:b/>
                <w:bCs/>
                <w:lang w:eastAsia="zh"/>
              </w:rPr>
            </w:pPr>
            <w:r>
              <w:rPr>
                <w:rFonts w:hint="eastAsia"/>
                <w:b/>
                <w:bCs/>
                <w:lang w:eastAsia="zh"/>
              </w:rPr>
              <w:t>单位</w:t>
            </w:r>
          </w:p>
        </w:tc>
      </w:tr>
      <w:tr w14:paraId="37C18F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" w:type="pct"/>
            <w:tcBorders>
              <w:tl2br w:val="nil"/>
              <w:tr2bl w:val="nil"/>
            </w:tcBorders>
            <w:vAlign w:val="center"/>
          </w:tcPr>
          <w:p w14:paraId="63A7F1A2">
            <w:pPr>
              <w:pStyle w:val="168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1</w:t>
            </w:r>
          </w:p>
        </w:tc>
        <w:tc>
          <w:tcPr>
            <w:tcW w:w="611" w:type="pct"/>
            <w:tcBorders>
              <w:tl2br w:val="nil"/>
              <w:tr2bl w:val="nil"/>
            </w:tcBorders>
            <w:vAlign w:val="center"/>
          </w:tcPr>
          <w:p w14:paraId="3CEDC4D8">
            <w:pPr>
              <w:pStyle w:val="168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PDA</w:t>
            </w:r>
          </w:p>
        </w:tc>
        <w:tc>
          <w:tcPr>
            <w:tcW w:w="3249" w:type="pct"/>
            <w:tcBorders>
              <w:tl2br w:val="nil"/>
              <w:tr2bl w:val="nil"/>
            </w:tcBorders>
            <w:vAlign w:val="center"/>
          </w:tcPr>
          <w:p w14:paraId="08A56904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1.CPU：≥八核2.0G：</w:t>
            </w:r>
          </w:p>
          <w:p w14:paraId="4CBA6A10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2.存储：RAM≥4GB+ROM≥64GB</w:t>
            </w:r>
          </w:p>
          <w:p w14:paraId="2683B6B7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3.支持手套和湿手操作</w:t>
            </w:r>
          </w:p>
          <w:p w14:paraId="26054839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4.电池容量：主机电池：≥5000mAh，手柄电池：≥5200mAh</w:t>
            </w:r>
          </w:p>
          <w:p w14:paraId="33B07FF6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5.SIM接口：至少2个，1个NanoSIM卡槽，另一个卡槽NanoSIM或TF卡</w:t>
            </w:r>
          </w:p>
          <w:p w14:paraId="1529BE43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6.用户存储扩展：MicroSDCard，最大支持256GB</w:t>
            </w:r>
          </w:p>
          <w:p w14:paraId="7D74C529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7.工作温度：最低温度不高于-10℃，最高温度不低于40℃</w:t>
            </w:r>
          </w:p>
          <w:p w14:paraId="03BCB846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8.储存温度：-40℃至+70℃（含电池）</w:t>
            </w:r>
          </w:p>
          <w:p w14:paraId="79F60B00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9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"/>
              </w:rPr>
              <w:t>RFID超高频（UHF）：应用协议标准（EPCC1GEN2/ISO18000-6C），至少基于ImpinjE710芯片可读取距离5米以上的标准卡</w:t>
            </w:r>
          </w:p>
          <w:p w14:paraId="6F10FA54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10.摄像头：主机后置1600万像素摄像头，前置至少500万像素摄像头</w:t>
            </w:r>
          </w:p>
          <w:p w14:paraId="7960681E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11.NFC：符合ISO14443A/B,ISO15693</w:t>
            </w:r>
          </w:p>
          <w:p w14:paraId="02872DA1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12.支持访问无线局域网</w:t>
            </w:r>
          </w:p>
          <w:p w14:paraId="16EE2E2A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13.提供物联网卡，支持5年流量费用</w:t>
            </w:r>
          </w:p>
        </w:tc>
        <w:tc>
          <w:tcPr>
            <w:tcW w:w="396" w:type="pct"/>
            <w:tcBorders>
              <w:tl2br w:val="nil"/>
              <w:tr2bl w:val="nil"/>
            </w:tcBorders>
            <w:vAlign w:val="center"/>
          </w:tcPr>
          <w:p w14:paraId="4A6DCF56">
            <w:pPr>
              <w:pStyle w:val="168"/>
              <w:rPr>
                <w:lang w:eastAsia="zh"/>
              </w:rPr>
            </w:pPr>
            <w:r>
              <w:rPr>
                <w:rFonts w:hint="eastAsia"/>
              </w:rPr>
              <w:t>52</w:t>
            </w:r>
          </w:p>
        </w:tc>
        <w:tc>
          <w:tcPr>
            <w:tcW w:w="354" w:type="pct"/>
            <w:tcBorders>
              <w:tl2br w:val="nil"/>
              <w:tr2bl w:val="nil"/>
            </w:tcBorders>
            <w:vAlign w:val="center"/>
          </w:tcPr>
          <w:p w14:paraId="71B7EB0F">
            <w:pPr>
              <w:pStyle w:val="168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台</w:t>
            </w:r>
          </w:p>
        </w:tc>
      </w:tr>
    </w:tbl>
    <w:p w14:paraId="74C74B05">
      <w:pPr>
        <w:rPr>
          <w:rFonts w:hint="eastAsia" w:ascii="黑体" w:hAnsi="黑体" w:eastAsia="黑体"/>
          <w:b/>
          <w:sz w:val="22"/>
          <w:lang w:val="en-US" w:eastAsia="zh-CN"/>
        </w:rPr>
      </w:pPr>
    </w:p>
    <w:p w14:paraId="17BCD7C4">
      <w:pPr>
        <w:rPr>
          <w:rFonts w:hint="eastAsia" w:ascii="黑体" w:hAnsi="黑体" w:eastAsia="黑体"/>
          <w:b/>
          <w:sz w:val="22"/>
          <w:lang w:val="en-US" w:eastAsia="zh-CN"/>
        </w:rPr>
      </w:pPr>
      <w:r>
        <w:rPr>
          <w:rFonts w:hint="eastAsia" w:ascii="黑体" w:hAnsi="黑体" w:eastAsia="黑体"/>
          <w:b/>
          <w:sz w:val="22"/>
          <w:lang w:val="en-US" w:eastAsia="zh-CN"/>
        </w:rPr>
        <w:t>2、伤员标签卡</w:t>
      </w:r>
      <w:r>
        <w:rPr>
          <w:rFonts w:hint="eastAsia" w:ascii="黑体" w:hAnsi="黑体" w:eastAsia="黑体"/>
          <w:b/>
          <w:sz w:val="22"/>
          <w:lang w:val="en-US" w:eastAsia="zh"/>
        </w:rPr>
        <w:t>（RFID卡）</w:t>
      </w:r>
    </w:p>
    <w:p w14:paraId="42AE364C">
      <w:pPr>
        <w:pStyle w:val="19"/>
        <w:rPr>
          <w:lang w:eastAsia="zh"/>
        </w:rPr>
      </w:pPr>
      <w:r>
        <w:rPr>
          <w:rFonts w:hint="eastAsia"/>
          <w:lang w:eastAsia="zh"/>
        </w:rPr>
        <w:t>伤员标签卡（RFID卡）作为伤员身份标识及伤情数据载体，支持全流程信息追溯。标签卡有唯一ID，支持存储伤员基础信息、伤情等级、救治记录等，与PDA及后台系统实时联动。</w:t>
      </w:r>
    </w:p>
    <w:p w14:paraId="3065CF03">
      <w:pPr>
        <w:pStyle w:val="19"/>
        <w:rPr>
          <w:lang w:eastAsia="zh"/>
        </w:rPr>
      </w:pPr>
      <w:r>
        <w:rPr>
          <w:rFonts w:hint="eastAsia"/>
          <w:lang w:eastAsia="zh"/>
        </w:rPr>
        <w:t>平台业务量主要来源于突发公共事件，假设每年处理四级以上事件100起，每起事件按最低10名伤员计算，每年最少需1000个伤员标签卡。硬件按</w:t>
      </w:r>
      <w:r>
        <w:rPr>
          <w:rFonts w:hint="eastAsia"/>
        </w:rPr>
        <w:t>5</w:t>
      </w:r>
      <w:r>
        <w:rPr>
          <w:rFonts w:hint="eastAsia"/>
          <w:lang w:eastAsia="zh"/>
        </w:rPr>
        <w:t>年</w:t>
      </w:r>
      <w:r>
        <w:rPr>
          <w:rFonts w:hint="eastAsia"/>
        </w:rPr>
        <w:t>进行</w:t>
      </w:r>
      <w:r>
        <w:rPr>
          <w:rFonts w:hint="eastAsia"/>
          <w:lang w:eastAsia="zh"/>
        </w:rPr>
        <w:t>配置，</w:t>
      </w:r>
      <w:r>
        <w:rPr>
          <w:rFonts w:hint="eastAsia"/>
        </w:rPr>
        <w:t>共</w:t>
      </w:r>
      <w:r>
        <w:rPr>
          <w:rFonts w:hint="eastAsia"/>
          <w:lang w:eastAsia="zh"/>
        </w:rPr>
        <w:t>需5000个伤员标签卡。</w:t>
      </w:r>
    </w:p>
    <w:tbl>
      <w:tblPr>
        <w:tblStyle w:val="37"/>
        <w:tblW w:w="4997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397"/>
        <w:gridCol w:w="5450"/>
        <w:gridCol w:w="708"/>
        <w:gridCol w:w="644"/>
      </w:tblGrid>
      <w:tr w14:paraId="011AD8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4CC371EB">
            <w:pPr>
              <w:pStyle w:val="168"/>
              <w:rPr>
                <w:b/>
                <w:bCs/>
                <w:lang w:eastAsia="zh"/>
              </w:rPr>
            </w:pPr>
            <w:r>
              <w:rPr>
                <w:rFonts w:hint="eastAsia"/>
                <w:b/>
                <w:bCs/>
                <w:lang w:eastAsia="zh"/>
              </w:rPr>
              <w:t>序号</w:t>
            </w:r>
          </w:p>
        </w:tc>
        <w:tc>
          <w:tcPr>
            <w:tcW w:w="789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00F61752">
            <w:pPr>
              <w:pStyle w:val="168"/>
              <w:rPr>
                <w:b/>
                <w:bCs/>
                <w:lang w:eastAsia="zh"/>
              </w:rPr>
            </w:pPr>
            <w:r>
              <w:rPr>
                <w:rFonts w:hint="eastAsia"/>
                <w:b/>
                <w:bCs/>
                <w:lang w:eastAsia="zh"/>
              </w:rPr>
              <w:t>硬件名称</w:t>
            </w:r>
          </w:p>
        </w:tc>
        <w:tc>
          <w:tcPr>
            <w:tcW w:w="3077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7BE95B2F">
            <w:pPr>
              <w:pStyle w:val="168"/>
              <w:rPr>
                <w:b/>
                <w:bCs/>
                <w:lang w:eastAsia="zh"/>
              </w:rPr>
            </w:pPr>
            <w:r>
              <w:rPr>
                <w:rFonts w:hint="eastAsia"/>
                <w:b/>
                <w:bCs/>
                <w:lang w:eastAsia="zh"/>
              </w:rPr>
              <w:t>参数要求</w:t>
            </w:r>
          </w:p>
        </w:tc>
        <w:tc>
          <w:tcPr>
            <w:tcW w:w="400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425C1555">
            <w:pPr>
              <w:pStyle w:val="168"/>
              <w:rPr>
                <w:b/>
                <w:bCs/>
                <w:lang w:eastAsia="zh"/>
              </w:rPr>
            </w:pPr>
            <w:r>
              <w:rPr>
                <w:rFonts w:hint="eastAsia"/>
                <w:b/>
                <w:bCs/>
                <w:lang w:eastAsia="zh"/>
              </w:rPr>
              <w:t>数量</w:t>
            </w:r>
          </w:p>
        </w:tc>
        <w:tc>
          <w:tcPr>
            <w:tcW w:w="363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61AB3B9D">
            <w:pPr>
              <w:pStyle w:val="168"/>
              <w:rPr>
                <w:b/>
                <w:bCs/>
                <w:lang w:eastAsia="zh"/>
              </w:rPr>
            </w:pPr>
            <w:r>
              <w:rPr>
                <w:rFonts w:hint="eastAsia"/>
                <w:b/>
                <w:bCs/>
                <w:lang w:eastAsia="zh"/>
              </w:rPr>
              <w:t>单位</w:t>
            </w:r>
          </w:p>
        </w:tc>
      </w:tr>
      <w:tr w14:paraId="45B1E9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" w:type="pct"/>
            <w:tcBorders>
              <w:tl2br w:val="nil"/>
              <w:tr2bl w:val="nil"/>
            </w:tcBorders>
            <w:vAlign w:val="center"/>
          </w:tcPr>
          <w:p w14:paraId="7DFBA6A7">
            <w:pPr>
              <w:pStyle w:val="168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1</w:t>
            </w:r>
          </w:p>
        </w:tc>
        <w:tc>
          <w:tcPr>
            <w:tcW w:w="789" w:type="pct"/>
            <w:tcBorders>
              <w:tl2br w:val="nil"/>
              <w:tr2bl w:val="nil"/>
            </w:tcBorders>
            <w:vAlign w:val="center"/>
          </w:tcPr>
          <w:p w14:paraId="3A355CBD">
            <w:pPr>
              <w:pStyle w:val="168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伤员标签卡（RFID卡）</w:t>
            </w:r>
          </w:p>
        </w:tc>
        <w:tc>
          <w:tcPr>
            <w:tcW w:w="3077" w:type="pct"/>
            <w:tcBorders>
              <w:tl2br w:val="nil"/>
              <w:tr2bl w:val="nil"/>
            </w:tcBorders>
            <w:vAlign w:val="center"/>
          </w:tcPr>
          <w:p w14:paraId="2C339EA5">
            <w:pPr>
              <w:pStyle w:val="168"/>
              <w:jc w:val="left"/>
              <w:rPr>
                <w:rFonts w:hint="eastAsia" w:eastAsia="宋体"/>
                <w:lang w:eastAsia="zh-CN"/>
              </w:rPr>
            </w:pPr>
            <w:r>
              <w:rPr>
                <w:lang w:eastAsia="zh"/>
              </w:rPr>
              <w:t>1.协议频率：采用超高频（UHF）RFID协议，符合ISO18000-6C（EPCC1G2）标准</w:t>
            </w:r>
            <w:r>
              <w:rPr>
                <w:rFonts w:hint="eastAsia"/>
                <w:lang w:eastAsia="zh-CN"/>
              </w:rPr>
              <w:t>。</w:t>
            </w:r>
          </w:p>
          <w:p w14:paraId="5359ED91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2.内存容量：支持用于写入关键医疗信息，如检伤分级、过敏史、首次处置时间等数据。</w:t>
            </w:r>
          </w:p>
          <w:p w14:paraId="3BFBB469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3.读写性能：支持高速读写，数据读写时间≤100ms。</w:t>
            </w:r>
          </w:p>
          <w:p w14:paraId="4244E6BA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4.读取距离：在手持机读写器条件下，有效读取距离应不低于3</w:t>
            </w:r>
            <w:r>
              <w:rPr>
                <w:rFonts w:hint="eastAsia"/>
                <w:lang w:eastAsia="zh-CN"/>
              </w:rPr>
              <w:t>～</w:t>
            </w:r>
            <w:r>
              <w:rPr>
                <w:lang w:eastAsia="zh"/>
              </w:rPr>
              <w:t>5米，以满足快速、非接触式识别的需求。</w:t>
            </w:r>
          </w:p>
          <w:p w14:paraId="68544B74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5.唯一性：每个标签的ID必须是唯一识别。</w:t>
            </w:r>
          </w:p>
          <w:p w14:paraId="04DF91D6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6.形式：应采用腕带式设计，佩戴牢固且不易脱落。</w:t>
            </w:r>
          </w:p>
          <w:p w14:paraId="0FEA796A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7.材质：腕带基材无毒、低过敏、耐腐蚀（如酒精、血液、汗液），便于直接接触皮肤长时间佩戴。</w:t>
            </w:r>
          </w:p>
          <w:p w14:paraId="3140939A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8.防护等级：至少具备IP67防护等级（防尘、可短时浸泡），能够应对雨水、泥浆、泼溅等恶劣现场环境。</w:t>
            </w:r>
          </w:p>
          <w:p w14:paraId="156B4859">
            <w:pPr>
              <w:pStyle w:val="168"/>
              <w:jc w:val="left"/>
              <w:rPr>
                <w:lang w:eastAsia="zh"/>
              </w:rPr>
            </w:pPr>
            <w:r>
              <w:rPr>
                <w:lang w:eastAsia="zh"/>
              </w:rPr>
              <w:t>9.耐温性：工作温度范围：-25°C~+70°C，储存温度范围更宽，以适应南方夏季高温和北方冬季严寒的户外条件。</w:t>
            </w:r>
          </w:p>
        </w:tc>
        <w:tc>
          <w:tcPr>
            <w:tcW w:w="400" w:type="pct"/>
            <w:tcBorders>
              <w:tl2br w:val="nil"/>
              <w:tr2bl w:val="nil"/>
            </w:tcBorders>
            <w:vAlign w:val="center"/>
          </w:tcPr>
          <w:p w14:paraId="4FC34A29">
            <w:pPr>
              <w:pStyle w:val="168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5000</w:t>
            </w:r>
          </w:p>
        </w:tc>
        <w:tc>
          <w:tcPr>
            <w:tcW w:w="363" w:type="pct"/>
            <w:tcBorders>
              <w:tl2br w:val="nil"/>
              <w:tr2bl w:val="nil"/>
            </w:tcBorders>
            <w:vAlign w:val="center"/>
          </w:tcPr>
          <w:p w14:paraId="1200D9D8">
            <w:pPr>
              <w:pStyle w:val="168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个</w:t>
            </w:r>
          </w:p>
        </w:tc>
      </w:tr>
    </w:tbl>
    <w:p w14:paraId="2D5C385F">
      <w:pPr>
        <w:rPr>
          <w:rFonts w:ascii="黑体" w:hAnsi="黑体" w:eastAsia="黑体"/>
          <w:b/>
          <w:sz w:val="26"/>
        </w:rPr>
      </w:pPr>
    </w:p>
    <w:p w14:paraId="64AB2255"/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4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6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23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7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2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7744C90"/>
    <w:rsid w:val="08BB280E"/>
    <w:rsid w:val="1E2702D2"/>
    <w:rsid w:val="26217CFD"/>
    <w:rsid w:val="34817F02"/>
    <w:rsid w:val="3D6F51D8"/>
    <w:rsid w:val="4D302450"/>
    <w:rsid w:val="59E06FAB"/>
    <w:rsid w:val="6848469A"/>
    <w:rsid w:val="68CB7079"/>
    <w:rsid w:val="77C9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宋体" w:hAnsi="宋体" w:eastAsia="宋体" w:cstheme="minorBidi"/>
      <w:sz w:val="22"/>
      <w:szCs w:val="22"/>
      <w:lang w:val="en-US" w:eastAsia="en-US" w:bidi="ar-SA"/>
    </w:rPr>
  </w:style>
  <w:style w:type="paragraph" w:styleId="6">
    <w:name w:val="heading 1"/>
    <w:basedOn w:val="1"/>
    <w:next w:val="1"/>
    <w:link w:val="142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7">
    <w:name w:val="heading 2"/>
    <w:basedOn w:val="1"/>
    <w:next w:val="1"/>
    <w:link w:val="14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8">
    <w:name w:val="heading 3"/>
    <w:basedOn w:val="1"/>
    <w:next w:val="1"/>
    <w:link w:val="144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9">
    <w:name w:val="heading 4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10">
    <w:name w:val="heading 5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11">
    <w:name w:val="heading 6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12">
    <w:name w:val="heading 7"/>
    <w:basedOn w:val="1"/>
    <w:next w:val="1"/>
    <w:link w:val="157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3">
    <w:name w:val="heading 8"/>
    <w:basedOn w:val="1"/>
    <w:next w:val="1"/>
    <w:link w:val="158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4">
    <w:name w:val="heading 9"/>
    <w:basedOn w:val="1"/>
    <w:next w:val="1"/>
    <w:link w:val="159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6">
    <w:name w:val="Default Paragraph Font"/>
    <w:semiHidden/>
    <w:unhideWhenUsed/>
    <w:qFormat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48"/>
    <w:unhideWhenUsed/>
    <w:qFormat/>
    <w:uiPriority w:val="99"/>
    <w:pPr>
      <w:spacing w:after="120"/>
    </w:pPr>
  </w:style>
  <w:style w:type="paragraph" w:styleId="3">
    <w:name w:val="Body Text First Indent 2"/>
    <w:basedOn w:val="4"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4">
    <w:name w:val="Body Text Indent"/>
    <w:basedOn w:val="1"/>
    <w:qFormat/>
    <w:uiPriority w:val="0"/>
    <w:pPr>
      <w:ind w:firstLine="645"/>
    </w:pPr>
    <w:rPr>
      <w:rFonts w:ascii="Arial" w:hAnsi="Arial" w:eastAsia="仿宋_GB2312"/>
      <w:sz w:val="28"/>
    </w:rPr>
  </w:style>
  <w:style w:type="paragraph" w:styleId="5">
    <w:name w:val="macro"/>
    <w:link w:val="151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5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6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7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8">
    <w:name w:val="caption"/>
    <w:basedOn w:val="1"/>
    <w:next w:val="19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customStyle="1" w:styleId="19">
    <w:name w:val="KY1正文"/>
    <w:basedOn w:val="20"/>
    <w:autoRedefine/>
    <w:qFormat/>
    <w:uiPriority w:val="0"/>
    <w:pPr>
      <w:spacing w:line="360" w:lineRule="auto"/>
      <w:ind w:firstLine="480" w:firstLineChars="200"/>
      <w:jc w:val="left"/>
    </w:pPr>
    <w:rPr>
      <w:rFonts w:ascii="Times New Roman" w:hAnsi="Times New Roman" w:eastAsia="宋体" w:cstheme="minorEastAsia"/>
      <w:sz w:val="24"/>
    </w:rPr>
  </w:style>
  <w:style w:type="paragraph" w:customStyle="1" w:styleId="20">
    <w:name w:val="!基准"/>
    <w:qFormat/>
    <w:uiPriority w:val="5"/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1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22">
    <w:name w:val="Body Text 3"/>
    <w:basedOn w:val="1"/>
    <w:link w:val="150"/>
    <w:unhideWhenUsed/>
    <w:qFormat/>
    <w:uiPriority w:val="99"/>
    <w:pPr>
      <w:spacing w:after="120"/>
    </w:pPr>
    <w:rPr>
      <w:sz w:val="16"/>
      <w:szCs w:val="16"/>
    </w:rPr>
  </w:style>
  <w:style w:type="paragraph" w:styleId="23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4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5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6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7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8">
    <w:name w:val="footer"/>
    <w:basedOn w:val="1"/>
    <w:link w:val="14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9">
    <w:name w:val="header"/>
    <w:basedOn w:val="1"/>
    <w:link w:val="13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0">
    <w:name w:val="Subtitle"/>
    <w:basedOn w:val="1"/>
    <w:next w:val="1"/>
    <w:link w:val="14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1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32">
    <w:name w:val="Body Text 2"/>
    <w:basedOn w:val="1"/>
    <w:link w:val="149"/>
    <w:unhideWhenUsed/>
    <w:qFormat/>
    <w:uiPriority w:val="99"/>
    <w:pPr>
      <w:spacing w:after="120" w:line="480" w:lineRule="auto"/>
    </w:pPr>
  </w:style>
  <w:style w:type="paragraph" w:styleId="33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4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5">
    <w:name w:val="Title"/>
    <w:basedOn w:val="1"/>
    <w:next w:val="1"/>
    <w:link w:val="145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7">
    <w:name w:val="Table Grid"/>
    <w:basedOn w:val="3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8">
    <w:name w:val="Light Shading"/>
    <w:basedOn w:val="36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9">
    <w:name w:val="Light Shading Accent 1"/>
    <w:basedOn w:val="36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40">
    <w:name w:val="Light Shading Accent 2"/>
    <w:basedOn w:val="36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1">
    <w:name w:val="Light Shading Accent 3"/>
    <w:basedOn w:val="36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2">
    <w:name w:val="Light Shading Accent 4"/>
    <w:basedOn w:val="36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3">
    <w:name w:val="Light Shading Accent 5"/>
    <w:basedOn w:val="36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4">
    <w:name w:val="Light Shading Accent 6"/>
    <w:basedOn w:val="36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5">
    <w:name w:val="Light List"/>
    <w:basedOn w:val="36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6">
    <w:name w:val="Light List Accent 1"/>
    <w:basedOn w:val="36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7">
    <w:name w:val="Light List Accent 2"/>
    <w:basedOn w:val="36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8">
    <w:name w:val="Light List Accent 3"/>
    <w:basedOn w:val="36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9">
    <w:name w:val="Light List Accent 4"/>
    <w:basedOn w:val="36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50">
    <w:name w:val="Light List Accent 5"/>
    <w:basedOn w:val="36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1">
    <w:name w:val="Light List Accent 6"/>
    <w:basedOn w:val="36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2">
    <w:name w:val="Light Grid"/>
    <w:basedOn w:val="36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3">
    <w:name w:val="Light Grid Accent 1"/>
    <w:basedOn w:val="36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4">
    <w:name w:val="Light Grid Accent 2"/>
    <w:basedOn w:val="36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5">
    <w:name w:val="Light Grid Accent 3"/>
    <w:basedOn w:val="36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6">
    <w:name w:val="Light Grid Accent 4"/>
    <w:basedOn w:val="36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7">
    <w:name w:val="Light Grid Accent 5"/>
    <w:basedOn w:val="36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8">
    <w:name w:val="Light Grid Accent 6"/>
    <w:basedOn w:val="36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9">
    <w:name w:val="Medium Shading 1"/>
    <w:basedOn w:val="36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1"/>
    <w:basedOn w:val="36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2"/>
    <w:basedOn w:val="36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3"/>
    <w:basedOn w:val="36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1 Accent 4"/>
    <w:basedOn w:val="36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4">
    <w:name w:val="Medium Shading 1 Accent 5"/>
    <w:basedOn w:val="36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5">
    <w:name w:val="Medium Shading 1 Accent 6"/>
    <w:basedOn w:val="36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6">
    <w:name w:val="Medium Shading 2"/>
    <w:basedOn w:val="36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1"/>
    <w:basedOn w:val="36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2"/>
    <w:basedOn w:val="36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3"/>
    <w:basedOn w:val="36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4"/>
    <w:basedOn w:val="36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5"/>
    <w:basedOn w:val="36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Shading 2 Accent 6"/>
    <w:basedOn w:val="36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3">
    <w:name w:val="Medium List 1"/>
    <w:basedOn w:val="36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4">
    <w:name w:val="Medium List 1 Accent 1"/>
    <w:basedOn w:val="36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5">
    <w:name w:val="Medium List 1 Accent 2"/>
    <w:basedOn w:val="36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6">
    <w:name w:val="Medium List 1 Accent 3"/>
    <w:basedOn w:val="36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7">
    <w:name w:val="Medium List 1 Accent 4"/>
    <w:basedOn w:val="36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8">
    <w:name w:val="Medium List 1 Accent 5"/>
    <w:basedOn w:val="36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9">
    <w:name w:val="Medium List 1 Accent 6"/>
    <w:basedOn w:val="36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80">
    <w:name w:val="Medium List 2"/>
    <w:basedOn w:val="36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1"/>
    <w:basedOn w:val="36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2"/>
    <w:basedOn w:val="36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3"/>
    <w:basedOn w:val="36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List 2 Accent 4"/>
    <w:basedOn w:val="36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5">
    <w:name w:val="Medium List 2 Accent 5"/>
    <w:basedOn w:val="36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6">
    <w:name w:val="Medium List 2 Accent 6"/>
    <w:basedOn w:val="36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7">
    <w:name w:val="Medium Grid 1"/>
    <w:basedOn w:val="36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8">
    <w:name w:val="Medium Grid 1 Accent 1"/>
    <w:basedOn w:val="36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9">
    <w:name w:val="Medium Grid 1 Accent 2"/>
    <w:basedOn w:val="36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90">
    <w:name w:val="Medium Grid 1 Accent 3"/>
    <w:basedOn w:val="36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91">
    <w:name w:val="Medium Grid 1 Accent 4"/>
    <w:basedOn w:val="36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92">
    <w:name w:val="Medium Grid 1 Accent 5"/>
    <w:basedOn w:val="36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3">
    <w:name w:val="Medium Grid 1 Accent 6"/>
    <w:basedOn w:val="36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4">
    <w:name w:val="Medium Grid 2"/>
    <w:basedOn w:val="36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1"/>
    <w:basedOn w:val="36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2"/>
    <w:basedOn w:val="36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3"/>
    <w:basedOn w:val="36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2 Accent 4"/>
    <w:basedOn w:val="36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9">
    <w:name w:val="Medium Grid 2 Accent 5"/>
    <w:basedOn w:val="36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2 Accent 6"/>
    <w:basedOn w:val="36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1">
    <w:name w:val="Medium Grid 3"/>
    <w:basedOn w:val="36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2">
    <w:name w:val="Medium Grid 3 Accent 1"/>
    <w:basedOn w:val="36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3">
    <w:name w:val="Medium Grid 3 Accent 2"/>
    <w:basedOn w:val="36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4">
    <w:name w:val="Medium Grid 3 Accent 3"/>
    <w:basedOn w:val="36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5">
    <w:name w:val="Medium Grid 3 Accent 4"/>
    <w:basedOn w:val="36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6">
    <w:name w:val="Medium Grid 3 Accent 5"/>
    <w:basedOn w:val="36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7">
    <w:name w:val="Medium Grid 3 Accent 6"/>
    <w:basedOn w:val="36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8">
    <w:name w:val="Dark List"/>
    <w:basedOn w:val="36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9">
    <w:name w:val="Dark List Accent 1"/>
    <w:basedOn w:val="36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10">
    <w:name w:val="Dark List Accent 2"/>
    <w:basedOn w:val="36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1">
    <w:name w:val="Dark List Accent 3"/>
    <w:basedOn w:val="36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2">
    <w:name w:val="Dark List Accent 4"/>
    <w:basedOn w:val="36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3">
    <w:name w:val="Dark List Accent 5"/>
    <w:basedOn w:val="36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4">
    <w:name w:val="Dark List Accent 6"/>
    <w:basedOn w:val="36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5">
    <w:name w:val="Colorful Shading"/>
    <w:basedOn w:val="36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1"/>
    <w:basedOn w:val="36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2"/>
    <w:basedOn w:val="36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3"/>
    <w:basedOn w:val="36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9">
    <w:name w:val="Colorful Shading Accent 4"/>
    <w:basedOn w:val="36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Shading Accent 5"/>
    <w:basedOn w:val="36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1">
    <w:name w:val="Colorful Shading Accent 6"/>
    <w:basedOn w:val="36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2">
    <w:name w:val="Colorful List"/>
    <w:basedOn w:val="36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3">
    <w:name w:val="Colorful List Accent 1"/>
    <w:basedOn w:val="36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4">
    <w:name w:val="Colorful List Accent 2"/>
    <w:basedOn w:val="36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5">
    <w:name w:val="Colorful List Accent 3"/>
    <w:basedOn w:val="36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6">
    <w:name w:val="Colorful List Accent 4"/>
    <w:basedOn w:val="36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7">
    <w:name w:val="Colorful List Accent 5"/>
    <w:basedOn w:val="36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8">
    <w:name w:val="Colorful List Accent 6"/>
    <w:basedOn w:val="36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9">
    <w:name w:val="Colorful Grid"/>
    <w:basedOn w:val="36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30">
    <w:name w:val="Colorful Grid Accent 1"/>
    <w:basedOn w:val="36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31">
    <w:name w:val="Colorful Grid Accent 2"/>
    <w:basedOn w:val="36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2">
    <w:name w:val="Colorful Grid Accent 3"/>
    <w:basedOn w:val="36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3">
    <w:name w:val="Colorful Grid Accent 4"/>
    <w:basedOn w:val="36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4">
    <w:name w:val="Colorful Grid Accent 5"/>
    <w:basedOn w:val="36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5">
    <w:name w:val="Colorful Grid Accent 6"/>
    <w:basedOn w:val="36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7">
    <w:name w:val="Strong"/>
    <w:basedOn w:val="136"/>
    <w:qFormat/>
    <w:uiPriority w:val="22"/>
    <w:rPr>
      <w:b/>
      <w:bCs/>
    </w:rPr>
  </w:style>
  <w:style w:type="character" w:styleId="138">
    <w:name w:val="Emphasis"/>
    <w:basedOn w:val="136"/>
    <w:qFormat/>
    <w:uiPriority w:val="20"/>
    <w:rPr>
      <w:i/>
      <w:iCs/>
    </w:rPr>
  </w:style>
  <w:style w:type="character" w:customStyle="1" w:styleId="139">
    <w:name w:val="Header Char"/>
    <w:basedOn w:val="136"/>
    <w:link w:val="29"/>
    <w:qFormat/>
    <w:uiPriority w:val="99"/>
  </w:style>
  <w:style w:type="character" w:customStyle="1" w:styleId="140">
    <w:name w:val="Footer Char"/>
    <w:basedOn w:val="136"/>
    <w:link w:val="28"/>
    <w:qFormat/>
    <w:uiPriority w:val="99"/>
  </w:style>
  <w:style w:type="paragraph" w:styleId="141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42">
    <w:name w:val="Heading 1 Char"/>
    <w:basedOn w:val="136"/>
    <w:link w:val="6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3">
    <w:name w:val="Heading 2 Char"/>
    <w:basedOn w:val="136"/>
    <w:link w:val="7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4">
    <w:name w:val="Heading 3 Char"/>
    <w:basedOn w:val="136"/>
    <w:link w:val="8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5">
    <w:name w:val="Title Char"/>
    <w:basedOn w:val="136"/>
    <w:link w:val="35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6">
    <w:name w:val="Subtitle Char"/>
    <w:basedOn w:val="136"/>
    <w:link w:val="30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Body Text Char"/>
    <w:basedOn w:val="136"/>
    <w:link w:val="2"/>
    <w:qFormat/>
    <w:uiPriority w:val="99"/>
  </w:style>
  <w:style w:type="character" w:customStyle="1" w:styleId="149">
    <w:name w:val="Body Text 2 Char"/>
    <w:basedOn w:val="136"/>
    <w:link w:val="32"/>
    <w:qFormat/>
    <w:uiPriority w:val="99"/>
  </w:style>
  <w:style w:type="character" w:customStyle="1" w:styleId="150">
    <w:name w:val="Body Text 3 Char"/>
    <w:basedOn w:val="136"/>
    <w:link w:val="22"/>
    <w:qFormat/>
    <w:uiPriority w:val="99"/>
    <w:rPr>
      <w:sz w:val="16"/>
      <w:szCs w:val="16"/>
    </w:rPr>
  </w:style>
  <w:style w:type="character" w:customStyle="1" w:styleId="151">
    <w:name w:val="Macro Text Char"/>
    <w:basedOn w:val="136"/>
    <w:link w:val="5"/>
    <w:qFormat/>
    <w:uiPriority w:val="99"/>
    <w:rPr>
      <w:rFonts w:ascii="Courier" w:hAnsi="Courier"/>
      <w:sz w:val="20"/>
      <w:szCs w:val="20"/>
    </w:rPr>
  </w:style>
  <w:style w:type="paragraph" w:styleId="152">
    <w:name w:val="Quote"/>
    <w:basedOn w:val="1"/>
    <w:next w:val="1"/>
    <w:link w:val="153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3">
    <w:name w:val="Quote Char"/>
    <w:basedOn w:val="136"/>
    <w:link w:val="152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4">
    <w:name w:val="Heading 4 Char"/>
    <w:basedOn w:val="136"/>
    <w:link w:val="9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5">
    <w:name w:val="Heading 5 Char"/>
    <w:basedOn w:val="136"/>
    <w:link w:val="10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6">
    <w:name w:val="Heading 6 Char"/>
    <w:basedOn w:val="136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7">
    <w:name w:val="Heading 7 Char"/>
    <w:basedOn w:val="136"/>
    <w:link w:val="12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8">
    <w:name w:val="Heading 8 Char"/>
    <w:basedOn w:val="136"/>
    <w:link w:val="13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9">
    <w:name w:val="Heading 9 Char"/>
    <w:basedOn w:val="136"/>
    <w:link w:val="14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60">
    <w:name w:val="Intense Quote"/>
    <w:basedOn w:val="1"/>
    <w:next w:val="1"/>
    <w:link w:val="161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Intense Quote Char"/>
    <w:basedOn w:val="136"/>
    <w:link w:val="160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2">
    <w:name w:val="Subtle Emphasis"/>
    <w:basedOn w:val="136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3">
    <w:name w:val="Intense Emphasis"/>
    <w:basedOn w:val="136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4">
    <w:name w:val="Subtle Reference"/>
    <w:basedOn w:val="136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5">
    <w:name w:val="Intense Reference"/>
    <w:basedOn w:val="136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6">
    <w:name w:val="Book Title"/>
    <w:basedOn w:val="136"/>
    <w:qFormat/>
    <w:uiPriority w:val="33"/>
    <w:rPr>
      <w:b/>
      <w:bCs/>
      <w:smallCaps/>
      <w:spacing w:val="5"/>
    </w:rPr>
  </w:style>
  <w:style w:type="paragraph" w:customStyle="1" w:styleId="167">
    <w:name w:val="TOC Heading"/>
    <w:basedOn w:val="6"/>
    <w:next w:val="1"/>
    <w:semiHidden/>
    <w:unhideWhenUsed/>
    <w:qFormat/>
    <w:uiPriority w:val="39"/>
    <w:pPr>
      <w:outlineLvl w:val="9"/>
    </w:pPr>
  </w:style>
  <w:style w:type="paragraph" w:customStyle="1" w:styleId="168">
    <w:name w:val="KY3表文"/>
    <w:basedOn w:val="1"/>
    <w:autoRedefine/>
    <w:qFormat/>
    <w:uiPriority w:val="0"/>
    <w:pPr>
      <w:widowControl/>
      <w:snapToGrid w:val="0"/>
      <w:contextualSpacing/>
      <w:jc w:val="center"/>
    </w:pPr>
    <w:rPr>
      <w:rFonts w:ascii="Times New Roman" w:hAnsi="Times New Roman" w:eastAsia="宋体" w:cs="Times New Roman"/>
      <w:color w:val="000000" w:themeColor="text1"/>
      <w:kern w:val="0"/>
      <w:szCs w:val="24"/>
      <w14:textFill>
        <w14:solidFill>
          <w14:schemeClr w14:val="tx1"/>
        </w14:solidFill>
      </w14:textFill>
    </w:rPr>
  </w:style>
  <w:style w:type="table" w:customStyle="1" w:styleId="169">
    <w:name w:val="KYbg2020"/>
    <w:basedOn w:val="36"/>
    <w:autoRedefine/>
    <w:qFormat/>
    <w:uiPriority w:val="99"/>
    <w:pPr>
      <w:widowControl w:val="0"/>
      <w:snapToGrid w:val="0"/>
      <w:contextualSpacing/>
      <w:jc w:val="center"/>
    </w:pPr>
    <w:rPr>
      <w:color w:val="7030A0"/>
    </w:rPr>
    <w:tblPr>
      <w:jc w:val="center"/>
      <w:tblBorders>
        <w:top w:val="double" w:color="auto" w:sz="4" w:space="0"/>
        <w:left w:val="double" w:color="auto" w:sz="4" w:space="0"/>
        <w:bottom w:val="double" w:color="auto" w:sz="4" w:space="0"/>
        <w:right w:val="double" w:color="auto" w:sz="4" w:space="0"/>
        <w:insideH w:val="single" w:color="auto" w:sz="4" w:space="0"/>
        <w:insideV w:val="single" w:color="auto" w:sz="4" w:space="0"/>
      </w:tblBorders>
      <w:tblCellMar>
        <w:left w:w="0" w:type="dxa"/>
        <w:right w:w="0" w:type="dxa"/>
      </w:tblCellMar>
    </w:tblPr>
    <w:trPr>
      <w:jc w:val="center"/>
    </w:trPr>
    <w:tcPr>
      <w:vAlign w:val="center"/>
    </w:tcPr>
    <w:tblStylePr w:type="firstRow">
      <w:rPr>
        <w:rFonts w:eastAsia="宋体"/>
        <w:b/>
        <w:sz w:val="21"/>
      </w:rPr>
      <w:tblPr/>
      <w:trPr>
        <w:tblHeader/>
      </w:trPr>
      <w:tcPr>
        <w:tcBorders>
          <w:top w:val="double" w:color="auto" w:sz="4" w:space="0"/>
          <w:left w:val="double" w:color="auto" w:sz="4" w:space="0"/>
          <w:bottom w:val="single" w:color="auto" w:sz="4" w:space="0"/>
          <w:right w:val="double" w:color="auto" w:sz="4" w:space="0"/>
          <w:insideH w:val="nil"/>
          <w:insideV w:val="single" w:sz="4" w:space="0"/>
          <w:tl2br w:val="nil"/>
          <w:tr2bl w:val="nil"/>
        </w:tcBorders>
        <w:shd w:val="clear" w:color="auto" w:fill="BFBFBF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1767</Words>
  <Characters>1890</Characters>
  <Lines>0</Lines>
  <Paragraphs>0</Paragraphs>
  <TotalTime>0</TotalTime>
  <ScaleCrop>false</ScaleCrop>
  <LinksUpToDate>false</LinksUpToDate>
  <CharactersWithSpaces>1906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周暖青</cp:lastModifiedBy>
  <dcterms:modified xsi:type="dcterms:W3CDTF">2026-08-07T02:49:09Z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eyJoZGlkIjoiZDkyZDQ0YWRiYWM5YzVjNThkZjQ3ZWRjMzU5NmUyZGIiLCJ1c2VySWQiOiIxNzg1ODI5NjQyIn0=</vt:lpwstr>
  </property>
  <property fmtid="{D5CDD505-2E9C-101B-9397-08002B2CF9AE}" pid="3" name="KSOProductBuildVer">
    <vt:lpwstr>2052-12.1.0.28043</vt:lpwstr>
  </property>
  <property fmtid="{D5CDD505-2E9C-101B-9397-08002B2CF9AE}" pid="4" name="ICV">
    <vt:lpwstr>F4B992ECBF124CA9B1D1D9B1C4B6E156_12</vt:lpwstr>
  </property>
</Properties>
</file>