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91538E">
      <w:pPr>
        <w:jc w:val="center"/>
      </w:pPr>
      <w:r>
        <w:rPr>
          <w:rFonts w:hint="eastAsia" w:ascii="黑体" w:hAnsi="黑体" w:eastAsia="黑体"/>
          <w:b/>
          <w:sz w:val="32"/>
          <w:lang w:val="en-US" w:eastAsia="zh-CN"/>
        </w:rPr>
        <w:t xml:space="preserve">   </w:t>
      </w:r>
      <w:r>
        <w:rPr>
          <w:rFonts w:ascii="黑体" w:hAnsi="黑体" w:eastAsia="黑体"/>
          <w:b/>
          <w:sz w:val="32"/>
        </w:rPr>
        <w:t>紧急医学救援数据中心</w:t>
      </w:r>
    </w:p>
    <w:p w14:paraId="696CEAC7">
      <w:pPr>
        <w:spacing w:before="160"/>
      </w:pPr>
      <w:r>
        <w:rPr>
          <w:rFonts w:ascii="黑体" w:hAnsi="黑体" w:eastAsia="黑体"/>
          <w:b/>
          <w:sz w:val="26"/>
        </w:rPr>
        <w:t>一、数据采集</w:t>
      </w:r>
    </w:p>
    <w:p w14:paraId="53F0C527">
      <w:r>
        <w:rPr>
          <w:rFonts w:ascii="黑体" w:hAnsi="黑体" w:eastAsia="黑体"/>
          <w:b/>
          <w:sz w:val="24"/>
        </w:rPr>
        <w:t>建设原则与采集机制</w:t>
      </w:r>
    </w:p>
    <w:p w14:paraId="236CD252">
      <w:pPr>
        <w:ind w:firstLine="440" w:firstLineChars="200"/>
      </w:pPr>
      <w:r>
        <w:rPr>
          <w:rFonts w:ascii="宋体" w:hAnsi="宋体" w:eastAsia="宋体"/>
          <w:b w:val="0"/>
          <w:sz w:val="22"/>
        </w:rPr>
        <w:t>遵循“充分利旧、平滑集成、分步实施”原则，将数据归集分为内部系统数据归集、新建/升级系统数据归集和外部数据归集三个方面。按数据特点区分采集方式：实时性要求高的数据采用实时采集，相对稳定的数据采用定时采集。数据采集非一次性工作，需长期保障稳定性并按业务变化迭代；每日监控采集成功率与数据准确率，持续优化采集策略。</w:t>
      </w:r>
    </w:p>
    <w:p w14:paraId="16FAC43B">
      <w:r>
        <w:rPr>
          <w:rFonts w:ascii="黑体" w:hAnsi="黑体" w:eastAsia="黑体"/>
          <w:b/>
          <w:sz w:val="24"/>
        </w:rPr>
        <w:t>采集范围——内部系统</w:t>
      </w:r>
    </w:p>
    <w:p w14:paraId="6AF235A2">
      <w:pPr>
        <w:ind w:firstLine="440" w:firstLineChars="200"/>
      </w:pPr>
      <w:r>
        <w:rPr>
          <w:rFonts w:ascii="宋体" w:hAnsi="宋体" w:eastAsia="宋体"/>
          <w:b w:val="0"/>
          <w:sz w:val="22"/>
        </w:rPr>
        <w:t>核心业务系统：从 HIS、EMR、LIS、PACS、RIS、超声、心电、内镜、病理、输血、病案、不良事件、医技预约、抗菌药物管理、120 急救指挥调度、创伤外科救治平台、手术麻醉等系统归集患者诊疗与业务数据。</w:t>
      </w:r>
    </w:p>
    <w:p w14:paraId="4DE1B27B">
      <w:pPr>
        <w:ind w:firstLine="440" w:firstLineChars="200"/>
      </w:pPr>
      <w:r>
        <w:rPr>
          <w:rFonts w:ascii="宋体" w:hAnsi="宋体" w:eastAsia="宋体"/>
          <w:b w:val="0"/>
          <w:sz w:val="22"/>
        </w:rPr>
        <w:t>新建及升级系统：从急诊一体化信息系统、重症信息管理系统、应急预案与知识管理系统、120 急救指挥调度系统（升级）、医学应急综合业务管理系统、紧急医学救援移动终端 APP、应急物资管理平台等归集数据。</w:t>
      </w:r>
    </w:p>
    <w:p w14:paraId="156BCCE4">
      <w:r>
        <w:rPr>
          <w:rFonts w:ascii="黑体" w:hAnsi="黑体" w:eastAsia="黑体"/>
          <w:b/>
          <w:sz w:val="24"/>
        </w:rPr>
        <w:t>采集范围——外部数据</w:t>
      </w:r>
    </w:p>
    <w:p w14:paraId="0F7EC820">
      <w:pPr>
        <w:ind w:firstLine="440" w:firstLineChars="200"/>
      </w:pPr>
      <w:r>
        <w:rPr>
          <w:rFonts w:ascii="宋体" w:hAnsi="宋体" w:eastAsia="宋体"/>
          <w:b w:val="0"/>
          <w:sz w:val="22"/>
        </w:rPr>
        <w:t>三医数据专区：对接省级“三医一张网”已建数据专区，获取机构、从业人员、床位、药品库存及患者门急诊与住院就诊、病案、转诊等二十余类数据。</w:t>
      </w:r>
    </w:p>
    <w:p w14:paraId="380A72C1">
      <w:pPr>
        <w:ind w:firstLine="440" w:firstLineChars="200"/>
      </w:pPr>
      <w:r>
        <w:rPr>
          <w:rFonts w:ascii="宋体" w:hAnsi="宋体" w:eastAsia="宋体"/>
          <w:b w:val="0"/>
          <w:sz w:val="22"/>
        </w:rPr>
        <w:t>其他外部单位：拟与疾病预防控制、血液中心、职业病与化学中毒预防控制、医疗救治应急指挥平台等对接，获取医疗风险监测预警、血液库存、职业病流行病学、突发职业危害事件及 9 地市 120 急救中心接警定位、任务、患者、车辆定位与院内交接等数据。</w:t>
      </w:r>
    </w:p>
    <w:p w14:paraId="262C2F66">
      <w:r>
        <w:rPr>
          <w:rFonts w:ascii="黑体" w:hAnsi="黑体" w:eastAsia="黑体"/>
          <w:b/>
          <w:sz w:val="24"/>
        </w:rPr>
        <w:t>采集策略与技术实现</w:t>
      </w:r>
    </w:p>
    <w:p w14:paraId="680F7D62">
      <w:pPr>
        <w:ind w:firstLine="440" w:firstLineChars="200"/>
      </w:pPr>
      <w:r>
        <w:rPr>
          <w:rFonts w:ascii="宋体" w:hAnsi="宋体" w:eastAsia="宋体"/>
          <w:b w:val="0"/>
          <w:sz w:val="22"/>
        </w:rPr>
        <w:t>优先以医院既有数据中心（CDR）为主要入口接入院内数据，避免与数十个源系统直接对接，降低集成难度与成本；对数据中心及历史系统数据，通过中间库、数据库视图方式定时/实时抽取，避免冲击生产库；对急救实时业务数据，采用基于数据库日志的模式（CDC、发布订阅）实时捕捉变动，实现实时同步。</w:t>
      </w:r>
    </w:p>
    <w:p w14:paraId="4035344F">
      <w:r>
        <w:rPr>
          <w:rFonts w:ascii="黑体" w:hAnsi="黑体" w:eastAsia="黑体"/>
          <w:b/>
          <w:sz w:val="24"/>
        </w:rPr>
        <w:t>数据采集工具——流批一体引擎</w:t>
      </w:r>
    </w:p>
    <w:p w14:paraId="4DA8CD70">
      <w:pPr>
        <w:ind w:firstLine="440" w:firstLineChars="200"/>
      </w:pPr>
      <w:r>
        <w:rPr>
          <w:rFonts w:ascii="宋体" w:hAnsi="宋体" w:eastAsia="宋体"/>
          <w:b w:val="0"/>
          <w:sz w:val="22"/>
        </w:rPr>
        <w:t>多数据源适配：内置多种数据库连接器，覆盖主流传统数据库与国产数据库，自动完成格式、字符集、协议转换，保障实时链路持续可用。</w:t>
      </w:r>
    </w:p>
    <w:p w14:paraId="0970AD79">
      <w:r>
        <w:rPr>
          <w:rFonts w:ascii="宋体" w:hAnsi="宋体" w:eastAsia="宋体"/>
          <w:b w:val="0"/>
          <w:sz w:val="22"/>
        </w:rPr>
        <w:t>任务开发：提供拖拽式工作流画布，内置日志解析、维度打宽、流式聚合、离线聚合等组件，支持填写 SQL 片段完成复杂逻辑编排，满足分布式并行执行，并依血缘关系生成端到端质量校验脚本。</w:t>
      </w:r>
    </w:p>
    <w:p w14:paraId="2C86AA5B">
      <w:r>
        <w:rPr>
          <w:rFonts w:ascii="宋体" w:hAnsi="宋体" w:eastAsia="宋体"/>
          <w:b w:val="0"/>
          <w:sz w:val="22"/>
        </w:rPr>
        <w:t>任务编排与调度：同一平台配置流处理与批处理任务的执行顺序与依赖关系；支持按日、小时、分钟或数据到达即刻启动；同一条业务链路可混合编排流式与批式任务，引擎自动维护依赖关系。</w:t>
      </w:r>
    </w:p>
    <w:p w14:paraId="0A95630F">
      <w:r>
        <w:rPr>
          <w:rFonts w:ascii="宋体" w:hAnsi="宋体" w:eastAsia="宋体"/>
          <w:b w:val="0"/>
          <w:sz w:val="22"/>
        </w:rPr>
        <w:t>任务告警：实时监控任务执行状态，自定义多阈值告警规则，支持邮件、短信、即时通讯工具等多渠道推送，及时获知任务延迟、失败或资源耗尽等问题。</w:t>
      </w:r>
    </w:p>
    <w:p w14:paraId="4A425A28">
      <w:r>
        <w:rPr>
          <w:rFonts w:ascii="黑体" w:hAnsi="黑体" w:eastAsia="黑体"/>
          <w:b/>
          <w:sz w:val="24"/>
        </w:rPr>
        <w:t>资源与基础管理</w:t>
      </w:r>
    </w:p>
    <w:p w14:paraId="52E1686C">
      <w:pPr>
        <w:ind w:firstLine="440" w:firstLineChars="200"/>
      </w:pPr>
      <w:r>
        <w:rPr>
          <w:rFonts w:ascii="宋体" w:hAnsi="宋体" w:eastAsia="宋体"/>
          <w:b w:val="0"/>
          <w:sz w:val="22"/>
        </w:rPr>
        <w:t>提供厂商管理、系统管理、应用系统管理（监测业务系统运转状态）、通用调度平台、参数管理与字典管理，支撑数据采集与治理的日常运维。（注：相关资源仅记录名称、类型等基础属性。）</w:t>
      </w:r>
    </w:p>
    <w:p w14:paraId="05CBCABB">
      <w:r>
        <w:rPr>
          <w:rFonts w:ascii="黑体" w:hAnsi="黑体" w:eastAsia="黑体"/>
          <w:b/>
          <w:sz w:val="24"/>
        </w:rPr>
        <w:t>数据建模系统</w:t>
      </w:r>
    </w:p>
    <w:p w14:paraId="1D3C47C8">
      <w:r>
        <w:rPr>
          <w:rFonts w:ascii="宋体" w:hAnsi="宋体" w:eastAsia="宋体"/>
          <w:b w:val="0"/>
          <w:sz w:val="22"/>
        </w:rPr>
        <w:t>数据元管理：支持数据元主题维护与增删改查、敏感级别管理，实现字段归一。</w:t>
      </w:r>
    </w:p>
    <w:p w14:paraId="3E2D852C">
      <w:r>
        <w:rPr>
          <w:rFonts w:ascii="宋体" w:hAnsi="宋体" w:eastAsia="宋体"/>
          <w:b w:val="0"/>
          <w:sz w:val="22"/>
        </w:rPr>
        <w:t>贴源库配置与建模：配置数据湖连接与业务分类，可视化快速创建数据湖模型表，支持主流及国产数据库对接、自动建表与关键字转换，并与流批一体引擎无缝对接自动创建抽取包。</w:t>
      </w:r>
    </w:p>
    <w:p w14:paraId="437B83F5">
      <w:r>
        <w:rPr>
          <w:rFonts w:ascii="宋体" w:hAnsi="宋体" w:eastAsia="宋体"/>
          <w:b w:val="0"/>
          <w:sz w:val="22"/>
        </w:rPr>
        <w:t>数据仓库配置与建模：基于数据元创建模型表、索引，支持数据集市灵活建模与星型模型；数据模型对比分析可巡检标准模型与实际库表差异并主动修复。</w:t>
      </w:r>
    </w:p>
    <w:p w14:paraId="37BE8B40">
      <w:r>
        <w:rPr>
          <w:rFonts w:ascii="黑体" w:hAnsi="黑体" w:eastAsia="黑体"/>
          <w:b/>
          <w:sz w:val="24"/>
        </w:rPr>
        <w:t>紧急医学救援数据湖</w:t>
      </w:r>
    </w:p>
    <w:p w14:paraId="39AB8B72">
      <w:pPr>
        <w:ind w:firstLine="440" w:firstLineChars="200"/>
      </w:pPr>
      <w:r>
        <w:rPr>
          <w:rFonts w:ascii="宋体" w:hAnsi="宋体" w:eastAsia="宋体"/>
          <w:b w:val="0"/>
          <w:sz w:val="22"/>
        </w:rPr>
        <w:t>定位于低成本统一存储急救所需的海量、异构原始业务数据，向下屏蔽系统接口差异，向上为主题库、专题库、指标库及探索式分析提供弹性可回溯的数据原料。与数据仓库、实时流处理平台形成“冷热分级、湖仓协同”体系：原始明细长期存湖，结构化与轻度汇总数据入仓，实时指标走流计算，成熟后固化到主题库。</w:t>
      </w:r>
    </w:p>
    <w:p w14:paraId="45DBBFC5">
      <w:pPr>
        <w:spacing w:before="160"/>
      </w:pPr>
      <w:r>
        <w:rPr>
          <w:rFonts w:ascii="黑体" w:hAnsi="黑体" w:eastAsia="黑体"/>
          <w:b/>
          <w:sz w:val="26"/>
        </w:rPr>
        <w:t>二、数据治理</w:t>
      </w:r>
    </w:p>
    <w:p w14:paraId="4916787D">
      <w:pPr>
        <w:ind w:firstLine="440" w:firstLineChars="200"/>
      </w:pPr>
      <w:r>
        <w:rPr>
          <w:rFonts w:ascii="宋体" w:hAnsi="宋体" w:eastAsia="宋体"/>
          <w:b w:val="0"/>
          <w:sz w:val="22"/>
        </w:rPr>
        <w:t>围绕元数据、主数据、主索引、数据质量、数据安全、数据模型等角度，构建从采集、治理到应用的数据闭环，最终将高质量数据沉淀到应急资源、应急事件、指挥调度、中毒、急诊急救等核心库，支撑智能辅助决策、监测预警、知识图谱等上层应用。</w:t>
      </w:r>
    </w:p>
    <w:p w14:paraId="3B0543B9">
      <w:r>
        <w:rPr>
          <w:rFonts w:ascii="黑体" w:hAnsi="黑体" w:eastAsia="黑体"/>
          <w:b/>
          <w:sz w:val="24"/>
        </w:rPr>
        <w:t>元数据管理</w:t>
      </w:r>
    </w:p>
    <w:p w14:paraId="7C06A829">
      <w:pPr>
        <w:ind w:firstLine="440" w:firstLineChars="200"/>
      </w:pPr>
      <w:r>
        <w:rPr>
          <w:rFonts w:ascii="宋体" w:hAnsi="宋体" w:eastAsia="宋体"/>
          <w:b w:val="0"/>
          <w:sz w:val="22"/>
        </w:rPr>
        <w:t>采用通用数据仓库元模型设计，形成业务元数据、技术元数据、管理元数据三级结构：业务元数据统一描述数据含义与业务规则；技术元数据记录源系统、表/字段、接口协议、抽取频率与增量策略；管理元数据定义数据责任人、安全等级、共享级别与生命周期状态。</w:t>
      </w:r>
    </w:p>
    <w:p w14:paraId="64693F3E">
      <w:pPr>
        <w:ind w:firstLine="440" w:firstLineChars="200"/>
      </w:pPr>
      <w:r>
        <w:rPr>
          <w:rFonts w:ascii="宋体" w:hAnsi="宋体" w:eastAsia="宋体"/>
          <w:b w:val="0"/>
          <w:sz w:val="22"/>
        </w:rPr>
        <w:t>主要功能：元数据概览（统计系统数、数据库数、表数及在线占比）、数据库配置、数据库结构与库表结构编辑汉化、库表变更监控与自动同步修复、文档资产管理、任务计划与任务总览巡检日志，以及厂商、系统、应用等资源与系统调度管理。</w:t>
      </w:r>
    </w:p>
    <w:p w14:paraId="389D6D18">
      <w:r>
        <w:rPr>
          <w:rFonts w:ascii="黑体" w:hAnsi="黑体" w:eastAsia="黑体"/>
          <w:b/>
          <w:sz w:val="24"/>
        </w:rPr>
        <w:t>主数据管理</w:t>
      </w:r>
    </w:p>
    <w:p w14:paraId="07BD0BCB">
      <w:r>
        <w:rPr>
          <w:rFonts w:ascii="宋体" w:hAnsi="宋体" w:eastAsia="宋体"/>
          <w:b w:val="0"/>
          <w:sz w:val="22"/>
        </w:rPr>
        <w:t>主数据域：将患者、急救事件、机构、车辆、设备、药品等核心主数据进行集中管理并与各业务系统数据映射，保证各主题库始终使用同一份标准主数据。</w:t>
      </w:r>
    </w:p>
    <w:p w14:paraId="54596BE8">
      <w:r>
        <w:rPr>
          <w:rFonts w:ascii="宋体" w:hAnsi="宋体" w:eastAsia="宋体"/>
          <w:b w:val="0"/>
          <w:sz w:val="22"/>
        </w:rPr>
        <w:t>主要功能：数据标准概览、主数据模型管理（可视化建模、模板导入导出）、主数据字典维护（在线维护、提交发布）、标准术语管理、数据映射（图形化展示映射关系、智能算法自动映射）、映射审核与发布、变更审核与变更日志、标准调用统计、标准数据同步（ETL/API/存储过程/ESB 四种方式）与订阅、分发日志查询、数据校验与校验配置、数据库及厂商配置。</w:t>
      </w:r>
    </w:p>
    <w:p w14:paraId="5C0C9046">
      <w:r>
        <w:rPr>
          <w:rFonts w:ascii="黑体" w:hAnsi="黑体" w:eastAsia="黑体"/>
          <w:b/>
          <w:sz w:val="24"/>
        </w:rPr>
        <w:t>术语管理</w:t>
      </w:r>
    </w:p>
    <w:p w14:paraId="61E3C875">
      <w:pPr>
        <w:ind w:firstLine="440" w:firstLineChars="200"/>
      </w:pPr>
      <w:r>
        <w:rPr>
          <w:rFonts w:ascii="宋体" w:hAnsi="宋体" w:eastAsia="宋体"/>
          <w:b w:val="0"/>
          <w:sz w:val="22"/>
        </w:rPr>
        <w:t>将院内方言、厂商自定义码、国际标准、省级码等多套术语统一映射到标准术语集，采集层新进字段首先经术语实时清洗引擎归一，避免“同病不同名”导致指标失真。</w:t>
      </w:r>
    </w:p>
    <w:p w14:paraId="364BBB13">
      <w:r>
        <w:rPr>
          <w:rFonts w:ascii="宋体" w:hAnsi="宋体" w:eastAsia="宋体"/>
          <w:b w:val="0"/>
          <w:sz w:val="22"/>
        </w:rPr>
        <w:t>主要功能：标准概览、数据标准维护（增删改查、导入导出）、标准术语映射（距离/相似度算法自动映射与手工映射、源字典补录与拉取）、标准落地应用（按数据库评估标准值域覆盖率，支持下钻到表级别查看一致性符合率）。</w:t>
      </w:r>
    </w:p>
    <w:p w14:paraId="20ADC879">
      <w:r>
        <w:rPr>
          <w:rFonts w:ascii="黑体" w:hAnsi="黑体" w:eastAsia="黑体"/>
          <w:b/>
          <w:sz w:val="24"/>
        </w:rPr>
        <w:t>主索引管理</w:t>
      </w:r>
    </w:p>
    <w:p w14:paraId="38C7AE13">
      <w:pPr>
        <w:ind w:firstLine="440" w:firstLineChars="200"/>
      </w:pPr>
      <w:r>
        <w:rPr>
          <w:rFonts w:ascii="宋体" w:hAnsi="宋体" w:eastAsia="宋体"/>
          <w:b w:val="0"/>
          <w:sz w:val="22"/>
        </w:rPr>
        <w:t>建立患者唯一主索引（EMPI），通过姓名、联系方式、医保卡号等多身份标识进行检索、注册、相似比对与合并，解决跨机构患者就诊信息无法关联的问题，形成人员基本信息检索目录。</w:t>
      </w:r>
    </w:p>
    <w:p w14:paraId="59D9B70C">
      <w:pPr>
        <w:ind w:firstLine="440" w:firstLineChars="200"/>
      </w:pPr>
      <w:r>
        <w:rPr>
          <w:rFonts w:ascii="宋体" w:hAnsi="宋体" w:eastAsia="宋体"/>
          <w:b w:val="0"/>
          <w:sz w:val="22"/>
        </w:rPr>
        <w:t>主要功能：主索引概览、患者主索引（多条件检索、后台注册服务生成唯一 EMPI）、相似患者比对、合并记录（支持拆分解除）、匹配规则设置（自定义相似匹配规则）、初始化数据分析、历史与实时数据接入、接入日志查询、业务索引关联、索引服务（与 120 急救指挥调度、急诊一体化系统实时对接，报警接通即返回主索引并提前拉取过敏史/慢病史，支撑“上车即入院”）。</w:t>
      </w:r>
    </w:p>
    <w:p w14:paraId="0E7746FC">
      <w:r>
        <w:rPr>
          <w:rFonts w:ascii="黑体" w:hAnsi="黑体" w:eastAsia="黑体"/>
          <w:b/>
          <w:sz w:val="24"/>
        </w:rPr>
        <w:t>数据质量管理</w:t>
      </w:r>
    </w:p>
    <w:p w14:paraId="64650F40">
      <w:pPr>
        <w:ind w:firstLine="440" w:firstLineChars="200"/>
      </w:pPr>
      <w:r>
        <w:rPr>
          <w:rFonts w:ascii="宋体" w:hAnsi="宋体" w:eastAsia="宋体"/>
          <w:b w:val="0"/>
          <w:sz w:val="22"/>
        </w:rPr>
        <w:t>围绕准确性、完整性、一致性、时效性等维度展开，包含数据质量评估、监控、改进与应用四个层级。准确性强调关键字段零容错；完整性关注必填字段缺失率；一致性要求跨系统诊断等映射到统一标准；时效性要求实时数据低延迟、批量数据按期完成。</w:t>
      </w:r>
    </w:p>
    <w:p w14:paraId="1EB35B05">
      <w:pPr>
        <w:ind w:firstLine="440" w:firstLineChars="200"/>
      </w:pPr>
      <w:r>
        <w:rPr>
          <w:rFonts w:ascii="宋体" w:hAnsi="宋体" w:eastAsia="宋体"/>
          <w:b w:val="0"/>
          <w:sz w:val="22"/>
        </w:rPr>
        <w:t>主要功能：规则主题、规则指标配置、规则脚本维护（按一致性/完整性/整合性/及时性/规范性等类型）、任务调度与监控、质量报告分析（按专题总体得分、规则类型雷达分布、月度趋势）、质量结果查看（下钻规则明细）、工单分配（问题拆解、指定负责人、进度跟踪）与我的工单，形成“问题发现—派发—整改—复查—报告—绩效挂钩”的闭环。</w:t>
      </w:r>
    </w:p>
    <w:p w14:paraId="665A0D8F">
      <w:r>
        <w:rPr>
          <w:rFonts w:ascii="黑体" w:hAnsi="黑体" w:eastAsia="黑体"/>
          <w:b/>
          <w:sz w:val="24"/>
        </w:rPr>
        <w:t>数据安全管理</w:t>
      </w:r>
    </w:p>
    <w:p w14:paraId="7A54C0D5">
      <w:pPr>
        <w:ind w:firstLine="440" w:firstLineChars="200"/>
      </w:pPr>
      <w:r>
        <w:rPr>
          <w:rFonts w:ascii="宋体" w:hAnsi="宋体" w:eastAsia="宋体"/>
          <w:b w:val="0"/>
          <w:sz w:val="22"/>
        </w:rPr>
        <w:t>围绕“脱敏、加密、授权、监控”四条主线，建立覆盖数据全生命周期的立体防护体系。</w:t>
      </w:r>
    </w:p>
    <w:p w14:paraId="6A1CEB30">
      <w:pPr>
        <w:ind w:firstLine="440" w:firstLineChars="200"/>
      </w:pPr>
      <w:r>
        <w:rPr>
          <w:rFonts w:ascii="宋体" w:hAnsi="宋体" w:eastAsia="宋体"/>
          <w:b w:val="0"/>
          <w:sz w:val="22"/>
        </w:rPr>
        <w:t>主要功能：安全分级字典（依据健康医疗数据安全指南）、脱敏策略字典（正则维护、自动识别字段脱敏）、加密策略字典（内置国密 SM2/SM4 及常见加密算法，可配置新策略）、数据元策略配置（敏感级别划分与特征标签）、数据服务策略配置（字段授权、脱敏授权、白名单）、数据安全访问（资产预览敏感信息脱敏显示、导出保留脱敏特征）、服务安全访问（接口字段脱敏显示与内容控制）。</w:t>
      </w:r>
    </w:p>
    <w:p w14:paraId="32AFEB6F">
      <w:r>
        <w:rPr>
          <w:rFonts w:ascii="黑体" w:hAnsi="黑体" w:eastAsia="黑体"/>
          <w:b/>
          <w:sz w:val="24"/>
        </w:rPr>
        <w:t>数据资产管理</w:t>
      </w:r>
    </w:p>
    <w:p w14:paraId="4FAA6091">
      <w:pPr>
        <w:ind w:firstLine="440" w:firstLineChars="200"/>
      </w:pPr>
      <w:r>
        <w:rPr>
          <w:rFonts w:ascii="宋体" w:hAnsi="宋体" w:eastAsia="宋体"/>
          <w:b w:val="0"/>
          <w:sz w:val="22"/>
        </w:rPr>
        <w:t>数据资产分类：依据卫生健康行业数据分类分级指南，结合医院特点制定分类分级细则，完成四级分类扩展，形成数据分类管理标准。</w:t>
      </w:r>
    </w:p>
    <w:p w14:paraId="261BF6CB">
      <w:pPr>
        <w:ind w:firstLine="440" w:firstLineChars="200"/>
      </w:pPr>
      <w:r>
        <w:rPr>
          <w:rFonts w:ascii="宋体" w:hAnsi="宋体" w:eastAsia="宋体"/>
          <w:b w:val="0"/>
          <w:sz w:val="22"/>
        </w:rPr>
        <w:t>数据资产分级：将数据划分为公开、内部、重要、核心、绝密等不同安全级别，采用人工标注或系统自动识别；提供分级任务（自动扫描评估）、分级日志、分级归档（人工确认）与分级报告（可按数据库卡片展示敏感表/字段命中情况并导出报告）。</w:t>
      </w:r>
    </w:p>
    <w:p w14:paraId="5B9BDBD3">
      <w:pPr>
        <w:spacing w:before="160"/>
      </w:pPr>
      <w:r>
        <w:rPr>
          <w:rFonts w:ascii="黑体" w:hAnsi="黑体" w:eastAsia="黑体"/>
          <w:b/>
          <w:sz w:val="26"/>
        </w:rPr>
        <w:t>三、数据存储建设</w:t>
      </w:r>
    </w:p>
    <w:p w14:paraId="36F35D2C">
      <w:r>
        <w:rPr>
          <w:rFonts w:ascii="黑体" w:hAnsi="黑体" w:eastAsia="黑体"/>
          <w:b/>
          <w:sz w:val="24"/>
        </w:rPr>
        <w:t>基础库</w:t>
      </w:r>
    </w:p>
    <w:p w14:paraId="46095F5A">
      <w:r>
        <w:rPr>
          <w:rFonts w:ascii="宋体" w:hAnsi="宋体" w:eastAsia="宋体"/>
          <w:b w:val="0"/>
          <w:sz w:val="22"/>
        </w:rPr>
        <w:t>基础信息数据库：卫生机构、协同救援单位、实验室、专家资源、卫生应急队伍、应急通讯录、设备资源、物资库存、急救中心及站点、血站等基础类数据。</w:t>
      </w:r>
    </w:p>
    <w:p w14:paraId="477F7B46">
      <w:r>
        <w:rPr>
          <w:rFonts w:ascii="宋体" w:hAnsi="宋体" w:eastAsia="宋体"/>
          <w:b w:val="0"/>
          <w:sz w:val="22"/>
        </w:rPr>
        <w:t>能力建设数据库：应急演练、应急培训、应急值班等数据。</w:t>
      </w:r>
    </w:p>
    <w:p w14:paraId="27D3833E">
      <w:r>
        <w:rPr>
          <w:rFonts w:ascii="宋体" w:hAnsi="宋体" w:eastAsia="宋体"/>
          <w:b w:val="0"/>
          <w:sz w:val="22"/>
        </w:rPr>
        <w:t>预案管理库：预案文件管理（目录、标签、检索、预览、版本控制）、预案问答助手、预案知识抽取模型、预案智能推荐模型、预案数字化、预案决策图谱等。</w:t>
      </w:r>
    </w:p>
    <w:p w14:paraId="3C456B59">
      <w:r>
        <w:rPr>
          <w:rFonts w:ascii="宋体" w:hAnsi="宋体" w:eastAsia="宋体"/>
          <w:b w:val="0"/>
          <w:sz w:val="22"/>
        </w:rPr>
        <w:t>法律法规数据库与案例数据库：法规全文与效力级别等信息，以及案例基本信息与处置信息。</w:t>
      </w:r>
    </w:p>
    <w:p w14:paraId="414C455B">
      <w:r>
        <w:rPr>
          <w:rFonts w:ascii="黑体" w:hAnsi="黑体" w:eastAsia="黑体"/>
          <w:b/>
          <w:sz w:val="24"/>
        </w:rPr>
        <w:t>主题库（七大）</w:t>
      </w:r>
    </w:p>
    <w:p w14:paraId="25CE2252">
      <w:r>
        <w:rPr>
          <w:rFonts w:ascii="宋体" w:hAnsi="宋体" w:eastAsia="宋体"/>
          <w:b w:val="0"/>
          <w:sz w:val="22"/>
        </w:rPr>
        <w:t>应急资源主题库：汇聚“人、车、机、仓、血、院”等可调度救援资源的静态档案与动态状态，形成全省一张资源网，支撑实时库存、能力评估与最优匹配。</w:t>
      </w:r>
    </w:p>
    <w:p w14:paraId="06B002F9">
      <w:r>
        <w:rPr>
          <w:rFonts w:ascii="宋体" w:hAnsi="宋体" w:eastAsia="宋体"/>
          <w:b w:val="0"/>
          <w:sz w:val="22"/>
        </w:rPr>
        <w:t>应急事件主题库：记录突发事件从接报、响应、处置到总结的全生命周期数据，与资源、空间、救治等库秒级关联，实现事件—资源—伤员闭环追踪。</w:t>
      </w:r>
    </w:p>
    <w:p w14:paraId="22FC04DD">
      <w:r>
        <w:rPr>
          <w:rFonts w:ascii="宋体" w:hAnsi="宋体" w:eastAsia="宋体"/>
          <w:b w:val="0"/>
          <w:sz w:val="22"/>
        </w:rPr>
        <w:t>地理空间主题库：统一承载行政区划、道路、水系、建筑、机构与资源点位、实时轨迹、气象等空间底图与业务图层，支撑“急救一张图”、路径规划与资源热力分析。</w:t>
      </w:r>
    </w:p>
    <w:p w14:paraId="0C6183BA">
      <w:r>
        <w:rPr>
          <w:rFonts w:ascii="宋体" w:hAnsi="宋体" w:eastAsia="宋体"/>
          <w:b w:val="0"/>
          <w:sz w:val="22"/>
        </w:rPr>
        <w:t>知识库主题库：集中存储结构化预案、法律法规、典型案例、专家经验及知识图谱，支撑智能问答、方案推荐与风险研判。</w:t>
      </w:r>
    </w:p>
    <w:p w14:paraId="2B0950B8">
      <w:r>
        <w:rPr>
          <w:rFonts w:ascii="宋体" w:hAnsi="宋体" w:eastAsia="宋体"/>
          <w:b w:val="0"/>
          <w:sz w:val="22"/>
        </w:rPr>
        <w:t>音视频主题库：管理监控视频、车载、单兵、视频会议、语音通信等终端的元数据与索引，提供检索、回放与融合通信调度能力。</w:t>
      </w:r>
    </w:p>
    <w:p w14:paraId="7238D88C">
      <w:r>
        <w:rPr>
          <w:rFonts w:ascii="宋体" w:hAnsi="宋体" w:eastAsia="宋体"/>
          <w:b w:val="0"/>
          <w:sz w:val="22"/>
        </w:rPr>
        <w:t>中毒</w:t>
      </w:r>
      <w:r>
        <w:rPr>
          <w:rFonts w:hint="eastAsia"/>
          <w:b w:val="0"/>
          <w:sz w:val="22"/>
          <w:lang w:val="en-US" w:eastAsia="zh-CN"/>
        </w:rPr>
        <w:t>主题</w:t>
      </w:r>
      <w:r>
        <w:rPr>
          <w:rFonts w:ascii="宋体" w:hAnsi="宋体" w:eastAsia="宋体"/>
          <w:b w:val="0"/>
          <w:sz w:val="22"/>
        </w:rPr>
        <w:t>库：围绕中毒事件构建药品、毒物、库存与调拨专业数据集，支撑解毒药品快速定位、剂量推荐、库存预警与跨机构协同供应。</w:t>
      </w:r>
    </w:p>
    <w:p w14:paraId="053C78F8">
      <w:r>
        <w:rPr>
          <w:rFonts w:ascii="宋体" w:hAnsi="宋体" w:eastAsia="宋体"/>
          <w:b w:val="0"/>
          <w:sz w:val="22"/>
        </w:rPr>
        <w:t>急诊急救主题库：贯通院前、院内、转诊全流程的患者身份、健康档案、诊疗记录与救治结果，实现“一人一档、一伤一链”，支撑精准救治、质量评价与案例复盘。</w:t>
      </w:r>
    </w:p>
    <w:p w14:paraId="6568C613">
      <w:r>
        <w:rPr>
          <w:rFonts w:ascii="黑体" w:hAnsi="黑体" w:eastAsia="黑体"/>
          <w:b/>
          <w:sz w:val="24"/>
        </w:rPr>
        <w:t>专题库（六大）</w:t>
      </w:r>
    </w:p>
    <w:p w14:paraId="27C78E46">
      <w:r>
        <w:rPr>
          <w:rFonts w:ascii="宋体" w:hAnsi="宋体" w:eastAsia="宋体"/>
          <w:b w:val="0"/>
          <w:sz w:val="22"/>
        </w:rPr>
        <w:t>指挥调度专题库：记录并实时更新“事件、预案、资源、指令、评估”全链条数据，实现从接警、响应、方案匹配、资源调度到效果评估的闭环指挥。</w:t>
      </w:r>
    </w:p>
    <w:p w14:paraId="04711E9A">
      <w:r>
        <w:rPr>
          <w:rFonts w:ascii="宋体" w:hAnsi="宋体" w:eastAsia="宋体"/>
          <w:b w:val="0"/>
          <w:sz w:val="22"/>
        </w:rPr>
        <w:t>监测预警专题库：汇聚 120 接警、舆情、急诊接诊、车辆时空分布及敏感词等多源实时指标，内置动态阈值与异常检测，秒级触发预警并推送风险事件。</w:t>
      </w:r>
    </w:p>
    <w:p w14:paraId="78CF3B1B">
      <w:r>
        <w:rPr>
          <w:rFonts w:ascii="宋体" w:hAnsi="宋体" w:eastAsia="宋体"/>
          <w:b w:val="0"/>
          <w:sz w:val="22"/>
        </w:rPr>
        <w:t>应急知识图谱专题库：将灾害事件、组织架构、专家、队伍、物资等实体及关系构建为可查询、可推理的图谱，支撑智能问答、方案推荐与情景推演。</w:t>
      </w:r>
    </w:p>
    <w:p w14:paraId="526A57CB">
      <w:r>
        <w:rPr>
          <w:rFonts w:ascii="宋体" w:hAnsi="宋体" w:eastAsia="宋体"/>
          <w:b w:val="0"/>
          <w:sz w:val="22"/>
        </w:rPr>
        <w:t>智能辅助决策专题库：沉淀救援力量、物资、车辆需求测算结果与调度方案、处置建议、能力评估报告，形成从数据、模型、方案到反馈的迭代决策闭环。</w:t>
      </w:r>
    </w:p>
    <w:p w14:paraId="040A45AA">
      <w:r>
        <w:rPr>
          <w:rFonts w:ascii="宋体" w:hAnsi="宋体" w:eastAsia="宋体"/>
          <w:b w:val="0"/>
          <w:sz w:val="22"/>
        </w:rPr>
        <w:t>重大活动保障专题库：针对赛事、会议等大型活动，提前配置组织、人员、资源、站点、路线等保障方案，并构建活动专题地图与救援力量分布图。</w:t>
      </w:r>
    </w:p>
    <w:p w14:paraId="0ED6E119">
      <w:r>
        <w:rPr>
          <w:rFonts w:ascii="宋体" w:hAnsi="宋体" w:eastAsia="宋体"/>
          <w:b w:val="0"/>
          <w:sz w:val="22"/>
        </w:rPr>
        <w:t>立体转运专题库：以 120 救护车为核心，打通急救平台、车载音视频、检伤分类、院内交接、航空医疗救援等环节，支撑“上车即入院、登机即入 ICU”无缝转运。</w:t>
      </w:r>
    </w:p>
    <w:p w14:paraId="7CC8DDBB">
      <w:r>
        <w:rPr>
          <w:rFonts w:ascii="黑体" w:hAnsi="黑体" w:eastAsia="黑体"/>
          <w:b/>
          <w:sz w:val="24"/>
        </w:rPr>
        <w:t>分布式存储管理</w:t>
      </w:r>
    </w:p>
    <w:p w14:paraId="09858927">
      <w:r>
        <w:rPr>
          <w:rFonts w:ascii="宋体" w:hAnsi="宋体" w:eastAsia="宋体"/>
          <w:b w:val="0"/>
          <w:sz w:val="22"/>
        </w:rPr>
        <w:t>采用“一份数据、多种形态、统一调度”架构，三副本强一致保障任意节点故障自动接管、数据零丢失、业务不中断；节点可按需横向扩展并在线完成数据重分布。</w:t>
      </w:r>
    </w:p>
    <w:p w14:paraId="5C26BFCC">
      <w:r>
        <w:rPr>
          <w:rFonts w:ascii="宋体" w:hAnsi="宋体" w:eastAsia="宋体"/>
          <w:b w:val="0"/>
          <w:sz w:val="22"/>
        </w:rPr>
        <w:t>存储形态与生命周期：实时区（毫秒级读写最新出车与生命体征流）、热分析区（近 30 天病历/影像索引、高压缩列式、秒级响应）、冷归档区（历史病例自动下沉低成本存储、长期保存仍可秒级调阅），后台按访问频率自动迁移。</w:t>
      </w:r>
    </w:p>
    <w:p w14:paraId="3A9434C2">
      <w:r>
        <w:rPr>
          <w:rFonts w:ascii="宋体" w:hAnsi="宋体" w:eastAsia="宋体"/>
          <w:b w:val="0"/>
          <w:sz w:val="22"/>
        </w:rPr>
        <w:t>管理与运维：组件与集群管理（可视化一键部署/升级/启停）、资源隔离（按用户划分独立资源池）、告警与监控（多渠道通知）、日志与诊断（集中检索、慢查询标红、一键优化）、跨库联邦查询（一条语句统一访问多机构异构数据源）、API 与生态对接。</w:t>
      </w:r>
    </w:p>
    <w:p w14:paraId="1AF41904">
      <w:r>
        <w:rPr>
          <w:rFonts w:ascii="宋体" w:hAnsi="宋体" w:eastAsia="宋体"/>
          <w:b w:val="0"/>
          <w:sz w:val="22"/>
        </w:rPr>
        <w:t>性能与弹性：单节点峰值可达每秒十万级写入，亿级病例复杂统计数秒完成；白天高并发自动扩容、夜间分析任务让出资源；节点故障自动迁移数据与任务、业务零停顿。提供大数据管理系统、统一查询引擎系统（多异构源查询、联邦查询、实时监控、扩缩容）、数据湖文件格式组件群与分布式数据库（开发/运维/自治工具）。</w:t>
      </w:r>
    </w:p>
    <w:p w14:paraId="52D1A619">
      <w:pPr>
        <w:spacing w:before="160"/>
      </w:pPr>
      <w:r>
        <w:rPr>
          <w:rFonts w:ascii="黑体" w:hAnsi="黑体" w:eastAsia="黑体"/>
          <w:b/>
          <w:sz w:val="26"/>
        </w:rPr>
        <w:t>四、数据服务</w:t>
      </w:r>
    </w:p>
    <w:p w14:paraId="1B216D1E">
      <w:pPr>
        <w:ind w:firstLine="440" w:firstLineChars="200"/>
      </w:pPr>
      <w:r>
        <w:rPr>
          <w:rFonts w:ascii="宋体" w:hAnsi="宋体" w:eastAsia="宋体"/>
          <w:b w:val="0"/>
          <w:sz w:val="22"/>
        </w:rPr>
        <w:t>以“统一接口、统一标准”为核心，面向院前急救、院内急诊、创伤中心、应急指挥、质控管理、AI 决策等全场景，构建数据即服务的一体化体系，通过标准化接口把主题库、专题库、指标库等数据资产转化为高可用、可编排、可计量的服务。</w:t>
      </w:r>
    </w:p>
    <w:p w14:paraId="414D030A">
      <w:r>
        <w:rPr>
          <w:rFonts w:ascii="黑体" w:hAnsi="黑体" w:eastAsia="黑体"/>
          <w:b/>
          <w:sz w:val="24"/>
        </w:rPr>
        <w:t>服务总线与开放平台</w:t>
      </w:r>
    </w:p>
    <w:p w14:paraId="0B3DEDA5">
      <w:pPr>
        <w:ind w:firstLine="440" w:firstLineChars="200"/>
      </w:pPr>
      <w:r>
        <w:rPr>
          <w:rFonts w:ascii="宋体" w:hAnsi="宋体" w:eastAsia="宋体"/>
          <w:b w:val="0"/>
          <w:sz w:val="22"/>
        </w:rPr>
        <w:t>提供统一接入网关、路由编排、流量控制与熔断降级能力。服务管理支持可视化注册、版本迭代、灰度发布与下线；服务授权按角色、科室、事件级别动态授权，遵循“最小可用”原则；服务测试内置压测沙箱；服务审计实时写入日志、支持秒级溯源与合规审计。</w:t>
      </w:r>
    </w:p>
    <w:p w14:paraId="070692E4">
      <w:r>
        <w:rPr>
          <w:rFonts w:ascii="黑体" w:hAnsi="黑体" w:eastAsia="黑体"/>
          <w:b/>
          <w:sz w:val="24"/>
        </w:rPr>
        <w:t>指标服务接口</w:t>
      </w:r>
    </w:p>
    <w:p w14:paraId="429A8A2F">
      <w:pPr>
        <w:ind w:firstLine="440" w:firstLineChars="200"/>
      </w:pPr>
      <w:r>
        <w:rPr>
          <w:rFonts w:ascii="宋体" w:hAnsi="宋体" w:eastAsia="宋体"/>
          <w:b w:val="0"/>
          <w:sz w:val="22"/>
        </w:rPr>
        <w:t>元数据接口返回指标口径、计算公式与维度词典，解决跨机构口径不一致；实时查询接口秒级返回当日关键 KPI；批量订阅接口支持按日/周/月自动推送至绩效系统或上报平台。</w:t>
      </w:r>
    </w:p>
    <w:p w14:paraId="331B1694">
      <w:r>
        <w:rPr>
          <w:rFonts w:ascii="黑体" w:hAnsi="黑体" w:eastAsia="黑体"/>
          <w:b/>
          <w:sz w:val="24"/>
        </w:rPr>
        <w:t>数据上报与质量校验接口</w:t>
      </w:r>
    </w:p>
    <w:p w14:paraId="7F7FF29F">
      <w:pPr>
        <w:ind w:firstLine="440" w:firstLineChars="200"/>
      </w:pPr>
      <w:r>
        <w:rPr>
          <w:rFonts w:ascii="宋体" w:hAnsi="宋体" w:eastAsia="宋体"/>
          <w:b w:val="0"/>
          <w:sz w:val="22"/>
        </w:rPr>
        <w:t>上报任务接口支持省、市、国家三级上报规范，一次配置即可自动生成多频次 XML/JSON 上报包；数据校验接口内置完整性、一致性、逻辑性规则，传入原始报文即实时返回错误码、错误字段与修正建议，实现“边采边审”。</w:t>
      </w:r>
    </w:p>
    <w:p w14:paraId="796907DF">
      <w:r>
        <w:rPr>
          <w:rFonts w:ascii="黑体" w:hAnsi="黑体" w:eastAsia="黑体"/>
          <w:b/>
          <w:sz w:val="24"/>
        </w:rPr>
        <w:t>可视化与移动端接口</w:t>
      </w:r>
    </w:p>
    <w:p w14:paraId="76A78B1E">
      <w:pPr>
        <w:ind w:firstLine="440" w:firstLineChars="200"/>
      </w:pPr>
      <w:r>
        <w:rPr>
          <w:rFonts w:ascii="宋体" w:hAnsi="宋体" w:eastAsia="宋体"/>
          <w:b w:val="0"/>
          <w:sz w:val="22"/>
        </w:rPr>
        <w:t>大屏接口输出流式数据，支撑拼接屏无刷新刷新与组件级权限控制；移动接口支持离线缓存与弱网场景查看。</w:t>
      </w:r>
    </w:p>
    <w:p w14:paraId="2031EF73">
      <w:r>
        <w:rPr>
          <w:rFonts w:ascii="黑体" w:hAnsi="黑体" w:eastAsia="黑体"/>
          <w:b/>
          <w:sz w:val="24"/>
        </w:rPr>
        <w:t>安全与合规</w:t>
      </w:r>
    </w:p>
    <w:p w14:paraId="7EBD5FBD">
      <w:pPr>
        <w:ind w:firstLine="440" w:firstLineChars="200"/>
      </w:pPr>
      <w:r>
        <w:rPr>
          <w:rFonts w:ascii="宋体" w:hAnsi="宋体" w:eastAsia="宋体"/>
          <w:b w:val="0"/>
          <w:sz w:val="22"/>
        </w:rPr>
        <w:t>所有接口默认国密 SM4 字段级加密，敏感参数采用同态加密并支持密文检索；平台通过三级等保测评，满足个人信息保护与数据安全法要求，并提供国密算法 SDK 便于第三方完成国密改造。</w:t>
      </w:r>
    </w:p>
    <w:p w14:paraId="78EBF2CE">
      <w:r>
        <w:rPr>
          <w:rFonts w:ascii="黑体" w:hAnsi="黑体" w:eastAsia="黑体"/>
          <w:b/>
          <w:sz w:val="24"/>
        </w:rPr>
        <w:t>数据开放服务系统</w:t>
      </w:r>
    </w:p>
    <w:p w14:paraId="714C5B3F">
      <w:pPr>
        <w:ind w:firstLine="440" w:firstLineChars="200"/>
      </w:pPr>
      <w:r>
        <w:rPr>
          <w:rFonts w:ascii="宋体" w:hAnsi="宋体" w:eastAsia="宋体"/>
          <w:b w:val="0"/>
          <w:sz w:val="22"/>
        </w:rPr>
        <w:t>服务概览、服务配置管理（查询/新增/编辑/克隆/下线）、服务测试管理（第三方在线测试）、服务授权管理（消费方授权与高级授权）、服务监控（调用记录与系统调用记录的多时段统计）、基础配置（系统管理与数据库维护）。</w:t>
      </w:r>
    </w:p>
    <w:p w14:paraId="1557F9CC">
      <w:r>
        <w:rPr>
          <w:rFonts w:ascii="黑体" w:hAnsi="黑体" w:eastAsia="黑体"/>
          <w:b/>
          <w:sz w:val="24"/>
        </w:rPr>
        <w:t>指标管理系统</w:t>
      </w:r>
    </w:p>
    <w:p w14:paraId="69FA68BC">
      <w:r>
        <w:rPr>
          <w:rFonts w:ascii="宋体" w:hAnsi="宋体" w:eastAsia="宋体"/>
          <w:b w:val="0"/>
          <w:sz w:val="22"/>
        </w:rPr>
        <w:t>基础管理：指标单位、标签、录入权限、目标值录入权限与指标规范（国家/省/市规范查询与对应关系）管理。</w:t>
      </w:r>
    </w:p>
    <w:p w14:paraId="48FDE239">
      <w:r>
        <w:rPr>
          <w:rFonts w:ascii="宋体" w:hAnsi="宋体" w:eastAsia="宋体"/>
          <w:b w:val="0"/>
          <w:sz w:val="22"/>
        </w:rPr>
        <w:t>模型管理：数据源管理、模型管理（同步表结构、维护表类型与字段统计方式）、维度管理（维度字典与模型表对应关系）。</w:t>
      </w:r>
    </w:p>
    <w:p w14:paraId="0EA450BD">
      <w:r>
        <w:rPr>
          <w:rFonts w:ascii="宋体" w:hAnsi="宋体" w:eastAsia="宋体"/>
          <w:b w:val="0"/>
          <w:sz w:val="22"/>
        </w:rPr>
        <w:t>指标管理：遵循统一指标定义格式梳理整合适用于多评审条件的指标体系，支持自定义主题分类与指标复用。</w:t>
      </w:r>
    </w:p>
    <w:p w14:paraId="2A1553BE">
      <w:r>
        <w:rPr>
          <w:rFonts w:ascii="宋体" w:hAnsi="宋体" w:eastAsia="宋体"/>
          <w:b w:val="0"/>
          <w:sz w:val="22"/>
        </w:rPr>
        <w:t>计算调度（指标生成定时任务与执行记录）、指标录入（按指标或分类人工补录）、目标值管理（配置与录入）、数据分析（指标总览归因下钻、目标值完成进度）、指标预警（多规则配置、实时推送负责人、预警详情与科室负责人配置）。</w:t>
      </w:r>
    </w:p>
    <w:p w14:paraId="130E4EFE">
      <w:pPr>
        <w:spacing w:before="160"/>
      </w:pPr>
      <w:r>
        <w:rPr>
          <w:rFonts w:ascii="黑体" w:hAnsi="黑体" w:eastAsia="黑体"/>
          <w:b/>
          <w:sz w:val="26"/>
        </w:rPr>
        <w:t>五、数据可视化系统</w:t>
      </w:r>
    </w:p>
    <w:p w14:paraId="167806CD">
      <w:pPr>
        <w:ind w:firstLine="440" w:firstLineChars="200"/>
      </w:pPr>
      <w:r>
        <w:rPr>
          <w:rFonts w:ascii="宋体" w:hAnsi="宋体" w:eastAsia="宋体"/>
          <w:b w:val="0"/>
          <w:sz w:val="22"/>
        </w:rPr>
        <w:t>通过封装柱形图、表格、折线图、饼图等控件，与指标管理平台联合实现指标库内指标的可视化分析，构建基于指标的数据应用。</w:t>
      </w:r>
    </w:p>
    <w:p w14:paraId="1BCFBB03">
      <w:r>
        <w:rPr>
          <w:rFonts w:ascii="宋体" w:hAnsi="宋体" w:eastAsia="宋体"/>
          <w:b w:val="0"/>
          <w:sz w:val="22"/>
        </w:rPr>
        <w:t>主要功能：</w:t>
      </w:r>
    </w:p>
    <w:p w14:paraId="147F5EAA">
      <w:pPr>
        <w:pStyle w:val="16"/>
      </w:pPr>
      <w:r>
        <w:rPr>
          <w:rFonts w:ascii="宋体" w:hAnsi="宋体" w:eastAsia="宋体"/>
          <w:b w:val="0"/>
          <w:sz w:val="22"/>
        </w:rPr>
        <w:t>首页：对仪表板、数据表格、分析报告、账单使用情况进行统计与快速定位。</w:t>
      </w:r>
    </w:p>
    <w:p w14:paraId="48D17A92">
      <w:pPr>
        <w:pStyle w:val="16"/>
      </w:pPr>
      <w:r>
        <w:rPr>
          <w:rFonts w:ascii="宋体" w:hAnsi="宋体" w:eastAsia="宋体"/>
          <w:b w:val="0"/>
          <w:sz w:val="22"/>
        </w:rPr>
        <w:t>仪表板配置：面向电脑端、移动端、职工角色等的个性化仪表盘配置。</w:t>
      </w:r>
    </w:p>
    <w:p w14:paraId="02C43E8D">
      <w:pPr>
        <w:pStyle w:val="16"/>
      </w:pPr>
      <w:r>
        <w:rPr>
          <w:rFonts w:ascii="宋体" w:hAnsi="宋体" w:eastAsia="宋体"/>
          <w:b w:val="0"/>
          <w:sz w:val="22"/>
        </w:rPr>
        <w:t>数据表格：配置数据报表。</w:t>
      </w:r>
    </w:p>
    <w:p w14:paraId="6BC2E1CB">
      <w:pPr>
        <w:pStyle w:val="16"/>
      </w:pPr>
      <w:r>
        <w:rPr>
          <w:rFonts w:ascii="宋体" w:hAnsi="宋体" w:eastAsia="宋体"/>
          <w:b w:val="0"/>
          <w:sz w:val="22"/>
        </w:rPr>
        <w:t>分析报告：定时生成月报、周报并发送给管理人员，提供生成记录。</w:t>
      </w:r>
    </w:p>
    <w:p w14:paraId="73E36B8A">
      <w:pPr>
        <w:pStyle w:val="16"/>
      </w:pPr>
      <w:r>
        <w:rPr>
          <w:rFonts w:ascii="宋体" w:hAnsi="宋体" w:eastAsia="宋体"/>
          <w:b w:val="0"/>
          <w:sz w:val="22"/>
        </w:rPr>
        <w:t>账单管理：配置个人账单并定时生成，供人员查看工作情况。</w:t>
      </w:r>
    </w:p>
    <w:p w14:paraId="43B1B608">
      <w:pPr>
        <w:pStyle w:val="16"/>
      </w:pPr>
      <w:r>
        <w:rPr>
          <w:rFonts w:ascii="宋体" w:hAnsi="宋体" w:eastAsia="宋体"/>
          <w:b w:val="0"/>
          <w:sz w:val="22"/>
        </w:rPr>
        <w:t>配置中心：数据连接、数据集管理、日志管理、用户管理与组件图例管理。</w:t>
      </w:r>
    </w:p>
    <w:p w14:paraId="36B36D3A">
      <w:pPr>
        <w:spacing w:before="160"/>
      </w:pPr>
      <w:r>
        <w:rPr>
          <w:rFonts w:ascii="黑体" w:hAnsi="黑体" w:eastAsia="黑体"/>
          <w:b/>
          <w:sz w:val="26"/>
        </w:rPr>
        <w:t>六、数据应用</w:t>
      </w:r>
    </w:p>
    <w:p w14:paraId="167B8222">
      <w:r>
        <w:rPr>
          <w:rFonts w:ascii="黑体" w:hAnsi="黑体" w:eastAsia="黑体"/>
          <w:b/>
          <w:sz w:val="24"/>
        </w:rPr>
        <w:t>指标数据分析——救援队管理及分析</w:t>
      </w:r>
    </w:p>
    <w:p w14:paraId="385E1909">
      <w:pPr>
        <w:ind w:firstLine="440" w:firstLineChars="200"/>
      </w:pPr>
      <w:r>
        <w:rPr>
          <w:rFonts w:ascii="宋体" w:hAnsi="宋体" w:eastAsia="宋体"/>
          <w:b w:val="0"/>
          <w:sz w:val="22"/>
        </w:rPr>
        <w:t>建立完整救援队电子档案，动态管理队员资质、专业技能、培训状态及队伍装备的分布、完好率与可用性；依托物联网与移动终端实时追踪出动响应时间、途中定位、现场驻留时长与任务执行进度，实现透明化可视化调度。</w:t>
      </w:r>
    </w:p>
    <w:p w14:paraId="6772FB81">
      <w:r>
        <w:rPr>
          <w:rFonts w:ascii="宋体" w:hAnsi="宋体" w:eastAsia="宋体"/>
          <w:b w:val="0"/>
          <w:sz w:val="22"/>
        </w:rPr>
        <w:t>分析维度包括：整体能力画像、学历分布、工作量、岗位分布、职称分布、依托医院科室分布、救援任务统计（类型/频次/地点/伤亡规模）、门急诊接诊、手术量、门诊量、CMI 病种难度等，并构建覆盖“响应、处置、复盘”的效能评估指标（平均响应时间、任务成功率、装备效能、协同匹配度等）。</w:t>
      </w:r>
    </w:p>
    <w:p w14:paraId="7F580928">
      <w:r>
        <w:rPr>
          <w:rFonts w:ascii="黑体" w:hAnsi="黑体" w:eastAsia="黑体"/>
          <w:b/>
          <w:sz w:val="24"/>
        </w:rPr>
        <w:t>指标数据分析——急诊专业质量指标数据分析</w:t>
      </w:r>
    </w:p>
    <w:p w14:paraId="28B0D374">
      <w:pPr>
        <w:ind w:firstLine="440" w:firstLineChars="200"/>
      </w:pPr>
      <w:r>
        <w:rPr>
          <w:rFonts w:ascii="宋体" w:hAnsi="宋体" w:eastAsia="宋体"/>
          <w:b w:val="0"/>
          <w:sz w:val="22"/>
        </w:rPr>
        <w:t>在指标库完成急诊专业质控指标标准化建模后，应用端构建质控子系统，抓取医患比、分诊级别构成、抢救室滞留时间等关键指标集中展示，并以红黄绿灯标识预警（如特定病种门药时间超阈值或抢救室滞留异常时自动触发预警并生成整改工单推送科主任），实现“异常发现—派发—回写”闭环。</w:t>
      </w:r>
    </w:p>
    <w:p w14:paraId="69907DF1">
      <w:r>
        <w:rPr>
          <w:rFonts w:ascii="黑体" w:hAnsi="黑体" w:eastAsia="黑体"/>
          <w:b/>
          <w:sz w:val="24"/>
        </w:rPr>
        <w:t>急诊专科运营分析</w:t>
      </w:r>
    </w:p>
    <w:p w14:paraId="6B6D4D6D">
      <w:r>
        <w:rPr>
          <w:rFonts w:ascii="宋体" w:hAnsi="宋体" w:eastAsia="宋体"/>
          <w:b w:val="0"/>
          <w:sz w:val="22"/>
        </w:rPr>
        <w:t>急诊科运营概览：从总体展示业务量、收入、医疗质量、运行效率、成本与预算目标执行等关键指标，支持与全院最大值/中位数的排名对比及月度趋势。</w:t>
      </w:r>
    </w:p>
    <w:p w14:paraId="10718A07">
      <w:r>
        <w:rPr>
          <w:rFonts w:ascii="宋体" w:hAnsi="宋体" w:eastAsia="宋体"/>
          <w:b w:val="0"/>
          <w:sz w:val="22"/>
        </w:rPr>
        <w:t>科室人员结构：从科室维度分析人员数量、职称、学历、性别等人力资源构成。</w:t>
      </w:r>
    </w:p>
    <w:p w14:paraId="35C8494D">
      <w:r>
        <w:rPr>
          <w:rFonts w:ascii="宋体" w:hAnsi="宋体" w:eastAsia="宋体"/>
          <w:b w:val="0"/>
          <w:sz w:val="22"/>
        </w:rPr>
        <w:t>均次费用分析：按患者分级与主要病种拆解，评估危重患者均次费用合理性，并开展收入结构（药品/检查检验/治疗/手术）分析。</w:t>
      </w:r>
    </w:p>
    <w:p w14:paraId="183E907E">
      <w:r>
        <w:rPr>
          <w:rFonts w:ascii="宋体" w:hAnsi="宋体" w:eastAsia="宋体"/>
          <w:b w:val="0"/>
          <w:sz w:val="22"/>
        </w:rPr>
        <w:t>医生业务量：急诊总量与趋势、预检分诊级别结构、患者来源（自行来院/120/基层转入）与年龄病种分布，为弹性排班与资源预备提供依据。</w:t>
      </w:r>
    </w:p>
    <w:p w14:paraId="60ADFE75">
      <w:r>
        <w:rPr>
          <w:rFonts w:ascii="宋体" w:hAnsi="宋体" w:eastAsia="宋体"/>
          <w:b w:val="0"/>
          <w:sz w:val="22"/>
        </w:rPr>
        <w:t>科室收入情况、手术情况分析（台次/级别/准备时间/抢救室资源利用）、床位利用分析（编制/开放/使用率/周转/平均住院日）、设备耗材分析（总体配置、利用强度、经济效益、物联网 7×24 实时状态监测、工作时长监测）。</w:t>
      </w:r>
    </w:p>
    <w:p w14:paraId="561B2991">
      <w:r>
        <w:rPr>
          <w:rFonts w:ascii="黑体" w:hAnsi="黑体" w:eastAsia="黑体"/>
          <w:b/>
          <w:sz w:val="24"/>
        </w:rPr>
        <w:t>急诊专科绩效管理</w:t>
      </w:r>
    </w:p>
    <w:p w14:paraId="23757C0A">
      <w:r>
        <w:rPr>
          <w:rFonts w:ascii="宋体" w:hAnsi="宋体" w:eastAsia="宋体"/>
          <w:b w:val="0"/>
          <w:sz w:val="22"/>
        </w:rPr>
        <w:t>评价指标管理：梳理配置医生等职工评价指标（门急诊接诊人次、手术量、术后并发症率、急诊转住院比率、满意度评分等），支持变量配置与职工属性设置，形成多来源数据的评价体系。</w:t>
      </w:r>
    </w:p>
    <w:p w14:paraId="117A514E">
      <w:r>
        <w:rPr>
          <w:rFonts w:ascii="宋体" w:hAnsi="宋体" w:eastAsia="宋体"/>
          <w:b w:val="0"/>
          <w:sz w:val="22"/>
        </w:rPr>
        <w:t>评价方案管理：按科室类型与职工类型配置评价计算模型，支持方案引用与覆盖快速复用；评价方案查询可导入并下发给科室管理人员。</w:t>
      </w:r>
    </w:p>
    <w:p w14:paraId="7CB51270">
      <w:r>
        <w:rPr>
          <w:rFonts w:ascii="宋体" w:hAnsi="宋体" w:eastAsia="宋体"/>
          <w:b w:val="0"/>
          <w:sz w:val="22"/>
        </w:rPr>
        <w:t>考核计划管理：支持按月、季、年及不同类型职工创建定期评价计划。</w:t>
      </w:r>
    </w:p>
    <w:p w14:paraId="585CE068">
      <w:r>
        <w:rPr>
          <w:rFonts w:ascii="宋体" w:hAnsi="宋体" w:eastAsia="宋体"/>
          <w:b w:val="0"/>
          <w:sz w:val="22"/>
        </w:rPr>
        <w:t>评价测试管理：测算列表（按考核计划与方案提交结果）、审批列表（管理人员审批通过与不通过）。</w:t>
      </w:r>
    </w:p>
    <w:p w14:paraId="2645D86F">
      <w:r>
        <w:rPr>
          <w:rFonts w:ascii="宋体" w:hAnsi="宋体" w:eastAsia="宋体"/>
          <w:b w:val="0"/>
          <w:sz w:val="22"/>
        </w:rPr>
        <w:t>评价结果分析：考核结果查询（仅审批通过结果计入）、考核评价分析（平均分/总分排名/单指标排名）、职工评价对比（雷达图与表格对比）、职工指标查询与导出。</w:t>
      </w:r>
    </w:p>
    <w:p w14:paraId="13F8FE29">
      <w:pPr>
        <w:spacing w:before="160"/>
        <w:rPr>
          <w:rFonts w:hint="default"/>
          <w:lang w:val="en-US"/>
        </w:rPr>
      </w:pPr>
      <w:r>
        <w:rPr>
          <w:rFonts w:ascii="黑体" w:hAnsi="黑体" w:eastAsia="黑体"/>
          <w:b/>
          <w:sz w:val="26"/>
        </w:rPr>
        <w:t>七、</w:t>
      </w:r>
      <w:r>
        <w:rPr>
          <w:rFonts w:hint="eastAsia" w:ascii="黑体" w:hAnsi="黑体" w:eastAsia="黑体"/>
          <w:b/>
          <w:sz w:val="26"/>
          <w:lang w:val="en-US" w:eastAsia="zh-CN"/>
        </w:rPr>
        <w:t>专科疾病数据处理</w:t>
      </w:r>
    </w:p>
    <w:p w14:paraId="2FCD8EDB">
      <w:r>
        <w:rPr>
          <w:rFonts w:ascii="黑体" w:hAnsi="黑体" w:eastAsia="黑体"/>
          <w:b/>
          <w:sz w:val="24"/>
        </w:rPr>
        <w:t>数据接入</w:t>
      </w:r>
    </w:p>
    <w:p w14:paraId="195438BE">
      <w:r>
        <w:rPr>
          <w:rFonts w:ascii="宋体" w:hAnsi="宋体" w:eastAsia="宋体"/>
          <w:b w:val="0"/>
          <w:sz w:val="22"/>
        </w:rPr>
        <w:t>支持多种方式接入：历史数据一次性 ETL 批量接入并构建患者主索引（EMPI）、增量数据自动异步更新、离线设备数据接入、缺失数据补录与其他第三方数据接入；通过“确定入库规则—历史接入—增量接入—补录—第三方接入”流程界定专科人群范围并完成诊疗记录关联。</w:t>
      </w:r>
    </w:p>
    <w:p w14:paraId="2DDA813D">
      <w:r>
        <w:rPr>
          <w:rFonts w:ascii="宋体" w:hAnsi="宋体" w:eastAsia="宋体"/>
          <w:b w:val="0"/>
          <w:sz w:val="22"/>
        </w:rPr>
        <w:t>数据字典标化：梳理专科疾病医学术语、以国内标准术语为基准实现标准术语唯一化处理，并通过标准术语桥梁连接本院与外院数据；针对脑卒中、胸痛、中毒救治三类</w:t>
      </w:r>
      <w:r>
        <w:rPr>
          <w:rFonts w:hint="eastAsia"/>
          <w:b w:val="0"/>
          <w:sz w:val="22"/>
          <w:lang w:val="en-US" w:eastAsia="zh-CN"/>
        </w:rPr>
        <w:t>专科数据</w:t>
      </w:r>
      <w:r>
        <w:rPr>
          <w:rFonts w:ascii="宋体" w:hAnsi="宋体" w:eastAsia="宋体"/>
          <w:b w:val="0"/>
          <w:sz w:val="22"/>
        </w:rPr>
        <w:t>采集所需指标与字段，并记录采集日志供校验。</w:t>
      </w:r>
    </w:p>
    <w:p w14:paraId="18EC54F6">
      <w:r>
        <w:rPr>
          <w:rFonts w:ascii="黑体" w:hAnsi="黑体" w:eastAsia="黑体"/>
          <w:b/>
          <w:sz w:val="24"/>
        </w:rPr>
        <w:t>数据治理与加工</w:t>
      </w:r>
    </w:p>
    <w:p w14:paraId="39515C43">
      <w:r>
        <w:rPr>
          <w:rFonts w:ascii="宋体" w:hAnsi="宋体" w:eastAsia="宋体"/>
          <w:b w:val="0"/>
          <w:sz w:val="22"/>
        </w:rPr>
        <w:t>数据清洗：规则配置涵盖唯一性、完整性、合法性（如日期格式、性别取值、出生日期合理性）；清洗服务处理空值填充与失效数据丢弃并记录日志。</w:t>
      </w:r>
    </w:p>
    <w:p w14:paraId="258B37B5">
      <w:r>
        <w:rPr>
          <w:rFonts w:ascii="宋体" w:hAnsi="宋体" w:eastAsia="宋体"/>
          <w:b w:val="0"/>
          <w:sz w:val="22"/>
        </w:rPr>
        <w:t>数据补充与修正：针对缺失值与不准确值（不符合业务定义、无意义、关键属性不唯一、代码越界、格式不一致等）完善校验机制与清理。</w:t>
      </w:r>
    </w:p>
    <w:p w14:paraId="2A610C11">
      <w:r>
        <w:rPr>
          <w:rFonts w:ascii="宋体" w:hAnsi="宋体" w:eastAsia="宋体"/>
          <w:b w:val="0"/>
          <w:sz w:val="22"/>
        </w:rPr>
        <w:t>数据归一：通过标准术语、同义词库与人工智能单指标模型，将异源异构临床数据映射至标准术语，实现标准化归一与互通融合。</w:t>
      </w:r>
    </w:p>
    <w:p w14:paraId="484739A5">
      <w:r>
        <w:rPr>
          <w:rFonts w:hint="eastAsia"/>
          <w:b w:val="0"/>
          <w:sz w:val="22"/>
          <w:lang w:val="en-US" w:eastAsia="zh-CN"/>
        </w:rPr>
        <w:t>专科</w:t>
      </w:r>
      <w:r>
        <w:rPr>
          <w:rFonts w:ascii="宋体" w:hAnsi="宋体" w:eastAsia="宋体"/>
          <w:b w:val="0"/>
          <w:sz w:val="22"/>
        </w:rPr>
        <w:t>数据融合：将院前急救、急诊、手术、监护等多时间点记录跨源关联整合，依据医学逻辑（如创伤评分）进行复杂计算并自动填充预设字段。</w:t>
      </w:r>
    </w:p>
    <w:p w14:paraId="49129675">
      <w:r>
        <w:rPr>
          <w:rFonts w:ascii="宋体" w:hAnsi="宋体" w:eastAsia="宋体"/>
          <w:b w:val="0"/>
          <w:sz w:val="22"/>
        </w:rPr>
        <w:t>数据后结构化：提供面向文本的自然语言处理模型（主诉现病史、既往史、体格检查、病程记录、临床诊断等百余种），将非结构化文本抽取为结构化医学数据；支持数据逻辑校验（系统告警与人工干预修正）与数据探查管理（评估完整性、准确性、一致性）。</w:t>
      </w:r>
    </w:p>
    <w:p w14:paraId="0ABF8B01">
      <w:pPr>
        <w:rPr>
          <w:rFonts w:hint="eastAsia" w:eastAsia="黑体"/>
          <w:lang w:val="en-US" w:eastAsia="zh-CN"/>
        </w:rPr>
      </w:pPr>
      <w:r>
        <w:rPr>
          <w:rFonts w:hint="eastAsia" w:ascii="黑体" w:hAnsi="黑体" w:eastAsia="黑体"/>
          <w:b/>
          <w:sz w:val="24"/>
          <w:lang w:val="en-US" w:eastAsia="zh-CN"/>
        </w:rPr>
        <w:t>数据</w:t>
      </w:r>
      <w:r>
        <w:rPr>
          <w:rFonts w:ascii="黑体" w:hAnsi="黑体" w:eastAsia="黑体"/>
          <w:b/>
          <w:sz w:val="24"/>
        </w:rPr>
        <w:t>应用——</w:t>
      </w:r>
      <w:r>
        <w:rPr>
          <w:rFonts w:hint="eastAsia" w:ascii="黑体" w:hAnsi="黑体" w:eastAsia="黑体"/>
          <w:b/>
          <w:sz w:val="24"/>
          <w:lang w:val="en-US" w:eastAsia="zh-CN"/>
        </w:rPr>
        <w:t>以</w:t>
      </w:r>
      <w:r>
        <w:rPr>
          <w:rFonts w:ascii="黑体" w:hAnsi="黑体" w:eastAsia="黑体"/>
          <w:b/>
          <w:sz w:val="24"/>
        </w:rPr>
        <w:t>脑卒中</w:t>
      </w:r>
      <w:r>
        <w:rPr>
          <w:rFonts w:hint="eastAsia" w:ascii="黑体" w:hAnsi="黑体" w:eastAsia="黑体"/>
          <w:b/>
          <w:sz w:val="24"/>
          <w:lang w:val="en-US" w:eastAsia="zh-CN"/>
        </w:rPr>
        <w:t>为例</w:t>
      </w:r>
    </w:p>
    <w:p w14:paraId="4A47331B">
      <w:r>
        <w:rPr>
          <w:rFonts w:ascii="宋体" w:hAnsi="宋体" w:eastAsia="宋体"/>
          <w:b w:val="0"/>
          <w:sz w:val="22"/>
        </w:rPr>
        <w:t>数据治理与信息管理：数据高级检索与多维组合检索、数据导出（权限控制并统一按脱敏规则脱敏）、患者全景视图与时间轴溯源、数据质控（必填/值域/单位/逻辑矛盾校验）、数据统计分析（生存分析等算法、动态图表、病种负担分析）。</w:t>
      </w:r>
    </w:p>
    <w:p w14:paraId="063A615C">
      <w:r>
        <w:rPr>
          <w:rFonts w:ascii="宋体" w:hAnsi="宋体" w:eastAsia="宋体"/>
          <w:b w:val="0"/>
          <w:sz w:val="22"/>
        </w:rPr>
        <w:t>临床试验项目管理：项目立项、里程碑、组别配置、团队人员管理、盲法随机配置、试验流程配置，以及受试者全状态/纳排/日历/访视/不良事件/数据导出管理。</w:t>
      </w:r>
    </w:p>
    <w:p w14:paraId="213488F8">
      <w:r>
        <w:rPr>
          <w:rFonts w:ascii="宋体" w:hAnsi="宋体" w:eastAsia="宋体"/>
          <w:b w:val="0"/>
          <w:sz w:val="22"/>
        </w:rPr>
        <w:t>标准化智能诊疗：脑卒中急诊/门诊标准化路径、检验检查与用药模板推荐、管理方案与三级康复管理模板推荐、结构化病历书写；另含结构化 eCRF 管理、随访管理、数据大屏看板与系统管理。</w:t>
      </w:r>
    </w:p>
    <w:p w14:paraId="5FA999B5">
      <w:pPr>
        <w:rPr>
          <w:rFonts w:ascii="黑体" w:hAnsi="黑体" w:eastAsia="黑体"/>
          <w:b/>
          <w:sz w:val="24"/>
        </w:rPr>
      </w:pPr>
      <w:r>
        <w:rPr>
          <w:rFonts w:hint="eastAsia" w:ascii="黑体" w:hAnsi="黑体" w:eastAsia="黑体"/>
          <w:b/>
          <w:sz w:val="24"/>
          <w:lang w:val="en-US" w:eastAsia="zh-CN"/>
        </w:rPr>
        <w:t>专科数据</w:t>
      </w:r>
      <w:r>
        <w:rPr>
          <w:rFonts w:ascii="黑体" w:hAnsi="黑体" w:eastAsia="黑体"/>
          <w:b/>
          <w:sz w:val="24"/>
        </w:rPr>
        <w:t>应用</w:t>
      </w:r>
    </w:p>
    <w:p w14:paraId="5C241C13">
      <w:r>
        <w:rPr>
          <w:rFonts w:ascii="宋体" w:hAnsi="宋体" w:eastAsia="宋体"/>
          <w:b w:val="0"/>
          <w:sz w:val="22"/>
        </w:rPr>
        <w:t>胸痛</w:t>
      </w:r>
      <w:r>
        <w:rPr>
          <w:rFonts w:hint="eastAsia"/>
          <w:b w:val="0"/>
          <w:sz w:val="22"/>
          <w:lang w:val="en-US" w:eastAsia="zh-CN"/>
        </w:rPr>
        <w:t>主题</w:t>
      </w:r>
      <w:r>
        <w:rPr>
          <w:rFonts w:ascii="宋体" w:hAnsi="宋体" w:eastAsia="宋体"/>
          <w:b w:val="0"/>
          <w:sz w:val="22"/>
        </w:rPr>
        <w:t>库：数据集成与整合、数据分析与可视化、科研项目管理、全病程管理。</w:t>
      </w:r>
    </w:p>
    <w:p w14:paraId="1F03EE0E">
      <w:r>
        <w:rPr>
          <w:rFonts w:ascii="宋体" w:hAnsi="宋体" w:eastAsia="宋体"/>
          <w:b w:val="0"/>
          <w:sz w:val="22"/>
        </w:rPr>
        <w:t>中毒</w:t>
      </w:r>
      <w:bookmarkStart w:id="0" w:name="_GoBack"/>
      <w:bookmarkEnd w:id="0"/>
      <w:r>
        <w:rPr>
          <w:rFonts w:hint="eastAsia"/>
          <w:b w:val="0"/>
          <w:sz w:val="22"/>
          <w:lang w:val="en-US" w:eastAsia="zh-CN"/>
        </w:rPr>
        <w:t>主题</w:t>
      </w:r>
      <w:r>
        <w:rPr>
          <w:rFonts w:ascii="宋体" w:hAnsi="宋体" w:eastAsia="宋体"/>
          <w:b w:val="0"/>
          <w:sz w:val="22"/>
        </w:rPr>
        <w:t>库：专项治理、数据查询、科研流程管理、可视化分析与智能数据分析检索、系统管理。</w:t>
      </w:r>
    </w:p>
    <w:p w14:paraId="24220015"/>
    <w:sectPr>
      <w:pgSz w:w="12240" w:h="15840"/>
      <w:pgMar w:top="1440" w:right="1800" w:bottom="1440" w:left="180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ＭＳ 明朝">
    <w:altName w:val="Yu Gothic"/>
    <w:panose1 w:val="00000000000000000000"/>
    <w:charset w:val="80"/>
    <w:family w:val="roman"/>
    <w:pitch w:val="default"/>
    <w:sig w:usb0="00000000" w:usb1="00000000" w:usb2="00000010" w:usb3="00000000" w:csb0="00020000" w:csb1="00000000"/>
  </w:font>
  <w:font w:name="Yu Gothic">
    <w:panose1 w:val="020B0400000000000000"/>
    <w:charset w:val="80"/>
    <w:family w:val="auto"/>
    <w:pitch w:val="default"/>
    <w:sig w:usb0="E00002FF" w:usb1="2AC7FDFF" w:usb2="00000016" w:usb3="00000000" w:csb0="2002009F" w:csb1="00000000"/>
  </w:font>
  <w:font w:name="ＭＳ 明朝">
    <w:altName w:val="宋体"/>
    <w:panose1 w:val="00000000000000000000"/>
    <w:charset w:val="86"/>
    <w:family w:val="auto"/>
    <w:pitch w:val="default"/>
    <w:sig w:usb0="00000000" w:usb1="00000000" w:usb2="00000000" w:usb3="00000000" w:csb0="00000000" w:csb1="00000000"/>
  </w:font>
  <w:font w:name="MS Gothic">
    <w:panose1 w:val="020B0609070205080204"/>
    <w:charset w:val="80"/>
    <w:family w:val="auto"/>
    <w:pitch w:val="default"/>
    <w:sig w:usb0="E00002FF" w:usb1="6AC7FDFB" w:usb2="08000012" w:usb3="00000000" w:csb0="4002009F" w:csb1="DFD70000"/>
  </w:font>
  <w:font w:name="Courier">
    <w:altName w:val="Courier New"/>
    <w:panose1 w:val="02000500000000000000"/>
    <w:charset w:val="00"/>
    <w:family w:val="auto"/>
    <w:pitch w:val="default"/>
    <w:sig w:usb0="00000000" w:usb1="00000000" w:usb2="00000000" w:usb3="00000000" w:csb0="00000001" w:csb1="00000000"/>
  </w:font>
  <w:font w:name="ＭＳ 明朝">
    <w:altName w:val="AMGDT"/>
    <w:panose1 w:val="00000000000000000000"/>
    <w:charset w:val="00"/>
    <w:family w:val="auto"/>
    <w:pitch w:val="default"/>
    <w:sig w:usb0="00000000" w:usb1="00000000" w:usb2="00000000" w:usb3="00000000" w:csb0="00000000" w:csb1="00000000"/>
  </w:font>
  <w:font w:name="AMGDT">
    <w:panose1 w:val="02000400000000000000"/>
    <w:charset w:val="00"/>
    <w:family w:val="auto"/>
    <w:pitch w:val="default"/>
    <w:sig w:usb0="80000003" w:usb1="1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20"/>
      <w:lvlText w:val="%1."/>
      <w:lvlJc w:val="left"/>
      <w:pPr>
        <w:tabs>
          <w:tab w:val="left" w:pos="1080"/>
        </w:tabs>
        <w:ind w:left="1080" w:hanging="360"/>
      </w:pPr>
    </w:lvl>
  </w:abstractNum>
  <w:abstractNum w:abstractNumId="1">
    <w:nsid w:val="FFFFFF7F"/>
    <w:multiLevelType w:val="singleLevel"/>
    <w:tmpl w:val="FFFFFF7F"/>
    <w:lvl w:ilvl="0" w:tentative="0">
      <w:start w:val="1"/>
      <w:numFmt w:val="decimal"/>
      <w:pStyle w:val="13"/>
      <w:lvlText w:val="%1."/>
      <w:lvlJc w:val="left"/>
      <w:pPr>
        <w:tabs>
          <w:tab w:val="left" w:pos="720"/>
        </w:tabs>
        <w:ind w:left="720" w:hanging="360"/>
      </w:pPr>
    </w:lvl>
  </w:abstractNum>
  <w:abstractNum w:abstractNumId="2">
    <w:nsid w:val="FFFFFF82"/>
    <w:multiLevelType w:val="singleLevel"/>
    <w:tmpl w:val="FFFFFF82"/>
    <w:lvl w:ilvl="0" w:tentative="0">
      <w:start w:val="1"/>
      <w:numFmt w:val="bullet"/>
      <w:pStyle w:val="18"/>
      <w:lvlText w:val=""/>
      <w:lvlJc w:val="left"/>
      <w:pPr>
        <w:tabs>
          <w:tab w:val="left" w:pos="1080"/>
        </w:tabs>
        <w:ind w:left="1080" w:hanging="360"/>
      </w:pPr>
      <w:rPr>
        <w:rFonts w:hint="default" w:ascii="Symbol" w:hAnsi="Symbol"/>
      </w:rPr>
    </w:lvl>
  </w:abstractNum>
  <w:abstractNum w:abstractNumId="3">
    <w:nsid w:val="FFFFFF83"/>
    <w:multiLevelType w:val="singleLevel"/>
    <w:tmpl w:val="FFFFFF83"/>
    <w:lvl w:ilvl="0" w:tentative="0">
      <w:start w:val="1"/>
      <w:numFmt w:val="bullet"/>
      <w:pStyle w:val="23"/>
      <w:lvlText w:val=""/>
      <w:lvlJc w:val="left"/>
      <w:pPr>
        <w:tabs>
          <w:tab w:val="left" w:pos="720"/>
        </w:tabs>
        <w:ind w:left="720" w:hanging="360"/>
      </w:pPr>
      <w:rPr>
        <w:rFonts w:hint="default" w:ascii="Symbol" w:hAnsi="Symbol"/>
      </w:rPr>
    </w:lvl>
  </w:abstractNum>
  <w:abstractNum w:abstractNumId="4">
    <w:nsid w:val="FFFFFF88"/>
    <w:multiLevelType w:val="singleLevel"/>
    <w:tmpl w:val="FFFFFF88"/>
    <w:lvl w:ilvl="0" w:tentative="0">
      <w:start w:val="1"/>
      <w:numFmt w:val="decimal"/>
      <w:pStyle w:val="14"/>
      <w:lvlText w:val="%1."/>
      <w:lvlJc w:val="left"/>
      <w:pPr>
        <w:tabs>
          <w:tab w:val="left" w:pos="360"/>
        </w:tabs>
        <w:ind w:left="360" w:hanging="360"/>
      </w:pPr>
    </w:lvl>
  </w:abstractNum>
  <w:abstractNum w:abstractNumId="5">
    <w:nsid w:val="FFFFFF89"/>
    <w:multiLevelType w:val="singleLevel"/>
    <w:tmpl w:val="FFFFFF89"/>
    <w:lvl w:ilvl="0" w:tentative="0">
      <w:start w:val="1"/>
      <w:numFmt w:val="bullet"/>
      <w:pStyle w:val="16"/>
      <w:lvlText w:val=""/>
      <w:lvlJc w:val="left"/>
      <w:pPr>
        <w:tabs>
          <w:tab w:val="left" w:pos="360"/>
        </w:tabs>
        <w:ind w:left="360" w:hanging="360"/>
      </w:pPr>
      <w:rPr>
        <w:rFonts w:hint="default" w:ascii="Symbol" w:hAnsi="Symbol"/>
      </w:rPr>
    </w:lvl>
  </w:abstractNum>
  <w:num w:numId="1">
    <w:abstractNumId w:val="1"/>
  </w:num>
  <w:num w:numId="2">
    <w:abstractNumId w:val="4"/>
  </w:num>
  <w:num w:numId="3">
    <w:abstractNumId w:val="5"/>
  </w:num>
  <w:num w:numId="4">
    <w:abstractNumId w:val="2"/>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720"/>
  <w:characterSpacingControl w:val="doNotCompress"/>
  <w:footnotePr>
    <w:footnote w:id="0"/>
    <w:footnote w:id="1"/>
  </w:footnotePr>
  <w:endnotePr>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 w:val="0C6B692B"/>
    <w:rsid w:val="0DFA1124"/>
    <w:rsid w:val="18487737"/>
    <w:rsid w:val="1AFB0225"/>
    <w:rsid w:val="30822AA2"/>
    <w:rsid w:val="353A0BF3"/>
    <w:rsid w:val="368D575F"/>
    <w:rsid w:val="3DF633C5"/>
    <w:rsid w:val="3F7C4554"/>
    <w:rsid w:val="4710022F"/>
    <w:rsid w:val="54923193"/>
    <w:rsid w:val="5869150A"/>
    <w:rsid w:val="5D380EAD"/>
    <w:rsid w:val="662E05EA"/>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ja-JP"/>
  <w:clrSchemeMapping w:bg1="light1" w:t1="dark1" w:bg2="light2" w:t2="dark2" w:accent1="accent1" w:accent2="accent2" w:accent3="accent3" w:accent4="accent4" w:accent5="accent5" w:accent6="accent6" w:hyperlink="hyperlink" w:followedHyperlink="followedHyperlink"/>
  <w14:defaultImageDpi w14:val="300"/>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qFormat="1" w:uiPriority="99" w:semiHidden="0" w:name="macro"/>
    <w:lsdException w:uiPriority="99" w:name="toa heading"/>
    <w:lsdException w:qFormat="1" w:uiPriority="99" w:semiHidden="0" w:name="List"/>
    <w:lsdException w:qFormat="1" w:uiPriority="99" w:semiHidden="0" w:name="List Bullet"/>
    <w:lsdException w:qFormat="1" w:uiPriority="99" w:semiHidden="0" w:name="List Number"/>
    <w:lsdException w:qFormat="1" w:uiPriority="99" w:semiHidden="0" w:name="List 2"/>
    <w:lsdException w:qFormat="1" w:uiPriority="99" w:semiHidden="0" w:name="List 3"/>
    <w:lsdException w:uiPriority="99" w:name="List 4"/>
    <w:lsdException w:uiPriority="99" w:name="List 5"/>
    <w:lsdException w:qFormat="1" w:uiPriority="99" w:semiHidden="0" w:name="List Bullet 2"/>
    <w:lsdException w:qFormat="1" w:uiPriority="99" w:semiHidden="0" w:name="List Bullet 3"/>
    <w:lsdException w:uiPriority="99" w:name="List Bullet 4"/>
    <w:lsdException w:uiPriority="99" w:name="List Bullet 5"/>
    <w:lsdException w:qFormat="1" w:uiPriority="99" w:semiHidden="0" w:name="List Number 2"/>
    <w:lsdException w:qFormat="1" w:uiPriority="99" w:semiHidden="0"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uiPriority="99" w:name="Body Text Indent"/>
    <w:lsdException w:qFormat="1" w:uiPriority="99" w:semiHidden="0" w:name="List Continue"/>
    <w:lsdException w:qFormat="1" w:uiPriority="99" w:semiHidden="0" w:name="List Continue 2"/>
    <w:lsdException w:qFormat="1" w:uiPriority="99" w:semiHidden="0"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iPriority="99" w:semiHidden="0" w:name="Body Text 2"/>
    <w:lsdException w:qFormat="1" w:uiPriority="99" w:semiHidden="0"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qFormat="1" w:unhideWhenUsed="0" w:uiPriority="1" w:semiHidden="0" w:name="No Spacing"/>
    <w:lsdException w:qFormat="1" w:unhideWhenUsed="0" w:uiPriority="60" w:semiHidden="0" w:name="Light Shading"/>
    <w:lsdException w:qFormat="1" w:unhideWhenUsed="0" w:uiPriority="61" w:semiHidden="0" w:name="Light List"/>
    <w:lsdException w:qFormat="1" w:unhideWhenUsed="0" w:uiPriority="62" w:semiHidden="0" w:name="Light Grid"/>
    <w:lsdException w:qFormat="1" w:unhideWhenUsed="0" w:uiPriority="63" w:semiHidden="0" w:name="Medium Shading 1"/>
    <w:lsdException w:qFormat="1" w:unhideWhenUsed="0" w:uiPriority="64" w:semiHidden="0" w:name="Medium Shading 2"/>
    <w:lsdException w:unhideWhenUsed="0" w:uiPriority="65" w:semiHidden="0" w:name="Medium List 1"/>
    <w:lsdException w:qFormat="1" w:unhideWhenUsed="0" w:uiPriority="66" w:semiHidden="0" w:name="Medium List 2"/>
    <w:lsdException w:qFormat="1" w:unhideWhenUsed="0" w:uiPriority="67" w:semiHidden="0" w:name="Medium Grid 1"/>
    <w:lsdException w:qFormat="1" w:unhideWhenUsed="0" w:uiPriority="68" w:semiHidden="0" w:name="Medium Grid 2"/>
    <w:lsdException w:qFormat="1" w:unhideWhenUsed="0" w:uiPriority="69" w:semiHidden="0" w:name="Medium Grid 3"/>
    <w:lsdException w:qFormat="1" w:unhideWhenUsed="0" w:uiPriority="70" w:semiHidden="0" w:name="Dark List"/>
    <w:lsdException w:qFormat="1" w:unhideWhenUsed="0" w:uiPriority="71" w:semiHidden="0" w:name="Colorful Shading"/>
    <w:lsdException w:qFormat="1" w:unhideWhenUsed="0" w:uiPriority="72" w:semiHidden="0" w:name="Colorful List"/>
    <w:lsdException w:qFormat="1" w:unhideWhenUsed="0" w:uiPriority="73" w:semiHidden="0" w:name="Colorful Grid"/>
    <w:lsdException w:qFormat="1" w:unhideWhenUsed="0" w:uiPriority="60" w:semiHidden="0" w:name="Light Shading Accent 1"/>
    <w:lsdException w:qFormat="1" w:unhideWhenUsed="0" w:uiPriority="61" w:semiHidden="0" w:name="Light List Accent 1"/>
    <w:lsdException w:qFormat="1" w:unhideWhenUsed="0" w:uiPriority="62" w:semiHidden="0" w:name="Light Grid Accent 1"/>
    <w:lsdException w:qFormat="1" w:unhideWhenUsed="0" w:uiPriority="63" w:semiHidden="0" w:name="Medium Shading 1 Accent 1"/>
    <w:lsdException w:qFormat="1" w:unhideWhenUsed="0" w:uiPriority="64" w:semiHidden="0" w:name="Medium Shading 2 Accent 1"/>
    <w:lsdException w:qFormat="1"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qFormat="1" w:unhideWhenUsed="0" w:uiPriority="66" w:semiHidden="0" w:name="Medium List 2 Accent 1"/>
    <w:lsdException w:qFormat="1" w:unhideWhenUsed="0" w:uiPriority="67" w:semiHidden="0" w:name="Medium Grid 1 Accent 1"/>
    <w:lsdException w:qFormat="1" w:unhideWhenUsed="0" w:uiPriority="68" w:semiHidden="0" w:name="Medium Grid 2 Accent 1"/>
    <w:lsdException w:qFormat="1" w:unhideWhenUsed="0" w:uiPriority="69" w:semiHidden="0" w:name="Medium Grid 3 Accent 1"/>
    <w:lsdException w:qFormat="1" w:unhideWhenUsed="0" w:uiPriority="70" w:semiHidden="0" w:name="Dark List Accent 1"/>
    <w:lsdException w:qFormat="1" w:unhideWhenUsed="0" w:uiPriority="71" w:semiHidden="0" w:name="Colorful Shading Accent 1"/>
    <w:lsdException w:qFormat="1" w:unhideWhenUsed="0" w:uiPriority="72" w:semiHidden="0" w:name="Colorful List Accent 1"/>
    <w:lsdException w:unhideWhenUsed="0" w:uiPriority="73" w:semiHidden="0" w:name="Colorful Grid Accent 1"/>
    <w:lsdException w:qFormat="1" w:unhideWhenUsed="0" w:uiPriority="60" w:semiHidden="0" w:name="Light Shading Accent 2"/>
    <w:lsdException w:qFormat="1" w:unhideWhenUsed="0" w:uiPriority="61" w:semiHidden="0" w:name="Light List Accent 2"/>
    <w:lsdException w:qFormat="1" w:unhideWhenUsed="0" w:uiPriority="62" w:semiHidden="0" w:name="Light Grid Accent 2"/>
    <w:lsdException w:qFormat="1" w:unhideWhenUsed="0" w:uiPriority="63" w:semiHidden="0" w:name="Medium Shading 1 Accent 2"/>
    <w:lsdException w:unhideWhenUsed="0" w:uiPriority="64" w:semiHidden="0" w:name="Medium Shading 2 Accent 2"/>
    <w:lsdException w:qFormat="1" w:unhideWhenUsed="0" w:uiPriority="65" w:semiHidden="0" w:name="Medium List 1 Accent 2"/>
    <w:lsdException w:qFormat="1" w:unhideWhenUsed="0" w:uiPriority="66" w:semiHidden="0" w:name="Medium List 2 Accent 2"/>
    <w:lsdException w:qFormat="1" w:unhideWhenUsed="0" w:uiPriority="67" w:semiHidden="0" w:name="Medium Grid 1 Accent 2"/>
    <w:lsdException w:qFormat="1" w:unhideWhenUsed="0" w:uiPriority="68" w:semiHidden="0" w:name="Medium Grid 2 Accent 2"/>
    <w:lsdException w:unhideWhenUsed="0" w:uiPriority="69" w:semiHidden="0" w:name="Medium Grid 3 Accent 2"/>
    <w:lsdException w:qFormat="1" w:unhideWhenUsed="0" w:uiPriority="70" w:semiHidden="0" w:name="Dark List Accent 2"/>
    <w:lsdException w:qFormat="1" w:unhideWhenUsed="0" w:uiPriority="71" w:semiHidden="0" w:name="Colorful Shading Accent 2"/>
    <w:lsdException w:qFormat="1" w:unhideWhenUsed="0" w:uiPriority="72" w:semiHidden="0" w:name="Colorful List Accent 2"/>
    <w:lsdException w:qFormat="1" w:unhideWhenUsed="0" w:uiPriority="73" w:semiHidden="0" w:name="Colorful Grid Accent 2"/>
    <w:lsdException w:qFormat="1" w:unhideWhenUsed="0" w:uiPriority="60" w:semiHidden="0" w:name="Light Shading Accent 3"/>
    <w:lsdException w:qFormat="1" w:unhideWhenUsed="0" w:uiPriority="61" w:semiHidden="0" w:name="Light List Accent 3"/>
    <w:lsdException w:qFormat="1" w:unhideWhenUsed="0" w:uiPriority="62" w:semiHidden="0" w:name="Light Grid Accent 3"/>
    <w:lsdException w:qFormat="1" w:unhideWhenUsed="0" w:uiPriority="63" w:semiHidden="0" w:name="Medium Shading 1 Accent 3"/>
    <w:lsdException w:unhideWhenUsed="0" w:uiPriority="64" w:semiHidden="0" w:name="Medium Shading 2 Accent 3"/>
    <w:lsdException w:unhideWhenUsed="0" w:uiPriority="65" w:semiHidden="0" w:name="Medium List 1 Accent 3"/>
    <w:lsdException w:qFormat="1" w:unhideWhenUsed="0" w:uiPriority="66" w:semiHidden="0" w:name="Medium List 2 Accent 3"/>
    <w:lsdException w:qFormat="1" w:unhideWhenUsed="0" w:uiPriority="67" w:semiHidden="0" w:name="Medium Grid 1 Accent 3"/>
    <w:lsdException w:qFormat="1" w:unhideWhenUsed="0" w:uiPriority="68" w:semiHidden="0" w:name="Medium Grid 2 Accent 3"/>
    <w:lsdException w:qFormat="1" w:unhideWhenUsed="0" w:uiPriority="69" w:semiHidden="0" w:name="Medium Grid 3 Accent 3"/>
    <w:lsdException w:qFormat="1" w:unhideWhenUsed="0" w:uiPriority="70" w:semiHidden="0" w:name="Dark List Accent 3"/>
    <w:lsdException w:qFormat="1" w:unhideWhenUsed="0" w:uiPriority="71" w:semiHidden="0" w:name="Colorful Shading Accent 3"/>
    <w:lsdException w:qFormat="1" w:unhideWhenUsed="0" w:uiPriority="72" w:semiHidden="0" w:name="Colorful List Accent 3"/>
    <w:lsdException w:qFormat="1" w:unhideWhenUsed="0" w:uiPriority="73" w:semiHidden="0" w:name="Colorful Grid Accent 3"/>
    <w:lsdException w:qFormat="1" w:unhideWhenUsed="0" w:uiPriority="60" w:semiHidden="0" w:name="Light Shading Accent 4"/>
    <w:lsdException w:qFormat="1" w:unhideWhenUsed="0" w:uiPriority="61" w:semiHidden="0" w:name="Light List Accent 4"/>
    <w:lsdException w:qFormat="1" w:unhideWhenUsed="0" w:uiPriority="62" w:semiHidden="0" w:name="Light Grid Accent 4"/>
    <w:lsdException w:qFormat="1" w:unhideWhenUsed="0" w:uiPriority="63" w:semiHidden="0" w:name="Medium Shading 1 Accent 4"/>
    <w:lsdException w:unhideWhenUsed="0" w:uiPriority="64" w:semiHidden="0" w:name="Medium Shading 2 Accent 4"/>
    <w:lsdException w:qFormat="1" w:unhideWhenUsed="0" w:uiPriority="65" w:semiHidden="0" w:name="Medium List 1 Accent 4"/>
    <w:lsdException w:qFormat="1" w:unhideWhenUsed="0" w:uiPriority="66" w:semiHidden="0" w:name="Medium List 2 Accent 4"/>
    <w:lsdException w:qFormat="1" w:unhideWhenUsed="0" w:uiPriority="67" w:semiHidden="0" w:name="Medium Grid 1 Accent 4"/>
    <w:lsdException w:qFormat="1" w:unhideWhenUsed="0" w:uiPriority="68" w:semiHidden="0" w:name="Medium Grid 2 Accent 4"/>
    <w:lsdException w:qFormat="1" w:unhideWhenUsed="0" w:uiPriority="69" w:semiHidden="0" w:name="Medium Grid 3 Accent 4"/>
    <w:lsdException w:qFormat="1" w:unhideWhenUsed="0" w:uiPriority="70" w:semiHidden="0" w:name="Dark List Accent 4"/>
    <w:lsdException w:qFormat="1" w:unhideWhenUsed="0" w:uiPriority="71" w:semiHidden="0" w:name="Colorful Shading Accent 4"/>
    <w:lsdException w:qFormat="1" w:unhideWhenUsed="0" w:uiPriority="72" w:semiHidden="0" w:name="Colorful List Accent 4"/>
    <w:lsdException w:qFormat="1" w:unhideWhenUsed="0" w:uiPriority="73" w:semiHidden="0" w:name="Colorful Grid Accent 4"/>
    <w:lsdException w:qFormat="1" w:unhideWhenUsed="0" w:uiPriority="60" w:semiHidden="0" w:name="Light Shading Accent 5"/>
    <w:lsdException w:qFormat="1" w:unhideWhenUsed="0" w:uiPriority="61" w:semiHidden="0" w:name="Light List Accent 5"/>
    <w:lsdException w:qFormat="1" w:unhideWhenUsed="0" w:uiPriority="62" w:semiHidden="0" w:name="Light Grid Accent 5"/>
    <w:lsdException w:qFormat="1" w:unhideWhenUsed="0" w:uiPriority="63" w:semiHidden="0" w:name="Medium Shading 1 Accent 5"/>
    <w:lsdException w:unhideWhenUsed="0" w:uiPriority="64" w:semiHidden="0" w:name="Medium Shading 2 Accent 5"/>
    <w:lsdException w:qFormat="1" w:unhideWhenUsed="0" w:uiPriority="65" w:semiHidden="0" w:name="Medium List 1 Accent 5"/>
    <w:lsdException w:qFormat="1" w:unhideWhenUsed="0" w:uiPriority="66" w:semiHidden="0" w:name="Medium List 2 Accent 5"/>
    <w:lsdException w:qFormat="1" w:unhideWhenUsed="0" w:uiPriority="67" w:semiHidden="0" w:name="Medium Grid 1 Accent 5"/>
    <w:lsdException w:qFormat="1" w:unhideWhenUsed="0" w:uiPriority="68" w:semiHidden="0" w:name="Medium Grid 2 Accent 5"/>
    <w:lsdException w:qFormat="1" w:unhideWhenUsed="0" w:uiPriority="69" w:semiHidden="0" w:name="Medium Grid 3 Accent 5"/>
    <w:lsdException w:qFormat="1" w:unhideWhenUsed="0" w:uiPriority="70" w:semiHidden="0" w:name="Dark List Accent 5"/>
    <w:lsdException w:qFormat="1" w:unhideWhenUsed="0" w:uiPriority="71" w:semiHidden="0" w:name="Colorful Shading Accent 5"/>
    <w:lsdException w:qFormat="1" w:unhideWhenUsed="0" w:uiPriority="72" w:semiHidden="0" w:name="Colorful List Accent 5"/>
    <w:lsdException w:qFormat="1" w:unhideWhenUsed="0" w:uiPriority="73" w:semiHidden="0" w:name="Colorful Grid Accent 5"/>
    <w:lsdException w:qFormat="1" w:unhideWhenUsed="0" w:uiPriority="60" w:semiHidden="0" w:name="Light Shading Accent 6"/>
    <w:lsdException w:qFormat="1" w:unhideWhenUsed="0" w:uiPriority="61" w:semiHidden="0" w:name="Light List Accent 6"/>
    <w:lsdException w:qFormat="1" w:unhideWhenUsed="0" w:uiPriority="62" w:semiHidden="0" w:name="Light Grid Accent 6"/>
    <w:lsdException w:unhideWhenUsed="0" w:uiPriority="63" w:semiHidden="0" w:name="Medium Shading 1 Accent 6"/>
    <w:lsdException w:qFormat="1" w:unhideWhenUsed="0" w:uiPriority="64" w:semiHidden="0" w:name="Medium Shading 2 Accent 6"/>
    <w:lsdException w:qFormat="1" w:unhideWhenUsed="0" w:uiPriority="65" w:semiHidden="0" w:name="Medium List 1 Accent 6"/>
    <w:lsdException w:qFormat="1" w:unhideWhenUsed="0" w:uiPriority="66" w:semiHidden="0" w:name="Medium List 2 Accent 6"/>
    <w:lsdException w:qFormat="1" w:unhideWhenUsed="0" w:uiPriority="67" w:semiHidden="0" w:name="Medium Grid 1 Accent 6"/>
    <w:lsdException w:qFormat="1" w:unhideWhenUsed="0" w:uiPriority="68" w:semiHidden="0" w:name="Medium Grid 2 Accent 6"/>
    <w:lsdException w:qFormat="1" w:unhideWhenUsed="0" w:uiPriority="69" w:semiHidden="0" w:name="Medium Grid 3 Accent 6"/>
    <w:lsdException w:qFormat="1" w:unhideWhenUsed="0" w:uiPriority="70" w:semiHidden="0" w:name="Dark List Accent 6"/>
    <w:lsdException w:qFormat="1" w:unhideWhenUsed="0" w:uiPriority="71" w:semiHidden="0" w:name="Colorful Shading Accent 6"/>
    <w:lsdException w:qFormat="1" w:unhideWhenUsed="0" w:uiPriority="72" w:semiHidden="0" w:name="Colorful List Accent 6"/>
    <w:lsdException w:qFormat="1" w:unhideWhenUsed="0" w:uiPriority="73" w:semiHidden="0" w:name="Colorful Grid Accent 6"/>
  </w:latentStyles>
  <w:style w:type="paragraph" w:default="1" w:styleId="1">
    <w:name w:val="Normal"/>
    <w:qFormat/>
    <w:uiPriority w:val="0"/>
    <w:pPr>
      <w:spacing w:after="200" w:line="276" w:lineRule="auto"/>
    </w:pPr>
    <w:rPr>
      <w:rFonts w:ascii="宋体" w:hAnsi="宋体" w:eastAsia="宋体" w:cstheme="minorBidi"/>
      <w:sz w:val="22"/>
      <w:szCs w:val="22"/>
      <w:lang w:val="en-US" w:eastAsia="en-US" w:bidi="ar-SA"/>
    </w:rPr>
  </w:style>
  <w:style w:type="paragraph" w:styleId="3">
    <w:name w:val="heading 1"/>
    <w:basedOn w:val="1"/>
    <w:next w:val="1"/>
    <w:link w:val="138"/>
    <w:qFormat/>
    <w:uiPriority w:val="9"/>
    <w:pPr>
      <w:keepNext/>
      <w:keepLines/>
      <w:spacing w:before="480" w:after="0"/>
      <w:outlineLvl w:val="0"/>
    </w:pPr>
    <w:rPr>
      <w:rFonts w:asciiTheme="majorHAnsi" w:hAnsiTheme="majorHAnsi" w:eastAsiaTheme="majorEastAsia" w:cstheme="majorBidi"/>
      <w:b/>
      <w:bCs/>
      <w:color w:val="376092" w:themeColor="accent1" w:themeShade="BF"/>
      <w:sz w:val="28"/>
      <w:szCs w:val="28"/>
    </w:rPr>
  </w:style>
  <w:style w:type="paragraph" w:styleId="4">
    <w:name w:val="heading 2"/>
    <w:basedOn w:val="1"/>
    <w:next w:val="1"/>
    <w:link w:val="139"/>
    <w:unhideWhenUsed/>
    <w:qFormat/>
    <w:uiPriority w:val="9"/>
    <w:pPr>
      <w:keepNext/>
      <w:keepLines/>
      <w:spacing w:before="200" w:after="0"/>
      <w:outlineLvl w:val="1"/>
    </w:pPr>
    <w:rPr>
      <w:rFonts w:asciiTheme="majorHAnsi" w:hAnsiTheme="majorHAnsi" w:eastAsiaTheme="majorEastAsia" w:cstheme="majorBidi"/>
      <w:b/>
      <w:bCs/>
      <w:color w:val="4F81BD" w:themeColor="accent1"/>
      <w:sz w:val="26"/>
      <w:szCs w:val="26"/>
      <w14:textFill>
        <w14:solidFill>
          <w14:schemeClr w14:val="accent1"/>
        </w14:solidFill>
      </w14:textFill>
    </w:rPr>
  </w:style>
  <w:style w:type="paragraph" w:styleId="5">
    <w:name w:val="heading 3"/>
    <w:basedOn w:val="1"/>
    <w:next w:val="1"/>
    <w:link w:val="140"/>
    <w:unhideWhenUsed/>
    <w:qFormat/>
    <w:uiPriority w:val="9"/>
    <w:pPr>
      <w:keepNext/>
      <w:keepLines/>
      <w:spacing w:before="200" w:after="0"/>
      <w:outlineLvl w:val="2"/>
    </w:pPr>
    <w:rPr>
      <w:rFonts w:asciiTheme="majorHAnsi" w:hAnsiTheme="majorHAnsi" w:eastAsiaTheme="majorEastAsia" w:cstheme="majorBidi"/>
      <w:b/>
      <w:bCs/>
      <w:color w:val="4F81BD" w:themeColor="accent1"/>
      <w14:textFill>
        <w14:solidFill>
          <w14:schemeClr w14:val="accent1"/>
        </w14:solidFill>
      </w14:textFill>
    </w:rPr>
  </w:style>
  <w:style w:type="paragraph" w:styleId="6">
    <w:name w:val="heading 4"/>
    <w:basedOn w:val="1"/>
    <w:next w:val="1"/>
    <w:link w:val="150"/>
    <w:semiHidden/>
    <w:unhideWhenUsed/>
    <w:qFormat/>
    <w:uiPriority w:val="9"/>
    <w:pPr>
      <w:keepNext/>
      <w:keepLines/>
      <w:spacing w:before="200" w:after="0"/>
      <w:outlineLvl w:val="3"/>
    </w:pPr>
    <w:rPr>
      <w:rFonts w:asciiTheme="majorHAnsi" w:hAnsiTheme="majorHAnsi" w:eastAsiaTheme="majorEastAsia" w:cstheme="majorBidi"/>
      <w:b/>
      <w:bCs/>
      <w:i/>
      <w:iCs/>
      <w:color w:val="4F81BD" w:themeColor="accent1"/>
      <w14:textFill>
        <w14:solidFill>
          <w14:schemeClr w14:val="accent1"/>
        </w14:solidFill>
      </w14:textFill>
    </w:rPr>
  </w:style>
  <w:style w:type="paragraph" w:styleId="7">
    <w:name w:val="heading 5"/>
    <w:basedOn w:val="1"/>
    <w:next w:val="1"/>
    <w:link w:val="151"/>
    <w:semiHidden/>
    <w:unhideWhenUsed/>
    <w:qFormat/>
    <w:uiPriority w:val="9"/>
    <w:pPr>
      <w:keepNext/>
      <w:keepLines/>
      <w:spacing w:before="200" w:after="0"/>
      <w:outlineLvl w:val="4"/>
    </w:pPr>
    <w:rPr>
      <w:rFonts w:asciiTheme="majorHAnsi" w:hAnsiTheme="majorHAnsi" w:eastAsiaTheme="majorEastAsia" w:cstheme="majorBidi"/>
      <w:color w:val="254061" w:themeColor="accent1" w:themeShade="80"/>
    </w:rPr>
  </w:style>
  <w:style w:type="paragraph" w:styleId="8">
    <w:name w:val="heading 6"/>
    <w:basedOn w:val="1"/>
    <w:next w:val="1"/>
    <w:link w:val="152"/>
    <w:semiHidden/>
    <w:unhideWhenUsed/>
    <w:qFormat/>
    <w:uiPriority w:val="9"/>
    <w:pPr>
      <w:keepNext/>
      <w:keepLines/>
      <w:spacing w:before="200" w:after="0"/>
      <w:outlineLvl w:val="5"/>
    </w:pPr>
    <w:rPr>
      <w:rFonts w:asciiTheme="majorHAnsi" w:hAnsiTheme="majorHAnsi" w:eastAsiaTheme="majorEastAsia" w:cstheme="majorBidi"/>
      <w:i/>
      <w:iCs/>
      <w:color w:val="254061" w:themeColor="accent1" w:themeShade="80"/>
    </w:rPr>
  </w:style>
  <w:style w:type="paragraph" w:styleId="9">
    <w:name w:val="heading 7"/>
    <w:basedOn w:val="1"/>
    <w:next w:val="1"/>
    <w:link w:val="153"/>
    <w:semiHidden/>
    <w:unhideWhenUsed/>
    <w:qFormat/>
    <w:uiPriority w:val="9"/>
    <w:pPr>
      <w:keepNext/>
      <w:keepLines/>
      <w:spacing w:before="200" w:after="0"/>
      <w:outlineLvl w:val="6"/>
    </w:pPr>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paragraph" w:styleId="10">
    <w:name w:val="heading 8"/>
    <w:basedOn w:val="1"/>
    <w:next w:val="1"/>
    <w:link w:val="154"/>
    <w:semiHidden/>
    <w:unhideWhenUsed/>
    <w:qFormat/>
    <w:uiPriority w:val="9"/>
    <w:pPr>
      <w:keepNext/>
      <w:keepLines/>
      <w:spacing w:before="200" w:after="0"/>
      <w:outlineLvl w:val="7"/>
    </w:pPr>
    <w:rPr>
      <w:rFonts w:asciiTheme="majorHAnsi" w:hAnsiTheme="majorHAnsi" w:eastAsiaTheme="majorEastAsia" w:cstheme="majorBidi"/>
      <w:color w:val="4F81BD" w:themeColor="accent1"/>
      <w:sz w:val="20"/>
      <w:szCs w:val="20"/>
      <w14:textFill>
        <w14:solidFill>
          <w14:schemeClr w14:val="accent1"/>
        </w14:solidFill>
      </w14:textFill>
    </w:rPr>
  </w:style>
  <w:style w:type="paragraph" w:styleId="11">
    <w:name w:val="heading 9"/>
    <w:basedOn w:val="1"/>
    <w:next w:val="1"/>
    <w:link w:val="155"/>
    <w:semiHidden/>
    <w:unhideWhenUsed/>
    <w:qFormat/>
    <w:uiPriority w:val="9"/>
    <w:pPr>
      <w:keepNext/>
      <w:keepLines/>
      <w:spacing w:before="200" w:after="0"/>
      <w:outlineLvl w:val="8"/>
    </w:pPr>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character" w:default="1" w:styleId="132">
    <w:name w:val="Default Paragraph Font"/>
    <w:semiHidden/>
    <w:unhideWhenUsed/>
    <w:qFormat/>
    <w:uiPriority w:val="1"/>
  </w:style>
  <w:style w:type="table" w:default="1" w:styleId="32">
    <w:name w:val="Normal Table"/>
    <w:semiHidden/>
    <w:unhideWhenUsed/>
    <w:uiPriority w:val="99"/>
    <w:tblPr>
      <w:tblCellMar>
        <w:top w:w="0" w:type="dxa"/>
        <w:left w:w="108" w:type="dxa"/>
        <w:bottom w:w="0" w:type="dxa"/>
        <w:right w:w="108" w:type="dxa"/>
      </w:tblCellMar>
    </w:tblPr>
  </w:style>
  <w:style w:type="paragraph" w:styleId="2">
    <w:name w:val="macro"/>
    <w:link w:val="147"/>
    <w:unhideWhenUsed/>
    <w:qFormat/>
    <w:uiPriority w:val="99"/>
    <w:pPr>
      <w:tabs>
        <w:tab w:val="left" w:pos="576"/>
        <w:tab w:val="left" w:pos="1152"/>
        <w:tab w:val="left" w:pos="1728"/>
        <w:tab w:val="left" w:pos="2304"/>
        <w:tab w:val="left" w:pos="2880"/>
        <w:tab w:val="left" w:pos="3456"/>
        <w:tab w:val="left" w:pos="4032"/>
      </w:tabs>
      <w:spacing w:after="200" w:line="276" w:lineRule="auto"/>
    </w:pPr>
    <w:rPr>
      <w:rFonts w:ascii="Courier" w:hAnsi="Courier" w:eastAsiaTheme="minorEastAsia" w:cstheme="minorBidi"/>
      <w:sz w:val="20"/>
      <w:szCs w:val="20"/>
      <w:lang w:val="en-US" w:eastAsia="en-US" w:bidi="ar-SA"/>
    </w:rPr>
  </w:style>
  <w:style w:type="paragraph" w:styleId="12">
    <w:name w:val="List 3"/>
    <w:basedOn w:val="1"/>
    <w:unhideWhenUsed/>
    <w:qFormat/>
    <w:uiPriority w:val="99"/>
    <w:pPr>
      <w:ind w:left="1080" w:hanging="360"/>
      <w:contextualSpacing/>
    </w:pPr>
  </w:style>
  <w:style w:type="paragraph" w:styleId="13">
    <w:name w:val="List Number 2"/>
    <w:basedOn w:val="1"/>
    <w:unhideWhenUsed/>
    <w:qFormat/>
    <w:uiPriority w:val="99"/>
    <w:pPr>
      <w:numPr>
        <w:ilvl w:val="0"/>
        <w:numId w:val="1"/>
      </w:numPr>
      <w:contextualSpacing/>
    </w:pPr>
  </w:style>
  <w:style w:type="paragraph" w:styleId="14">
    <w:name w:val="List Number"/>
    <w:basedOn w:val="1"/>
    <w:unhideWhenUsed/>
    <w:qFormat/>
    <w:uiPriority w:val="99"/>
    <w:pPr>
      <w:numPr>
        <w:ilvl w:val="0"/>
        <w:numId w:val="2"/>
      </w:numPr>
      <w:contextualSpacing/>
    </w:pPr>
  </w:style>
  <w:style w:type="paragraph" w:styleId="15">
    <w:name w:val="caption"/>
    <w:basedOn w:val="1"/>
    <w:next w:val="1"/>
    <w:semiHidden/>
    <w:unhideWhenUsed/>
    <w:qFormat/>
    <w:uiPriority w:val="35"/>
    <w:pPr>
      <w:spacing w:line="240" w:lineRule="auto"/>
    </w:pPr>
    <w:rPr>
      <w:b/>
      <w:bCs/>
      <w:color w:val="4F81BD" w:themeColor="accent1"/>
      <w:sz w:val="18"/>
      <w:szCs w:val="18"/>
      <w14:textFill>
        <w14:solidFill>
          <w14:schemeClr w14:val="accent1"/>
        </w14:solidFill>
      </w14:textFill>
    </w:rPr>
  </w:style>
  <w:style w:type="paragraph" w:styleId="16">
    <w:name w:val="List Bullet"/>
    <w:basedOn w:val="1"/>
    <w:unhideWhenUsed/>
    <w:qFormat/>
    <w:uiPriority w:val="99"/>
    <w:pPr>
      <w:numPr>
        <w:ilvl w:val="0"/>
        <w:numId w:val="3"/>
      </w:numPr>
      <w:contextualSpacing/>
    </w:pPr>
  </w:style>
  <w:style w:type="paragraph" w:styleId="17">
    <w:name w:val="Body Text 3"/>
    <w:basedOn w:val="1"/>
    <w:link w:val="146"/>
    <w:unhideWhenUsed/>
    <w:qFormat/>
    <w:uiPriority w:val="99"/>
    <w:pPr>
      <w:spacing w:after="120"/>
    </w:pPr>
    <w:rPr>
      <w:sz w:val="16"/>
      <w:szCs w:val="16"/>
    </w:rPr>
  </w:style>
  <w:style w:type="paragraph" w:styleId="18">
    <w:name w:val="List Bullet 3"/>
    <w:basedOn w:val="1"/>
    <w:unhideWhenUsed/>
    <w:qFormat/>
    <w:uiPriority w:val="99"/>
    <w:pPr>
      <w:numPr>
        <w:ilvl w:val="0"/>
        <w:numId w:val="4"/>
      </w:numPr>
      <w:contextualSpacing/>
    </w:pPr>
  </w:style>
  <w:style w:type="paragraph" w:styleId="19">
    <w:name w:val="Body Text"/>
    <w:basedOn w:val="1"/>
    <w:link w:val="144"/>
    <w:unhideWhenUsed/>
    <w:qFormat/>
    <w:uiPriority w:val="99"/>
    <w:pPr>
      <w:spacing w:after="120"/>
    </w:pPr>
  </w:style>
  <w:style w:type="paragraph" w:styleId="20">
    <w:name w:val="List Number 3"/>
    <w:basedOn w:val="1"/>
    <w:unhideWhenUsed/>
    <w:qFormat/>
    <w:uiPriority w:val="99"/>
    <w:pPr>
      <w:numPr>
        <w:ilvl w:val="0"/>
        <w:numId w:val="5"/>
      </w:numPr>
      <w:contextualSpacing/>
    </w:pPr>
  </w:style>
  <w:style w:type="paragraph" w:styleId="21">
    <w:name w:val="List 2"/>
    <w:basedOn w:val="1"/>
    <w:unhideWhenUsed/>
    <w:qFormat/>
    <w:uiPriority w:val="99"/>
    <w:pPr>
      <w:ind w:left="720" w:hanging="360"/>
      <w:contextualSpacing/>
    </w:pPr>
  </w:style>
  <w:style w:type="paragraph" w:styleId="22">
    <w:name w:val="List Continue"/>
    <w:basedOn w:val="1"/>
    <w:unhideWhenUsed/>
    <w:qFormat/>
    <w:uiPriority w:val="99"/>
    <w:pPr>
      <w:spacing w:after="120"/>
      <w:ind w:left="360"/>
      <w:contextualSpacing/>
    </w:pPr>
  </w:style>
  <w:style w:type="paragraph" w:styleId="23">
    <w:name w:val="List Bullet 2"/>
    <w:basedOn w:val="1"/>
    <w:unhideWhenUsed/>
    <w:qFormat/>
    <w:uiPriority w:val="99"/>
    <w:pPr>
      <w:numPr>
        <w:ilvl w:val="0"/>
        <w:numId w:val="6"/>
      </w:numPr>
      <w:contextualSpacing/>
    </w:pPr>
  </w:style>
  <w:style w:type="paragraph" w:styleId="24">
    <w:name w:val="footer"/>
    <w:basedOn w:val="1"/>
    <w:link w:val="136"/>
    <w:unhideWhenUsed/>
    <w:qFormat/>
    <w:uiPriority w:val="99"/>
    <w:pPr>
      <w:tabs>
        <w:tab w:val="center" w:pos="4680"/>
        <w:tab w:val="right" w:pos="9360"/>
      </w:tabs>
      <w:spacing w:after="0" w:line="240" w:lineRule="auto"/>
    </w:pPr>
  </w:style>
  <w:style w:type="paragraph" w:styleId="25">
    <w:name w:val="header"/>
    <w:basedOn w:val="1"/>
    <w:link w:val="135"/>
    <w:unhideWhenUsed/>
    <w:qFormat/>
    <w:uiPriority w:val="99"/>
    <w:pPr>
      <w:tabs>
        <w:tab w:val="center" w:pos="4680"/>
        <w:tab w:val="right" w:pos="9360"/>
      </w:tabs>
      <w:spacing w:after="0" w:line="240" w:lineRule="auto"/>
    </w:pPr>
  </w:style>
  <w:style w:type="paragraph" w:styleId="26">
    <w:name w:val="Subtitle"/>
    <w:basedOn w:val="1"/>
    <w:next w:val="1"/>
    <w:link w:val="142"/>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27">
    <w:name w:val="List"/>
    <w:basedOn w:val="1"/>
    <w:unhideWhenUsed/>
    <w:qFormat/>
    <w:uiPriority w:val="99"/>
    <w:pPr>
      <w:ind w:left="360" w:hanging="360"/>
      <w:contextualSpacing/>
    </w:pPr>
  </w:style>
  <w:style w:type="paragraph" w:styleId="28">
    <w:name w:val="Body Text 2"/>
    <w:basedOn w:val="1"/>
    <w:link w:val="145"/>
    <w:unhideWhenUsed/>
    <w:qFormat/>
    <w:uiPriority w:val="99"/>
    <w:pPr>
      <w:spacing w:after="120" w:line="480" w:lineRule="auto"/>
    </w:pPr>
  </w:style>
  <w:style w:type="paragraph" w:styleId="29">
    <w:name w:val="List Continue 2"/>
    <w:basedOn w:val="1"/>
    <w:unhideWhenUsed/>
    <w:qFormat/>
    <w:uiPriority w:val="99"/>
    <w:pPr>
      <w:spacing w:after="120"/>
      <w:ind w:left="720"/>
      <w:contextualSpacing/>
    </w:pPr>
  </w:style>
  <w:style w:type="paragraph" w:styleId="30">
    <w:name w:val="List Continue 3"/>
    <w:basedOn w:val="1"/>
    <w:unhideWhenUsed/>
    <w:qFormat/>
    <w:uiPriority w:val="99"/>
    <w:pPr>
      <w:spacing w:after="120"/>
      <w:ind w:left="1080"/>
      <w:contextualSpacing/>
    </w:pPr>
  </w:style>
  <w:style w:type="paragraph" w:styleId="31">
    <w:name w:val="Title"/>
    <w:basedOn w:val="1"/>
    <w:next w:val="1"/>
    <w:link w:val="141"/>
    <w:qFormat/>
    <w:uiPriority w:val="10"/>
    <w:pPr>
      <w:pBdr>
        <w:bottom w:val="single" w:color="4F81BD" w:themeColor="accent1" w:sz="8" w:space="4"/>
      </w:pBdr>
      <w:spacing w:after="300" w:line="240" w:lineRule="auto"/>
      <w:contextualSpacing/>
    </w:pPr>
    <w:rPr>
      <w:rFonts w:asciiTheme="majorHAnsi" w:hAnsiTheme="majorHAnsi" w:eastAsiaTheme="majorEastAsia" w:cstheme="majorBidi"/>
      <w:color w:val="17375E" w:themeColor="text2" w:themeShade="BF"/>
      <w:spacing w:val="5"/>
      <w:kern w:val="28"/>
      <w:sz w:val="52"/>
      <w:szCs w:val="52"/>
    </w:rPr>
  </w:style>
  <w:style w:type="table" w:styleId="33">
    <w:name w:val="Table Grid"/>
    <w:basedOn w:val="32"/>
    <w:qFormat/>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34">
    <w:name w:val="Light Shading"/>
    <w:basedOn w:val="32"/>
    <w:qFormat/>
    <w:uiPriority w:val="60"/>
    <w:pPr>
      <w:spacing w:after="0" w:line="240" w:lineRule="auto"/>
    </w:pPr>
    <w:rPr>
      <w:color w:val="000000" w:themeColor="text1" w:themeShade="BF"/>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left w:val="nil"/>
          <w:right w:val="nil"/>
          <w:insideH w:val="nil"/>
          <w:insideV w:val="nil"/>
        </w:tcBorders>
        <w:shd w:val="clear" w:color="auto" w:fill="BFBFBF" w:themeFill="text1" w:themeFillTint="3F"/>
      </w:tcPr>
    </w:tblStylePr>
  </w:style>
  <w:style w:type="table" w:styleId="35">
    <w:name w:val="Light Shading Accent 1"/>
    <w:basedOn w:val="32"/>
    <w:qFormat/>
    <w:uiPriority w:val="60"/>
    <w:pPr>
      <w:spacing w:after="0" w:line="240" w:lineRule="auto"/>
    </w:pPr>
    <w:rPr>
      <w:color w:val="376092" w:themeColor="accent1" w:themeShade="BF"/>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36">
    <w:name w:val="Light Shading Accent 2"/>
    <w:basedOn w:val="32"/>
    <w:qFormat/>
    <w:uiPriority w:val="60"/>
    <w:pPr>
      <w:spacing w:after="0" w:line="240" w:lineRule="auto"/>
    </w:pPr>
    <w:rPr>
      <w:color w:val="953735" w:themeColor="accent2" w:themeShade="BF"/>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left w:val="nil"/>
          <w:right w:val="nil"/>
          <w:insideH w:val="nil"/>
          <w:insideV w:val="nil"/>
        </w:tcBorders>
        <w:shd w:val="clear" w:color="auto" w:fill="EFD3D3" w:themeFill="accent2" w:themeFillTint="3F"/>
      </w:tcPr>
    </w:tblStylePr>
  </w:style>
  <w:style w:type="table" w:styleId="37">
    <w:name w:val="Light Shading Accent 3"/>
    <w:basedOn w:val="32"/>
    <w:qFormat/>
    <w:uiPriority w:val="60"/>
    <w:pPr>
      <w:spacing w:after="0" w:line="240" w:lineRule="auto"/>
    </w:pPr>
    <w:rPr>
      <w:color w:val="77933C" w:themeColor="accent3" w:themeShade="BF"/>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38">
    <w:name w:val="Light Shading Accent 4"/>
    <w:basedOn w:val="32"/>
    <w:qFormat/>
    <w:uiPriority w:val="60"/>
    <w:pPr>
      <w:spacing w:after="0" w:line="240" w:lineRule="auto"/>
    </w:pPr>
    <w:rPr>
      <w:color w:val="604A7B" w:themeColor="accent4" w:themeShade="BF"/>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39">
    <w:name w:val="Light Shading Accent 5"/>
    <w:basedOn w:val="32"/>
    <w:qFormat/>
    <w:uiPriority w:val="60"/>
    <w:pPr>
      <w:spacing w:after="0" w:line="240" w:lineRule="auto"/>
    </w:pPr>
    <w:rPr>
      <w:color w:val="31859C" w:themeColor="accent5" w:themeShade="BF"/>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left w:val="nil"/>
          <w:right w:val="nil"/>
          <w:insideH w:val="nil"/>
          <w:insideV w:val="nil"/>
        </w:tcBorders>
        <w:shd w:val="clear" w:color="auto" w:fill="D2EAF0" w:themeFill="accent5" w:themeFillTint="3F"/>
      </w:tcPr>
    </w:tblStylePr>
  </w:style>
  <w:style w:type="table" w:styleId="40">
    <w:name w:val="Light Shading Accent 6"/>
    <w:basedOn w:val="32"/>
    <w:qFormat/>
    <w:uiPriority w:val="60"/>
    <w:pPr>
      <w:spacing w:after="0" w:line="240" w:lineRule="auto"/>
    </w:pPr>
    <w:rPr>
      <w:color w:val="E46C0A" w:themeColor="accent6" w:themeShade="BF"/>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left w:val="nil"/>
          <w:right w:val="nil"/>
          <w:insideH w:val="nil"/>
          <w:insideV w:val="nil"/>
        </w:tcBorders>
        <w:shd w:val="clear" w:color="auto" w:fill="FDE5D1" w:themeFill="accent6" w:themeFillTint="3F"/>
      </w:tcPr>
    </w:tblStylePr>
  </w:style>
  <w:style w:type="table" w:styleId="41">
    <w:name w:val="Light List"/>
    <w:basedOn w:val="32"/>
    <w:qFormat/>
    <w:uiPriority w:val="61"/>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42">
    <w:name w:val="Light List Accent 1"/>
    <w:basedOn w:val="32"/>
    <w:qFormat/>
    <w:uiPriority w:val="61"/>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43">
    <w:name w:val="Light List Accent 2"/>
    <w:basedOn w:val="32"/>
    <w:qFormat/>
    <w:uiPriority w:val="61"/>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44">
    <w:name w:val="Light List Accent 3"/>
    <w:basedOn w:val="32"/>
    <w:qFormat/>
    <w:uiPriority w:val="61"/>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45">
    <w:name w:val="Light List Accent 4"/>
    <w:basedOn w:val="32"/>
    <w:qFormat/>
    <w:uiPriority w:val="61"/>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46">
    <w:name w:val="Light List Accent 5"/>
    <w:basedOn w:val="32"/>
    <w:qFormat/>
    <w:uiPriority w:val="61"/>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47">
    <w:name w:val="Light List Accent 6"/>
    <w:basedOn w:val="32"/>
    <w:qFormat/>
    <w:uiPriority w:val="61"/>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48">
    <w:name w:val="Light Grid"/>
    <w:basedOn w:val="32"/>
    <w:qFormat/>
    <w:uiPriority w:val="62"/>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BFBFBF"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shd w:val="clear" w:color="auto" w:fill="BFBFBF"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tcPr>
    </w:tblStylePr>
  </w:style>
  <w:style w:type="table" w:styleId="49">
    <w:name w:val="Light Grid Accent 1"/>
    <w:basedOn w:val="32"/>
    <w:qFormat/>
    <w:uiPriority w:val="62"/>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tcPr>
    </w:tblStylePr>
  </w:style>
  <w:style w:type="table" w:styleId="50">
    <w:name w:val="Light Grid Accent 2"/>
    <w:basedOn w:val="32"/>
    <w:qFormat/>
    <w:uiPriority w:val="62"/>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3"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shd w:val="clear" w:color="auto" w:fill="EFD3D3"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tcPr>
    </w:tblStylePr>
  </w:style>
  <w:style w:type="table" w:styleId="51">
    <w:name w:val="Light Grid Accent 3"/>
    <w:basedOn w:val="32"/>
    <w:qFormat/>
    <w:uiPriority w:val="62"/>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tcPr>
    </w:tblStylePr>
  </w:style>
  <w:style w:type="table" w:styleId="52">
    <w:name w:val="Light Grid Accent 4"/>
    <w:basedOn w:val="32"/>
    <w:qFormat/>
    <w:uiPriority w:val="62"/>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tcPr>
    </w:tblStylePr>
  </w:style>
  <w:style w:type="table" w:styleId="53">
    <w:name w:val="Light Grid Accent 5"/>
    <w:basedOn w:val="32"/>
    <w:qFormat/>
    <w:uiPriority w:val="62"/>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0"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shd w:val="clear" w:color="auto" w:fill="D2EAF0"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tcPr>
    </w:tblStylePr>
  </w:style>
  <w:style w:type="table" w:styleId="54">
    <w:name w:val="Light Grid Accent 6"/>
    <w:basedOn w:val="32"/>
    <w:qFormat/>
    <w:uiPriority w:val="62"/>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5D1"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shd w:val="clear" w:color="auto" w:fill="FDE5D1"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tcPr>
    </w:tblStylePr>
  </w:style>
  <w:style w:type="table" w:styleId="55">
    <w:name w:val="Medium Shading 1"/>
    <w:basedOn w:val="32"/>
    <w:qFormat/>
    <w:uiPriority w:val="63"/>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3F3F3F" w:themeColor="text1" w:themeTint="BF" w:sz="6" w:space="0"/>
          <w:left w:val="single" w:color="3F3F3F" w:themeColor="text1" w:themeTint="BF" w:sz="8" w:space="0"/>
          <w:bottom w:val="single" w:color="3F3F3F" w:themeColor="text1" w:themeTint="BF" w:sz="8" w:space="0"/>
          <w:right w:val="single" w:color="3F3F3F"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BFBFBF" w:themeFill="text1" w:themeFillTint="3F"/>
      </w:tcPr>
    </w:tblStylePr>
    <w:tblStylePr w:type="band1Horz">
      <w:tblPr/>
      <w:tcPr>
        <w:tcBorders>
          <w:insideH w:val="nil"/>
          <w:insideV w:val="nil"/>
        </w:tcBorders>
        <w:shd w:val="clear" w:color="auto" w:fill="BFBFBF" w:themeFill="text1" w:themeFillTint="3F"/>
      </w:tcPr>
    </w:tblStylePr>
    <w:tblStylePr w:type="band2Horz">
      <w:tblPr/>
      <w:tcPr>
        <w:tcBorders>
          <w:insideH w:val="nil"/>
          <w:insideV w:val="nil"/>
        </w:tcBorders>
      </w:tcPr>
    </w:tblStylePr>
  </w:style>
  <w:style w:type="table" w:styleId="56">
    <w:name w:val="Medium Shading 1 Accent 1"/>
    <w:basedOn w:val="32"/>
    <w:qFormat/>
    <w:uiPriority w:val="63"/>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57">
    <w:name w:val="Medium Shading 1 Accent 2"/>
    <w:basedOn w:val="32"/>
    <w:qFormat/>
    <w:uiPriority w:val="63"/>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3" w:themeFill="accent2" w:themeFillTint="3F"/>
      </w:tcPr>
    </w:tblStylePr>
    <w:tblStylePr w:type="band1Horz">
      <w:tblPr/>
      <w:tcPr>
        <w:tcBorders>
          <w:insideH w:val="nil"/>
          <w:insideV w:val="nil"/>
        </w:tcBorders>
        <w:shd w:val="clear" w:color="auto" w:fill="EFD3D3" w:themeFill="accent2" w:themeFillTint="3F"/>
      </w:tcPr>
    </w:tblStylePr>
    <w:tblStylePr w:type="band2Horz">
      <w:tblPr/>
      <w:tcPr>
        <w:tcBorders>
          <w:insideH w:val="nil"/>
          <w:insideV w:val="nil"/>
        </w:tcBorders>
      </w:tcPr>
    </w:tblStylePr>
  </w:style>
  <w:style w:type="table" w:styleId="58">
    <w:name w:val="Medium Shading 1 Accent 3"/>
    <w:basedOn w:val="32"/>
    <w:qFormat/>
    <w:uiPriority w:val="63"/>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4CC82" w:themeColor="accent3" w:themeTint="BF" w:sz="6"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59">
    <w:name w:val="Medium Shading 1 Accent 4"/>
    <w:basedOn w:val="32"/>
    <w:qFormat/>
    <w:uiPriority w:val="63"/>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60">
    <w:name w:val="Medium Shading 1 Accent 5"/>
    <w:basedOn w:val="32"/>
    <w:qFormat/>
    <w:uiPriority w:val="63"/>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0" w:themeFill="accent5" w:themeFillTint="3F"/>
      </w:tcPr>
    </w:tblStylePr>
    <w:tblStylePr w:type="band1Horz">
      <w:tblPr/>
      <w:tcPr>
        <w:tcBorders>
          <w:insideH w:val="nil"/>
          <w:insideV w:val="nil"/>
        </w:tcBorders>
        <w:shd w:val="clear" w:color="auto" w:fill="D2EAF0" w:themeFill="accent5" w:themeFillTint="3F"/>
      </w:tcPr>
    </w:tblStylePr>
    <w:tblStylePr w:type="band2Horz">
      <w:tblPr/>
      <w:tcPr>
        <w:tcBorders>
          <w:insideH w:val="nil"/>
          <w:insideV w:val="nil"/>
        </w:tcBorders>
      </w:tcPr>
    </w:tblStylePr>
  </w:style>
  <w:style w:type="table" w:styleId="61">
    <w:name w:val="Medium Shading 1 Accent 6"/>
    <w:basedOn w:val="32"/>
    <w:uiPriority w:val="63"/>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5D1" w:themeFill="accent6" w:themeFillTint="3F"/>
      </w:tcPr>
    </w:tblStylePr>
    <w:tblStylePr w:type="band1Horz">
      <w:tblPr/>
      <w:tcPr>
        <w:tcBorders>
          <w:insideH w:val="nil"/>
          <w:insideV w:val="nil"/>
        </w:tcBorders>
        <w:shd w:val="clear" w:color="auto" w:fill="FDE5D1" w:themeFill="accent6" w:themeFillTint="3F"/>
      </w:tcPr>
    </w:tblStylePr>
    <w:tblStylePr w:type="band2Horz">
      <w:tblPr/>
      <w:tcPr>
        <w:tcBorders>
          <w:insideH w:val="nil"/>
          <w:insideV w:val="nil"/>
        </w:tcBorders>
      </w:tcPr>
    </w:tblStylePr>
  </w:style>
  <w:style w:type="table" w:styleId="62">
    <w:name w:val="Medium Shading 2"/>
    <w:basedOn w:val="32"/>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3">
    <w:name w:val="Medium Shading 2 Accent 1"/>
    <w:basedOn w:val="32"/>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4">
    <w:name w:val="Medium Shading 2 Accent 2"/>
    <w:basedOn w:val="32"/>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5">
    <w:name w:val="Medium Shading 2 Accent 3"/>
    <w:basedOn w:val="32"/>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6">
    <w:name w:val="Medium Shading 2 Accent 4"/>
    <w:basedOn w:val="32"/>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7">
    <w:name w:val="Medium Shading 2 Accent 5"/>
    <w:basedOn w:val="32"/>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8">
    <w:name w:val="Medium Shading 2 Accent 6"/>
    <w:basedOn w:val="32"/>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9">
    <w:name w:val="Medium List 1"/>
    <w:basedOn w:val="32"/>
    <w:uiPriority w:val="65"/>
    <w:pPr>
      <w:spacing w:after="0" w:line="240" w:lineRule="auto"/>
    </w:pPr>
    <w:rPr>
      <w:color w:val="000000" w:themeColor="text1"/>
      <w14:textFill>
        <w14:solidFill>
          <w14:schemeClr w14:val="tx1"/>
        </w14:solidFill>
      </w14:textFill>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14:textFill>
          <w14:solidFill>
            <w14:schemeClr w14:val="tx2"/>
          </w14:solidFill>
        </w14:textFill>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BFBFBF" w:themeFill="text1" w:themeFillTint="3F"/>
      </w:tcPr>
    </w:tblStylePr>
    <w:tblStylePr w:type="band1Horz">
      <w:tblPr/>
      <w:tcPr>
        <w:shd w:val="clear" w:color="auto" w:fill="BFBFBF" w:themeFill="text1" w:themeFillTint="3F"/>
      </w:tcPr>
    </w:tblStylePr>
  </w:style>
  <w:style w:type="table" w:styleId="70">
    <w:name w:val="Medium List 1 Accent 1"/>
    <w:basedOn w:val="32"/>
    <w:qFormat/>
    <w:uiPriority w:val="65"/>
    <w:pPr>
      <w:spacing w:after="0" w:line="240" w:lineRule="auto"/>
    </w:pPr>
    <w:rPr>
      <w:color w:val="000000" w:themeColor="text1"/>
      <w14:textFill>
        <w14:solidFill>
          <w14:schemeClr w14:val="tx1"/>
        </w14:solidFill>
      </w14:textFill>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14:textFill>
          <w14:solidFill>
            <w14:schemeClr w14:val="tx2"/>
          </w14:solidFill>
        </w14:textFill>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71">
    <w:name w:val="Medium List 1 Accent 2"/>
    <w:basedOn w:val="32"/>
    <w:qFormat/>
    <w:uiPriority w:val="65"/>
    <w:pPr>
      <w:spacing w:after="0" w:line="240" w:lineRule="auto"/>
    </w:pPr>
    <w:rPr>
      <w:color w:val="000000" w:themeColor="text1"/>
      <w14:textFill>
        <w14:solidFill>
          <w14:schemeClr w14:val="tx1"/>
        </w14:solidFill>
      </w14:textFill>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14:textFill>
          <w14:solidFill>
            <w14:schemeClr w14:val="tx2"/>
          </w14:solidFill>
        </w14:textFill>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3" w:themeFill="accent2" w:themeFillTint="3F"/>
      </w:tcPr>
    </w:tblStylePr>
    <w:tblStylePr w:type="band1Horz">
      <w:tblPr/>
      <w:tcPr>
        <w:shd w:val="clear" w:color="auto" w:fill="EFD3D3" w:themeFill="accent2" w:themeFillTint="3F"/>
      </w:tcPr>
    </w:tblStylePr>
  </w:style>
  <w:style w:type="table" w:styleId="72">
    <w:name w:val="Medium List 1 Accent 3"/>
    <w:basedOn w:val="32"/>
    <w:uiPriority w:val="65"/>
    <w:pPr>
      <w:spacing w:after="0" w:line="240" w:lineRule="auto"/>
    </w:pPr>
    <w:rPr>
      <w:color w:val="000000" w:themeColor="text1"/>
      <w14:textFill>
        <w14:solidFill>
          <w14:schemeClr w14:val="tx1"/>
        </w14:solidFill>
      </w14:textFill>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14:textFill>
          <w14:solidFill>
            <w14:schemeClr w14:val="tx2"/>
          </w14:solidFill>
        </w14:textFill>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73">
    <w:name w:val="Medium List 1 Accent 4"/>
    <w:basedOn w:val="32"/>
    <w:qFormat/>
    <w:uiPriority w:val="65"/>
    <w:pPr>
      <w:spacing w:after="0" w:line="240" w:lineRule="auto"/>
    </w:pPr>
    <w:rPr>
      <w:color w:val="000000" w:themeColor="text1"/>
      <w14:textFill>
        <w14:solidFill>
          <w14:schemeClr w14:val="tx1"/>
        </w14:solidFill>
      </w14:textFill>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14:textFill>
          <w14:solidFill>
            <w14:schemeClr w14:val="tx2"/>
          </w14:solidFill>
        </w14:textFill>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74">
    <w:name w:val="Medium List 1 Accent 5"/>
    <w:basedOn w:val="32"/>
    <w:qFormat/>
    <w:uiPriority w:val="65"/>
    <w:pPr>
      <w:spacing w:after="0" w:line="240" w:lineRule="auto"/>
    </w:pPr>
    <w:rPr>
      <w:color w:val="000000" w:themeColor="text1"/>
      <w14:textFill>
        <w14:solidFill>
          <w14:schemeClr w14:val="tx1"/>
        </w14:solidFill>
      </w14:textFill>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14:textFill>
          <w14:solidFill>
            <w14:schemeClr w14:val="tx2"/>
          </w14:solidFill>
        </w14:textFill>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0" w:themeFill="accent5" w:themeFillTint="3F"/>
      </w:tcPr>
    </w:tblStylePr>
    <w:tblStylePr w:type="band1Horz">
      <w:tblPr/>
      <w:tcPr>
        <w:shd w:val="clear" w:color="auto" w:fill="D2EAF0" w:themeFill="accent5" w:themeFillTint="3F"/>
      </w:tcPr>
    </w:tblStylePr>
  </w:style>
  <w:style w:type="table" w:styleId="75">
    <w:name w:val="Medium List 1 Accent 6"/>
    <w:basedOn w:val="32"/>
    <w:qFormat/>
    <w:uiPriority w:val="65"/>
    <w:pPr>
      <w:spacing w:after="0" w:line="240" w:lineRule="auto"/>
    </w:pPr>
    <w:rPr>
      <w:color w:val="000000" w:themeColor="text1"/>
      <w14:textFill>
        <w14:solidFill>
          <w14:schemeClr w14:val="tx1"/>
        </w14:solidFill>
      </w14:textFill>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14:textFill>
          <w14:solidFill>
            <w14:schemeClr w14:val="tx2"/>
          </w14:solidFill>
        </w14:textFill>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5D1" w:themeFill="accent6" w:themeFillTint="3F"/>
      </w:tcPr>
    </w:tblStylePr>
    <w:tblStylePr w:type="band1Horz">
      <w:tblPr/>
      <w:tcPr>
        <w:shd w:val="clear" w:color="auto" w:fill="FDE5D1" w:themeFill="accent6" w:themeFillTint="3F"/>
      </w:tcPr>
    </w:tblStylePr>
  </w:style>
  <w:style w:type="table" w:styleId="76">
    <w:name w:val="Medium List 2"/>
    <w:basedOn w:val="32"/>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top w:val="nil"/>
          <w:bottom w:val="nil"/>
          <w:insideH w:val="nil"/>
          <w:insideV w:val="nil"/>
        </w:tcBorders>
        <w:shd w:val="clear" w:color="auto" w:fill="BFBFBF"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77">
    <w:name w:val="Medium List 2 Accent 1"/>
    <w:basedOn w:val="32"/>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78">
    <w:name w:val="Medium List 2 Accent 2"/>
    <w:basedOn w:val="32"/>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top w:val="nil"/>
          <w:bottom w:val="nil"/>
          <w:insideH w:val="nil"/>
          <w:insideV w:val="nil"/>
        </w:tcBorders>
        <w:shd w:val="clear" w:color="auto" w:fill="EFD3D3"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79">
    <w:name w:val="Medium List 2 Accent 3"/>
    <w:basedOn w:val="32"/>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80">
    <w:name w:val="Medium List 2 Accent 4"/>
    <w:basedOn w:val="32"/>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81">
    <w:name w:val="Medium List 2 Accent 5"/>
    <w:basedOn w:val="32"/>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top w:val="nil"/>
          <w:bottom w:val="nil"/>
          <w:insideH w:val="nil"/>
          <w:insideV w:val="nil"/>
        </w:tcBorders>
        <w:shd w:val="clear" w:color="auto" w:fill="D2EA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82">
    <w:name w:val="Medium List 2 Accent 6"/>
    <w:basedOn w:val="32"/>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top w:val="nil"/>
          <w:bottom w:val="nil"/>
          <w:insideH w:val="nil"/>
          <w:insideV w:val="nil"/>
        </w:tcBorders>
        <w:shd w:val="clear" w:color="auto" w:fill="FDE5D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83">
    <w:name w:val="Medium Grid 1"/>
    <w:basedOn w:val="32"/>
    <w:qFormat/>
    <w:uiPriority w:val="67"/>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insideV w:val="single" w:color="3F3F3F" w:themeColor="text1" w:themeTint="BF" w:sz="8" w:space="0"/>
      </w:tblBorders>
      <w:tblCellMar>
        <w:top w:w="0" w:type="dxa"/>
        <w:left w:w="108" w:type="dxa"/>
        <w:bottom w:w="0" w:type="dxa"/>
        <w:right w:w="108" w:type="dxa"/>
      </w:tblCellMar>
    </w:tblPr>
    <w:tcPr>
      <w:shd w:val="clear" w:color="auto" w:fill="BFBFBF" w:themeFill="text1" w:themeFillTint="3F"/>
    </w:tcPr>
    <w:tblStylePr w:type="firstRow">
      <w:rPr>
        <w:b/>
        <w:bCs/>
      </w:rPr>
    </w:tblStylePr>
    <w:tblStylePr w:type="lastRow">
      <w:rPr>
        <w:b/>
        <w:bCs/>
      </w:rPr>
      <w:tblPr/>
      <w:tcPr>
        <w:tcBorders>
          <w:top w:val="single" w:color="3F3F3F" w:themeColor="text1" w:themeTint="BF" w:sz="18" w:space="0"/>
        </w:tcBorders>
      </w:tcPr>
    </w:tblStylePr>
    <w:tblStylePr w:type="firstCol">
      <w:rPr>
        <w:b/>
        <w:bCs/>
      </w:rPr>
    </w:tblStylePr>
    <w:tblStylePr w:type="lastCol">
      <w:rPr>
        <w:b/>
        <w:bCs/>
      </w:r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84">
    <w:name w:val="Medium Grid 1 Accent 1"/>
    <w:basedOn w:val="32"/>
    <w:qFormat/>
    <w:uiPriority w:val="67"/>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85">
    <w:name w:val="Medium Grid 1 Accent 2"/>
    <w:basedOn w:val="32"/>
    <w:qFormat/>
    <w:uiPriority w:val="67"/>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CellMar>
        <w:top w:w="0" w:type="dxa"/>
        <w:left w:w="108" w:type="dxa"/>
        <w:bottom w:w="0" w:type="dxa"/>
        <w:right w:w="108" w:type="dxa"/>
      </w:tblCellMar>
    </w:tblPr>
    <w:tcPr>
      <w:shd w:val="clear" w:color="auto" w:fill="EFD3D3"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86">
    <w:name w:val="Medium Grid 1 Accent 3"/>
    <w:basedOn w:val="32"/>
    <w:qFormat/>
    <w:uiPriority w:val="67"/>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insideV w:val="single" w:color="B4CC82" w:themeColor="accent3" w:themeTint="BF" w:sz="8" w:space="0"/>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color="B4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87">
    <w:name w:val="Medium Grid 1 Accent 4"/>
    <w:basedOn w:val="32"/>
    <w:qFormat/>
    <w:uiPriority w:val="67"/>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88">
    <w:name w:val="Medium Grid 1 Accent 5"/>
    <w:basedOn w:val="32"/>
    <w:qFormat/>
    <w:uiPriority w:val="67"/>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CellMar>
        <w:top w:w="0" w:type="dxa"/>
        <w:left w:w="108" w:type="dxa"/>
        <w:bottom w:w="0" w:type="dxa"/>
        <w:right w:w="108" w:type="dxa"/>
      </w:tblCellMar>
    </w:tblPr>
    <w:tcPr>
      <w:shd w:val="clear" w:color="auto" w:fill="D2EAF0"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89">
    <w:name w:val="Medium Grid 1 Accent 6"/>
    <w:basedOn w:val="32"/>
    <w:qFormat/>
    <w:uiPriority w:val="67"/>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CellMar>
        <w:top w:w="0" w:type="dxa"/>
        <w:left w:w="108" w:type="dxa"/>
        <w:bottom w:w="0" w:type="dxa"/>
        <w:right w:w="108" w:type="dxa"/>
      </w:tblCellMar>
    </w:tblPr>
    <w:tcPr>
      <w:shd w:val="clear" w:color="auto" w:fill="FDE5D1"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90">
    <w:name w:val="Medium Grid 2"/>
    <w:basedOn w:val="32"/>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cPr>
      <w:shd w:val="clear" w:color="auto" w:fill="BFBFBF" w:themeFill="text1" w:themeFillTint="3F"/>
    </w:tcPr>
    <w:tblStylePr w:type="firstRow">
      <w:rPr>
        <w:b/>
        <w:bCs/>
        <w:color w:val="000000" w:themeColor="text1"/>
        <w14:textFill>
          <w14:solidFill>
            <w14:schemeClr w14:val="tx1"/>
          </w14:solidFill>
        </w14:textFill>
      </w:rPr>
      <w:tblPr/>
      <w:tcPr>
        <w:shd w:val="clear" w:color="auto" w:fill="E5E5E5" w:themeFill="tex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7F7F7F" w:themeFill="text1" w:themeFillTint="7F"/>
      </w:tcPr>
    </w:tblStylePr>
    <w:tblStylePr w:type="band1Horz">
      <w:tblPr/>
      <w:tcPr>
        <w:tcBorders>
          <w:insideH w:val="single" w:sz="6" w:space="0"/>
          <w:insideV w:val="single" w:sz="6" w:space="0"/>
        </w:tcBorders>
        <w:shd w:val="clear" w:color="auto" w:fill="7F7F7F" w:themeFill="text1" w:themeFillTint="7F"/>
      </w:tcPr>
    </w:tblStylePr>
    <w:tblStylePr w:type="nwCell">
      <w:tblPr/>
      <w:tcPr>
        <w:shd w:val="clear" w:color="auto" w:fill="FFFFFF" w:themeFill="background1"/>
      </w:tcPr>
    </w:tblStylePr>
  </w:style>
  <w:style w:type="table" w:styleId="91">
    <w:name w:val="Medium Grid 2 Accent 1"/>
    <w:basedOn w:val="32"/>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14:textFill>
          <w14:solidFill>
            <w14:schemeClr w14:val="tx1"/>
          </w14:solidFill>
        </w14:textFill>
      </w:rPr>
      <w:tblPr/>
      <w:tcPr>
        <w:shd w:val="clear" w:color="auto" w:fill="EDF2F8" w:themeFill="accen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C0DE" w:themeFill="accent1" w:themeFillTint="7F"/>
      </w:tcPr>
    </w:tblStylePr>
    <w:tblStylePr w:type="band1Horz">
      <w:tblPr/>
      <w:tcPr>
        <w:tcBorders>
          <w:insideH w:val="single" w:sz="6" w:space="0"/>
          <w:insideV w:val="single" w:sz="6" w:space="0"/>
        </w:tcBorders>
        <w:shd w:val="clear" w:color="auto" w:fill="A7C0DE" w:themeFill="accent1" w:themeFillTint="7F"/>
      </w:tcPr>
    </w:tblStylePr>
    <w:tblStylePr w:type="nwCell">
      <w:tblPr/>
      <w:tcPr>
        <w:shd w:val="clear" w:color="auto" w:fill="FFFFFF" w:themeFill="background1"/>
      </w:tcPr>
    </w:tblStylePr>
  </w:style>
  <w:style w:type="table" w:styleId="92">
    <w:name w:val="Medium Grid 2 Accent 2"/>
    <w:basedOn w:val="32"/>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cPr>
      <w:shd w:val="clear" w:color="auto" w:fill="EFD3D3" w:themeFill="accent2" w:themeFillTint="3F"/>
    </w:tcPr>
    <w:tblStylePr w:type="firstRow">
      <w:rPr>
        <w:b/>
        <w:bCs/>
        <w:color w:val="000000" w:themeColor="text1"/>
        <w14:textFill>
          <w14:solidFill>
            <w14:schemeClr w14:val="tx1"/>
          </w14:solidFill>
        </w14:textFill>
      </w:rPr>
      <w:tblPr/>
      <w:tcPr>
        <w:shd w:val="clear" w:color="auto" w:fill="F8EDED" w:themeFill="accent2"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insideV w:val="single" w:sz="6" w:space="0"/>
        </w:tcBorders>
        <w:shd w:val="clear" w:color="auto" w:fill="DFA7A6" w:themeFill="accent2" w:themeFillTint="7F"/>
      </w:tcPr>
    </w:tblStylePr>
    <w:tblStylePr w:type="nwCell">
      <w:tblPr/>
      <w:tcPr>
        <w:shd w:val="clear" w:color="auto" w:fill="FFFFFF" w:themeFill="background1"/>
      </w:tcPr>
    </w:tblStylePr>
  </w:style>
  <w:style w:type="table" w:styleId="93">
    <w:name w:val="Medium Grid 2 Accent 3"/>
    <w:basedOn w:val="32"/>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14:textFill>
          <w14:solidFill>
            <w14:schemeClr w14:val="tx1"/>
          </w14:solidFill>
        </w14:textFill>
      </w:rPr>
      <w:tblPr/>
      <w:tcPr>
        <w:shd w:val="clear" w:color="auto" w:fill="F5F8EE" w:themeFill="accent3"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insideV w:val="single" w:sz="6" w:space="0"/>
        </w:tcBorders>
        <w:shd w:val="clear" w:color="auto" w:fill="CDDDAC" w:themeFill="accent3" w:themeFillTint="7F"/>
      </w:tcPr>
    </w:tblStylePr>
    <w:tblStylePr w:type="nwCell">
      <w:tblPr/>
      <w:tcPr>
        <w:shd w:val="clear" w:color="auto" w:fill="FFFFFF" w:themeFill="background1"/>
      </w:tcPr>
    </w:tblStylePr>
  </w:style>
  <w:style w:type="table" w:styleId="94">
    <w:name w:val="Medium Grid 2 Accent 4"/>
    <w:basedOn w:val="32"/>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14:textFill>
          <w14:solidFill>
            <w14:schemeClr w14:val="tx1"/>
          </w14:solidFill>
        </w14:textFill>
      </w:rPr>
      <w:tblPr/>
      <w:tcPr>
        <w:shd w:val="clear" w:color="auto" w:fill="F2EFF5" w:themeFill="accent4"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insideV w:val="single" w:sz="6" w:space="0"/>
        </w:tcBorders>
        <w:shd w:val="clear" w:color="auto" w:fill="BFB1D0" w:themeFill="accent4" w:themeFillTint="7F"/>
      </w:tcPr>
    </w:tblStylePr>
    <w:tblStylePr w:type="nwCell">
      <w:tblPr/>
      <w:tcPr>
        <w:shd w:val="clear" w:color="auto" w:fill="FFFFFF" w:themeFill="background1"/>
      </w:tcPr>
    </w:tblStylePr>
  </w:style>
  <w:style w:type="table" w:styleId="95">
    <w:name w:val="Medium Grid 2 Accent 5"/>
    <w:basedOn w:val="32"/>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cPr>
      <w:shd w:val="clear" w:color="auto" w:fill="D2EAF0" w:themeFill="accent5" w:themeFillTint="3F"/>
    </w:tcPr>
    <w:tblStylePr w:type="firstRow">
      <w:rPr>
        <w:b/>
        <w:bCs/>
        <w:color w:val="000000" w:themeColor="text1"/>
        <w14:textFill>
          <w14:solidFill>
            <w14:schemeClr w14:val="tx1"/>
          </w14:solidFill>
        </w14:textFill>
      </w:rPr>
      <w:tblPr/>
      <w:tcPr>
        <w:shd w:val="clear" w:color="auto" w:fill="EDF6F9" w:themeFill="accent5"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insideV w:val="single" w:sz="6" w:space="0"/>
        </w:tcBorders>
        <w:shd w:val="clear" w:color="auto" w:fill="A5D5E2" w:themeFill="accent5" w:themeFillTint="7F"/>
      </w:tcPr>
    </w:tblStylePr>
    <w:tblStylePr w:type="nwCell">
      <w:tblPr/>
      <w:tcPr>
        <w:shd w:val="clear" w:color="auto" w:fill="FFFFFF" w:themeFill="background1"/>
      </w:tcPr>
    </w:tblStylePr>
  </w:style>
  <w:style w:type="table" w:styleId="96">
    <w:name w:val="Medium Grid 2 Accent 6"/>
    <w:basedOn w:val="32"/>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cPr>
      <w:shd w:val="clear" w:color="auto" w:fill="FDE5D1" w:themeFill="accent6" w:themeFillTint="3F"/>
    </w:tcPr>
    <w:tblStylePr w:type="firstRow">
      <w:rPr>
        <w:b/>
        <w:bCs/>
        <w:color w:val="000000" w:themeColor="text1"/>
        <w14:textFill>
          <w14:solidFill>
            <w14:schemeClr w14:val="tx1"/>
          </w14:solidFill>
        </w14:textFill>
      </w:rPr>
      <w:tblPr/>
      <w:tcPr>
        <w:shd w:val="clear" w:color="auto" w:fill="FEF4EC" w:themeFill="accent6"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insideV w:val="single" w:sz="6" w:space="0"/>
        </w:tcBorders>
        <w:shd w:val="clear" w:color="auto" w:fill="FBCAA2" w:themeFill="accent6" w:themeFillTint="7F"/>
      </w:tcPr>
    </w:tblStylePr>
    <w:tblStylePr w:type="nwCell">
      <w:tblPr/>
      <w:tcPr>
        <w:shd w:val="clear" w:color="auto" w:fill="FFFFFF" w:themeFill="background1"/>
      </w:tcPr>
    </w:tblStylePr>
  </w:style>
  <w:style w:type="table" w:styleId="97">
    <w:name w:val="Medium Grid 3"/>
    <w:basedOn w:val="32"/>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BFBFBF" w:themeFill="tex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000000" w:themeFill="tex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000000" w:themeFill="tex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7F7F7F"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7F7F7F" w:themeFill="text1" w:themeFillTint="7F"/>
      </w:tcPr>
    </w:tblStylePr>
  </w:style>
  <w:style w:type="table" w:styleId="98">
    <w:name w:val="Medium Grid 3 Accent 1"/>
    <w:basedOn w:val="32"/>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F81BD" w:themeFill="accen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F81BD" w:themeFill="accen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C0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7C0DE" w:themeFill="accent1" w:themeFillTint="7F"/>
      </w:tcPr>
    </w:tblStylePr>
  </w:style>
  <w:style w:type="table" w:styleId="99">
    <w:name w:val="Medium Grid 3 Accent 2"/>
    <w:basedOn w:val="32"/>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FD3D3" w:themeFill="accent2"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C0504D" w:themeFill="accent2"/>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C0504D" w:themeFill="accent2"/>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DFA7A6" w:themeFill="accent2" w:themeFillTint="7F"/>
      </w:tcPr>
    </w:tblStylePr>
  </w:style>
  <w:style w:type="table" w:styleId="100">
    <w:name w:val="Medium Grid 3 Accent 3"/>
    <w:basedOn w:val="32"/>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9BBB59" w:themeFill="accent3"/>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9BBB59" w:themeFill="accent3"/>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CDDDAC" w:themeFill="accent3" w:themeFillTint="7F"/>
      </w:tcPr>
    </w:tblStylePr>
  </w:style>
  <w:style w:type="table" w:styleId="101">
    <w:name w:val="Medium Grid 3 Accent 4"/>
    <w:basedOn w:val="32"/>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8064A2" w:themeFill="accent4"/>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8064A2" w:themeFill="accent4"/>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BFB1D0" w:themeFill="accent4" w:themeFillTint="7F"/>
      </w:tcPr>
    </w:tblStylePr>
  </w:style>
  <w:style w:type="table" w:styleId="102">
    <w:name w:val="Medium Grid 3 Accent 5"/>
    <w:basedOn w:val="32"/>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2EAF0" w:themeFill="accent5"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BACC6" w:themeFill="accent5"/>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BACC6" w:themeFill="accent5"/>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5D5E2" w:themeFill="accent5" w:themeFillTint="7F"/>
      </w:tcPr>
    </w:tblStylePr>
  </w:style>
  <w:style w:type="table" w:styleId="103">
    <w:name w:val="Medium Grid 3 Accent 6"/>
    <w:basedOn w:val="32"/>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FDE5D1" w:themeFill="accent6"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F79646" w:themeFill="accent6"/>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F79646" w:themeFill="accent6"/>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FBCAA2" w:themeFill="accent6" w:themeFillTint="7F"/>
      </w:tcPr>
    </w:tblStylePr>
  </w:style>
  <w:style w:type="table" w:styleId="104">
    <w:name w:val="Dark List"/>
    <w:basedOn w:val="32"/>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05">
    <w:name w:val="Dark List Accent 1"/>
    <w:basedOn w:val="32"/>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1"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60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6091" w:themeFill="accent1" w:themeFillShade="BF"/>
      </w:tcPr>
    </w:tblStylePr>
    <w:tblStylePr w:type="band1Vert">
      <w:tblPr/>
      <w:tcPr>
        <w:tcBorders>
          <w:top w:val="nil"/>
          <w:left w:val="nil"/>
          <w:bottom w:val="nil"/>
          <w:right w:val="nil"/>
          <w:insideH w:val="nil"/>
          <w:insideV w:val="nil"/>
        </w:tcBorders>
        <w:shd w:val="clear" w:color="auto" w:fill="366091" w:themeFill="accent1" w:themeFillShade="BF"/>
      </w:tcPr>
    </w:tblStylePr>
    <w:tblStylePr w:type="band1Horz">
      <w:tblPr/>
      <w:tcPr>
        <w:tcBorders>
          <w:top w:val="nil"/>
          <w:left w:val="nil"/>
          <w:bottom w:val="nil"/>
          <w:right w:val="nil"/>
          <w:insideH w:val="nil"/>
          <w:insideV w:val="nil"/>
        </w:tcBorders>
        <w:shd w:val="clear" w:color="auto" w:fill="366091" w:themeFill="accent1" w:themeFillShade="BF"/>
      </w:tcPr>
    </w:tblStylePr>
  </w:style>
  <w:style w:type="table" w:styleId="106">
    <w:name w:val="Dark List Accent 2"/>
    <w:basedOn w:val="32"/>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7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734" w:themeFill="accent2" w:themeFillShade="BF"/>
      </w:tcPr>
    </w:tblStylePr>
    <w:tblStylePr w:type="band1Vert">
      <w:tblPr/>
      <w:tcPr>
        <w:tcBorders>
          <w:top w:val="nil"/>
          <w:left w:val="nil"/>
          <w:bottom w:val="nil"/>
          <w:right w:val="nil"/>
          <w:insideH w:val="nil"/>
          <w:insideV w:val="nil"/>
        </w:tcBorders>
        <w:shd w:val="clear" w:color="auto" w:fill="943734" w:themeFill="accent2" w:themeFillShade="BF"/>
      </w:tcPr>
    </w:tblStylePr>
    <w:tblStylePr w:type="band1Horz">
      <w:tblPr/>
      <w:tcPr>
        <w:tcBorders>
          <w:top w:val="nil"/>
          <w:left w:val="nil"/>
          <w:bottom w:val="nil"/>
          <w:right w:val="nil"/>
          <w:insideH w:val="nil"/>
          <w:insideV w:val="nil"/>
        </w:tcBorders>
        <w:shd w:val="clear" w:color="auto" w:fill="943734" w:themeFill="accent2" w:themeFillShade="BF"/>
      </w:tcPr>
    </w:tblStylePr>
  </w:style>
  <w:style w:type="table" w:styleId="107">
    <w:name w:val="Dark List Accent 3"/>
    <w:basedOn w:val="32"/>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7"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108">
    <w:name w:val="Dark List Accent 4"/>
    <w:basedOn w:val="32"/>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0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109">
    <w:name w:val="Dark List Accent 5"/>
    <w:basedOn w:val="32"/>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110">
    <w:name w:val="Dark List Accent 6"/>
    <w:basedOn w:val="32"/>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9"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9" w:themeFill="accent6" w:themeFillShade="BF"/>
      </w:tcPr>
    </w:tblStylePr>
    <w:tblStylePr w:type="band1Vert">
      <w:tblPr/>
      <w:tcPr>
        <w:tcBorders>
          <w:top w:val="nil"/>
          <w:left w:val="nil"/>
          <w:bottom w:val="nil"/>
          <w:right w:val="nil"/>
          <w:insideH w:val="nil"/>
          <w:insideV w:val="nil"/>
        </w:tcBorders>
        <w:shd w:val="clear" w:color="auto" w:fill="E36C09" w:themeFill="accent6" w:themeFillShade="BF"/>
      </w:tcPr>
    </w:tblStylePr>
    <w:tblStylePr w:type="band1Horz">
      <w:tblPr/>
      <w:tcPr>
        <w:tcBorders>
          <w:top w:val="nil"/>
          <w:left w:val="nil"/>
          <w:bottom w:val="nil"/>
          <w:right w:val="nil"/>
          <w:insideH w:val="nil"/>
          <w:insideV w:val="nil"/>
        </w:tcBorders>
        <w:shd w:val="clear" w:color="auto" w:fill="E36C09" w:themeFill="accent6" w:themeFillShade="BF"/>
      </w:tcPr>
    </w:tblStylePr>
  </w:style>
  <w:style w:type="table" w:styleId="111">
    <w:name w:val="Colorful Shading"/>
    <w:basedOn w:val="32"/>
    <w:qFormat/>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5E5E5"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000000" w:themeFill="tex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000000" w:themeFill="tex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7F7F7F" w:themeFill="tex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2">
    <w:name w:val="Colorful Shading Accent 1"/>
    <w:basedOn w:val="32"/>
    <w:qFormat/>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B4D74" w:themeFill="accen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B4D74" w:themeFill="accen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B4D74" w:themeFill="accent1" w:themeFillShade="99"/>
      </w:tcPr>
    </w:tblStylePr>
    <w:tblStylePr w:type="band1Vert">
      <w:tblPr/>
      <w:tcPr>
        <w:shd w:val="clear" w:color="auto" w:fill="B8CCE4" w:themeFill="accent1" w:themeFillTint="66"/>
      </w:tcPr>
    </w:tblStylePr>
    <w:tblStylePr w:type="band1Horz">
      <w:tblPr/>
      <w:tcPr>
        <w:shd w:val="clear" w:color="auto" w:fill="A7C0DE" w:themeFill="accen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3">
    <w:name w:val="Colorful Shading Accent 2"/>
    <w:basedOn w:val="32"/>
    <w:qFormat/>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772C2A" w:themeFill="accent2"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772C2A" w:themeFill="accent2"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4">
    <w:name w:val="Colorful Shading Accent 3"/>
    <w:basedOn w:val="32"/>
    <w:qFormat/>
    <w:uiPriority w:val="71"/>
    <w:pPr>
      <w:spacing w:after="0" w:line="240" w:lineRule="auto"/>
    </w:pPr>
    <w:rPr>
      <w:color w:val="000000" w:themeColor="text1"/>
      <w14:textFill>
        <w14:solidFill>
          <w14:schemeClr w14:val="tx1"/>
        </w14:solidFill>
      </w14:textFill>
    </w:rPr>
    <w:tblPr>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5E7530" w:themeFill="accent3"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5E7530" w:themeFill="accent3"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115">
    <w:name w:val="Colorful Shading Accent 4"/>
    <w:basedOn w:val="32"/>
    <w:qFormat/>
    <w:uiPriority w:val="71"/>
    <w:pPr>
      <w:spacing w:after="0" w:line="240" w:lineRule="auto"/>
    </w:pPr>
    <w:rPr>
      <w:color w:val="000000" w:themeColor="text1"/>
      <w14:textFill>
        <w14:solidFill>
          <w14:schemeClr w14:val="tx1"/>
        </w14:solidFill>
      </w14:textFill>
    </w:rPr>
    <w:tblPr>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2EFF5"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4C3A62" w:themeFill="accent4"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4C3A62" w:themeFill="accent4"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4C3A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6">
    <w:name w:val="Colorful Shading Accent 5"/>
    <w:basedOn w:val="32"/>
    <w:qFormat/>
    <w:uiPriority w:val="71"/>
    <w:pPr>
      <w:spacing w:after="0" w:line="240" w:lineRule="auto"/>
    </w:pPr>
    <w:rPr>
      <w:color w:val="000000" w:themeColor="text1"/>
      <w14:textFill>
        <w14:solidFill>
          <w14:schemeClr w14:val="tx1"/>
        </w14:solidFill>
      </w14:textFill>
    </w:rPr>
    <w:tblPr>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76A7C" w:themeFill="accent5"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76A7C" w:themeFill="accent5"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7">
    <w:name w:val="Colorful Shading Accent 6"/>
    <w:basedOn w:val="32"/>
    <w:qFormat/>
    <w:uiPriority w:val="71"/>
    <w:pPr>
      <w:spacing w:after="0" w:line="240" w:lineRule="auto"/>
    </w:pPr>
    <w:rPr>
      <w:color w:val="000000" w:themeColor="text1"/>
      <w14:textFill>
        <w14:solidFill>
          <w14:schemeClr w14:val="tx1"/>
        </w14:solidFill>
      </w14:textFill>
    </w:rPr>
    <w:tblPr>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B65607" w:themeFill="accent6"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B65607" w:themeFill="accent6"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B65607"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8">
    <w:name w:val="Colorful List"/>
    <w:basedOn w:val="32"/>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5E5E5" w:themeFill="tex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FBFBF" w:themeFill="text1" w:themeFillTint="3F"/>
      </w:tcPr>
    </w:tblStylePr>
    <w:tblStylePr w:type="band1Horz">
      <w:tblPr/>
      <w:tcPr>
        <w:shd w:val="clear" w:color="auto" w:fill="CCCCCC" w:themeFill="text1" w:themeFillTint="33"/>
      </w:tcPr>
    </w:tblStylePr>
  </w:style>
  <w:style w:type="table" w:styleId="119">
    <w:name w:val="Colorful List Accent 1"/>
    <w:basedOn w:val="32"/>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120">
    <w:name w:val="Colorful List Accent 2"/>
    <w:basedOn w:val="32"/>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3" w:themeFill="accent2" w:themeFillTint="3F"/>
      </w:tcPr>
    </w:tblStylePr>
    <w:tblStylePr w:type="band1Horz">
      <w:tblPr/>
      <w:tcPr>
        <w:shd w:val="clear" w:color="auto" w:fill="F2DBDB" w:themeFill="accent2" w:themeFillTint="33"/>
      </w:tcPr>
    </w:tblStylePr>
  </w:style>
  <w:style w:type="table" w:styleId="121">
    <w:name w:val="Colorful List Accent 3"/>
    <w:basedOn w:val="32"/>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664E82" w:themeFill="accent4" w:themeFillShade="CC"/>
      </w:tcPr>
    </w:tblStylePr>
    <w:tblStylePr w:type="lastRow">
      <w:rPr>
        <w:b/>
        <w:bCs/>
        <w:color w:val="664F83"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122">
    <w:name w:val="Colorful List Accent 4"/>
    <w:basedOn w:val="32"/>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2EFF5" w:themeFill="accent4"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7E9C40" w:themeFill="accent3" w:themeFillShade="CC"/>
      </w:tcPr>
    </w:tblStylePr>
    <w:tblStylePr w:type="lastRow">
      <w:rPr>
        <w:b/>
        <w:bCs/>
        <w:color w:val="7E9D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123">
    <w:name w:val="Colorful List Accent 5"/>
    <w:basedOn w:val="32"/>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F3730A" w:themeFill="accent6" w:themeFillShade="CC"/>
      </w:tcPr>
    </w:tblStylePr>
    <w:tblStylePr w:type="lastRow">
      <w:rPr>
        <w:b/>
        <w:bCs/>
        <w:color w:val="F3740B"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0" w:themeFill="accent5" w:themeFillTint="3F"/>
      </w:tcPr>
    </w:tblStylePr>
    <w:tblStylePr w:type="band1Horz">
      <w:tblPr/>
      <w:tcPr>
        <w:shd w:val="clear" w:color="auto" w:fill="DAEEF3" w:themeFill="accent5" w:themeFillTint="33"/>
      </w:tcPr>
    </w:tblStylePr>
  </w:style>
  <w:style w:type="table" w:styleId="124">
    <w:name w:val="Colorful List Accent 6"/>
    <w:basedOn w:val="32"/>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348DA5" w:themeFill="accent5" w:themeFillShade="CC"/>
      </w:tcPr>
    </w:tblStylePr>
    <w:tblStylePr w:type="lastRow">
      <w:rPr>
        <w:b/>
        <w:bCs/>
        <w:color w:val="358EA6"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5D1" w:themeFill="accent6" w:themeFillTint="3F"/>
      </w:tcPr>
    </w:tblStylePr>
    <w:tblStylePr w:type="band1Horz">
      <w:tblPr/>
      <w:tcPr>
        <w:shd w:val="clear" w:color="auto" w:fill="FDE9D9" w:themeFill="accent6" w:themeFillTint="33"/>
      </w:tcPr>
    </w:tblStylePr>
  </w:style>
  <w:style w:type="table" w:styleId="125">
    <w:name w:val="Colorful Grid"/>
    <w:basedOn w:val="32"/>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14:textFill>
          <w14:solidFill>
            <w14:schemeClr w14:val="tx1"/>
          </w14:solidFill>
        </w14:textFill>
      </w:rPr>
      <w:tblPr/>
      <w:tcPr>
        <w:shd w:val="clear" w:color="auto" w:fill="999999" w:themeFill="text1" w:themeFillTint="66"/>
      </w:tcPr>
    </w:tblStylePr>
    <w:tblStylePr w:type="firstCol">
      <w:rPr>
        <w:color w:val="FFFFFF" w:themeColor="background1"/>
        <w14:textFill>
          <w14:solidFill>
            <w14:schemeClr w14:val="bg1"/>
          </w14:solidFill>
        </w14:textFill>
      </w:rPr>
      <w:tblPr/>
      <w:tcPr>
        <w:shd w:val="clear" w:color="auto" w:fill="000000" w:themeFill="text1" w:themeFillShade="BF"/>
      </w:tcPr>
    </w:tblStylePr>
    <w:tblStylePr w:type="lastCol">
      <w:rPr>
        <w:color w:val="FFFFFF" w:themeColor="background1"/>
        <w14:textFill>
          <w14:solidFill>
            <w14:schemeClr w14:val="bg1"/>
          </w14:solidFill>
        </w14:textFill>
      </w:rPr>
      <w:tblPr/>
      <w:tcPr>
        <w:shd w:val="clear" w:color="auto" w:fill="000000" w:themeFill="text1" w:themeFillShade="BF"/>
      </w:tc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126">
    <w:name w:val="Colorful Grid Accent 1"/>
    <w:basedOn w:val="3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14:textFill>
          <w14:solidFill>
            <w14:schemeClr w14:val="tx1"/>
          </w14:solidFill>
        </w14:textFill>
      </w:rPr>
      <w:tblPr/>
      <w:tcPr>
        <w:shd w:val="clear" w:color="auto" w:fill="B8CCE4" w:themeFill="accent1" w:themeFillTint="66"/>
      </w:tcPr>
    </w:tblStylePr>
    <w:tblStylePr w:type="firstCol">
      <w:rPr>
        <w:color w:val="FFFFFF" w:themeColor="background1"/>
        <w14:textFill>
          <w14:solidFill>
            <w14:schemeClr w14:val="bg1"/>
          </w14:solidFill>
        </w14:textFill>
      </w:rPr>
      <w:tblPr/>
      <w:tcPr>
        <w:shd w:val="clear" w:color="auto" w:fill="366091" w:themeFill="accent1" w:themeFillShade="BF"/>
      </w:tcPr>
    </w:tblStylePr>
    <w:tblStylePr w:type="lastCol">
      <w:rPr>
        <w:color w:val="FFFFFF" w:themeColor="background1"/>
        <w14:textFill>
          <w14:solidFill>
            <w14:schemeClr w14:val="bg1"/>
          </w14:solidFill>
        </w14:textFill>
      </w:rPr>
      <w:tblPr/>
      <w:tcPr>
        <w:shd w:val="clear" w:color="auto" w:fill="366091" w:themeFill="accent1" w:themeFillShade="BF"/>
      </w:tc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127">
    <w:name w:val="Colorful Grid Accent 2"/>
    <w:basedOn w:val="32"/>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14:textFill>
          <w14:solidFill>
            <w14:schemeClr w14:val="tx1"/>
          </w14:solidFill>
        </w14:textFill>
      </w:rPr>
      <w:tblPr/>
      <w:tcPr>
        <w:shd w:val="clear" w:color="auto" w:fill="E5B8B7" w:themeFill="accent2" w:themeFillTint="66"/>
      </w:tcPr>
    </w:tblStylePr>
    <w:tblStylePr w:type="firstCol">
      <w:rPr>
        <w:color w:val="FFFFFF" w:themeColor="background1"/>
        <w14:textFill>
          <w14:solidFill>
            <w14:schemeClr w14:val="bg1"/>
          </w14:solidFill>
        </w14:textFill>
      </w:rPr>
      <w:tblPr/>
      <w:tcPr>
        <w:shd w:val="clear" w:color="auto" w:fill="943734" w:themeFill="accent2" w:themeFillShade="BF"/>
      </w:tcPr>
    </w:tblStylePr>
    <w:tblStylePr w:type="lastCol">
      <w:rPr>
        <w:color w:val="FFFFFF" w:themeColor="background1"/>
        <w14:textFill>
          <w14:solidFill>
            <w14:schemeClr w14:val="bg1"/>
          </w14:solidFill>
        </w14:textFill>
      </w:rPr>
      <w:tblPr/>
      <w:tcPr>
        <w:shd w:val="clear" w:color="auto" w:fill="9437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28">
    <w:name w:val="Colorful Grid Accent 3"/>
    <w:basedOn w:val="32"/>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14:textFill>
          <w14:solidFill>
            <w14:schemeClr w14:val="tx1"/>
          </w14:solidFill>
        </w14:textFill>
      </w:rPr>
      <w:tblPr/>
      <w:tcPr>
        <w:shd w:val="clear" w:color="auto" w:fill="D6E3BC" w:themeFill="accent3" w:themeFillTint="66"/>
      </w:tcPr>
    </w:tblStylePr>
    <w:tblStylePr w:type="firstCol">
      <w:rPr>
        <w:color w:val="FFFFFF" w:themeColor="background1"/>
        <w14:textFill>
          <w14:solidFill>
            <w14:schemeClr w14:val="bg1"/>
          </w14:solidFill>
        </w14:textFill>
      </w:rPr>
      <w:tblPr/>
      <w:tcPr>
        <w:shd w:val="clear" w:color="auto" w:fill="76923C" w:themeFill="accent3" w:themeFillShade="BF"/>
      </w:tcPr>
    </w:tblStylePr>
    <w:tblStylePr w:type="lastCol">
      <w:rPr>
        <w:color w:val="FFFFFF" w:themeColor="background1"/>
        <w14:textFill>
          <w14:solidFill>
            <w14:schemeClr w14:val="bg1"/>
          </w14:solidFill>
        </w14:textFill>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29">
    <w:name w:val="Colorful Grid Accent 4"/>
    <w:basedOn w:val="32"/>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14:textFill>
          <w14:solidFill>
            <w14:schemeClr w14:val="tx1"/>
          </w14:solidFill>
        </w14:textFill>
      </w:rPr>
      <w:tblPr/>
      <w:tcPr>
        <w:shd w:val="clear" w:color="auto" w:fill="CCC0D9" w:themeFill="accent4" w:themeFillTint="66"/>
      </w:tcPr>
    </w:tblStylePr>
    <w:tblStylePr w:type="firstCol">
      <w:rPr>
        <w:color w:val="FFFFFF" w:themeColor="background1"/>
        <w14:textFill>
          <w14:solidFill>
            <w14:schemeClr w14:val="bg1"/>
          </w14:solidFill>
        </w14:textFill>
      </w:rPr>
      <w:tblPr/>
      <w:tcPr>
        <w:shd w:val="clear" w:color="auto" w:fill="5F497A" w:themeFill="accent4" w:themeFillShade="BF"/>
      </w:tcPr>
    </w:tblStylePr>
    <w:tblStylePr w:type="lastCol">
      <w:rPr>
        <w:color w:val="FFFFFF" w:themeColor="background1"/>
        <w14:textFill>
          <w14:solidFill>
            <w14:schemeClr w14:val="bg1"/>
          </w14:solidFill>
        </w14:textFill>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30">
    <w:name w:val="Colorful Grid Accent 5"/>
    <w:basedOn w:val="32"/>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14:textFill>
          <w14:solidFill>
            <w14:schemeClr w14:val="tx1"/>
          </w14:solidFill>
        </w14:textFill>
      </w:rPr>
      <w:tblPr/>
      <w:tcPr>
        <w:shd w:val="clear" w:color="auto" w:fill="B6DDE8" w:themeFill="accent5" w:themeFillTint="66"/>
      </w:tcPr>
    </w:tblStylePr>
    <w:tblStylePr w:type="firstCol">
      <w:rPr>
        <w:color w:val="FFFFFF" w:themeColor="background1"/>
        <w14:textFill>
          <w14:solidFill>
            <w14:schemeClr w14:val="bg1"/>
          </w14:solidFill>
        </w14:textFill>
      </w:rPr>
      <w:tblPr/>
      <w:tcPr>
        <w:shd w:val="clear" w:color="auto" w:fill="31849B" w:themeFill="accent5" w:themeFillShade="BF"/>
      </w:tcPr>
    </w:tblStylePr>
    <w:tblStylePr w:type="lastCol">
      <w:rPr>
        <w:color w:val="FFFFFF" w:themeColor="background1"/>
        <w14:textFill>
          <w14:solidFill>
            <w14:schemeClr w14:val="bg1"/>
          </w14:solidFill>
        </w14:textFill>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31">
    <w:name w:val="Colorful Grid Accent 6"/>
    <w:basedOn w:val="32"/>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14:textFill>
          <w14:solidFill>
            <w14:schemeClr w14:val="tx1"/>
          </w14:solidFill>
        </w14:textFill>
      </w:rPr>
      <w:tblPr/>
      <w:tcPr>
        <w:shd w:val="clear" w:color="auto" w:fill="FBD4B4" w:themeFill="accent6" w:themeFillTint="66"/>
      </w:tcPr>
    </w:tblStylePr>
    <w:tblStylePr w:type="firstCol">
      <w:rPr>
        <w:color w:val="FFFFFF" w:themeColor="background1"/>
        <w14:textFill>
          <w14:solidFill>
            <w14:schemeClr w14:val="bg1"/>
          </w14:solidFill>
        </w14:textFill>
      </w:rPr>
      <w:tblPr/>
      <w:tcPr>
        <w:shd w:val="clear" w:color="auto" w:fill="E36C09" w:themeFill="accent6" w:themeFillShade="BF"/>
      </w:tcPr>
    </w:tblStylePr>
    <w:tblStylePr w:type="lastCol">
      <w:rPr>
        <w:color w:val="FFFFFF" w:themeColor="background1"/>
        <w14:textFill>
          <w14:solidFill>
            <w14:schemeClr w14:val="bg1"/>
          </w14:solidFill>
        </w14:textFill>
      </w:rPr>
      <w:tblPr/>
      <w:tcPr>
        <w:shd w:val="clear" w:color="auto" w:fill="E36C09"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133">
    <w:name w:val="Strong"/>
    <w:basedOn w:val="132"/>
    <w:qFormat/>
    <w:uiPriority w:val="22"/>
    <w:rPr>
      <w:b/>
      <w:bCs/>
    </w:rPr>
  </w:style>
  <w:style w:type="character" w:styleId="134">
    <w:name w:val="Emphasis"/>
    <w:basedOn w:val="132"/>
    <w:qFormat/>
    <w:uiPriority w:val="20"/>
    <w:rPr>
      <w:i/>
      <w:iCs/>
    </w:rPr>
  </w:style>
  <w:style w:type="character" w:customStyle="1" w:styleId="135">
    <w:name w:val="Header Char"/>
    <w:basedOn w:val="132"/>
    <w:link w:val="25"/>
    <w:uiPriority w:val="99"/>
  </w:style>
  <w:style w:type="character" w:customStyle="1" w:styleId="136">
    <w:name w:val="Footer Char"/>
    <w:basedOn w:val="132"/>
    <w:link w:val="24"/>
    <w:qFormat/>
    <w:uiPriority w:val="99"/>
  </w:style>
  <w:style w:type="paragraph" w:styleId="137">
    <w:name w:val="No Spacing"/>
    <w:qFormat/>
    <w:uiPriority w:val="1"/>
    <w:pPr>
      <w:spacing w:after="0" w:line="240" w:lineRule="auto"/>
    </w:pPr>
    <w:rPr>
      <w:rFonts w:asciiTheme="minorHAnsi" w:hAnsiTheme="minorHAnsi" w:eastAsiaTheme="minorEastAsia" w:cstheme="minorBidi"/>
      <w:sz w:val="22"/>
      <w:szCs w:val="22"/>
      <w:lang w:val="en-US" w:eastAsia="en-US" w:bidi="ar-SA"/>
    </w:rPr>
  </w:style>
  <w:style w:type="character" w:customStyle="1" w:styleId="138">
    <w:name w:val="Heading 1 Char"/>
    <w:basedOn w:val="132"/>
    <w:link w:val="3"/>
    <w:qFormat/>
    <w:uiPriority w:val="9"/>
    <w:rPr>
      <w:rFonts w:asciiTheme="majorHAnsi" w:hAnsiTheme="majorHAnsi" w:eastAsiaTheme="majorEastAsia" w:cstheme="majorBidi"/>
      <w:b/>
      <w:bCs/>
      <w:color w:val="376092" w:themeColor="accent1" w:themeShade="BF"/>
      <w:sz w:val="28"/>
      <w:szCs w:val="28"/>
    </w:rPr>
  </w:style>
  <w:style w:type="character" w:customStyle="1" w:styleId="139">
    <w:name w:val="Heading 2 Char"/>
    <w:basedOn w:val="132"/>
    <w:link w:val="4"/>
    <w:qFormat/>
    <w:uiPriority w:val="9"/>
    <w:rPr>
      <w:rFonts w:asciiTheme="majorHAnsi" w:hAnsiTheme="majorHAnsi" w:eastAsiaTheme="majorEastAsia" w:cstheme="majorBidi"/>
      <w:b/>
      <w:bCs/>
      <w:color w:val="4F81BD" w:themeColor="accent1"/>
      <w:sz w:val="26"/>
      <w:szCs w:val="26"/>
      <w14:textFill>
        <w14:solidFill>
          <w14:schemeClr w14:val="accent1"/>
        </w14:solidFill>
      </w14:textFill>
    </w:rPr>
  </w:style>
  <w:style w:type="character" w:customStyle="1" w:styleId="140">
    <w:name w:val="Heading 3 Char"/>
    <w:basedOn w:val="132"/>
    <w:link w:val="5"/>
    <w:qFormat/>
    <w:uiPriority w:val="9"/>
    <w:rPr>
      <w:rFonts w:asciiTheme="majorHAnsi" w:hAnsiTheme="majorHAnsi" w:eastAsiaTheme="majorEastAsia" w:cstheme="majorBidi"/>
      <w:b/>
      <w:bCs/>
      <w:color w:val="4F81BD" w:themeColor="accent1"/>
      <w14:textFill>
        <w14:solidFill>
          <w14:schemeClr w14:val="accent1"/>
        </w14:solidFill>
      </w14:textFill>
    </w:rPr>
  </w:style>
  <w:style w:type="character" w:customStyle="1" w:styleId="141">
    <w:name w:val="Title Char"/>
    <w:basedOn w:val="132"/>
    <w:link w:val="31"/>
    <w:uiPriority w:val="10"/>
    <w:rPr>
      <w:rFonts w:asciiTheme="majorHAnsi" w:hAnsiTheme="majorHAnsi" w:eastAsiaTheme="majorEastAsia" w:cstheme="majorBidi"/>
      <w:color w:val="17375E" w:themeColor="text2" w:themeShade="BF"/>
      <w:spacing w:val="5"/>
      <w:kern w:val="28"/>
      <w:sz w:val="52"/>
      <w:szCs w:val="52"/>
    </w:rPr>
  </w:style>
  <w:style w:type="character" w:customStyle="1" w:styleId="142">
    <w:name w:val="Subtitle Char"/>
    <w:basedOn w:val="132"/>
    <w:link w:val="26"/>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143">
    <w:name w:val="List Paragraph"/>
    <w:basedOn w:val="1"/>
    <w:qFormat/>
    <w:uiPriority w:val="34"/>
    <w:pPr>
      <w:ind w:left="720"/>
      <w:contextualSpacing/>
    </w:pPr>
  </w:style>
  <w:style w:type="character" w:customStyle="1" w:styleId="144">
    <w:name w:val="Body Text Char"/>
    <w:basedOn w:val="132"/>
    <w:link w:val="19"/>
    <w:qFormat/>
    <w:uiPriority w:val="99"/>
  </w:style>
  <w:style w:type="character" w:customStyle="1" w:styleId="145">
    <w:name w:val="Body Text 2 Char"/>
    <w:basedOn w:val="132"/>
    <w:link w:val="28"/>
    <w:qFormat/>
    <w:uiPriority w:val="99"/>
  </w:style>
  <w:style w:type="character" w:customStyle="1" w:styleId="146">
    <w:name w:val="Body Text 3 Char"/>
    <w:basedOn w:val="132"/>
    <w:link w:val="17"/>
    <w:qFormat/>
    <w:uiPriority w:val="99"/>
    <w:rPr>
      <w:sz w:val="16"/>
      <w:szCs w:val="16"/>
    </w:rPr>
  </w:style>
  <w:style w:type="character" w:customStyle="1" w:styleId="147">
    <w:name w:val="Macro Text Char"/>
    <w:basedOn w:val="132"/>
    <w:link w:val="2"/>
    <w:qFormat/>
    <w:uiPriority w:val="99"/>
    <w:rPr>
      <w:rFonts w:ascii="Courier" w:hAnsi="Courier"/>
      <w:sz w:val="20"/>
      <w:szCs w:val="20"/>
    </w:rPr>
  </w:style>
  <w:style w:type="paragraph" w:styleId="148">
    <w:name w:val="Quote"/>
    <w:basedOn w:val="1"/>
    <w:next w:val="1"/>
    <w:link w:val="149"/>
    <w:qFormat/>
    <w:uiPriority w:val="29"/>
    <w:rPr>
      <w:i/>
      <w:iCs/>
      <w:color w:val="000000" w:themeColor="text1"/>
      <w14:textFill>
        <w14:solidFill>
          <w14:schemeClr w14:val="tx1"/>
        </w14:solidFill>
      </w14:textFill>
    </w:rPr>
  </w:style>
  <w:style w:type="character" w:customStyle="1" w:styleId="149">
    <w:name w:val="Quote Char"/>
    <w:basedOn w:val="132"/>
    <w:link w:val="148"/>
    <w:qFormat/>
    <w:uiPriority w:val="29"/>
    <w:rPr>
      <w:i/>
      <w:iCs/>
      <w:color w:val="000000" w:themeColor="text1"/>
      <w14:textFill>
        <w14:solidFill>
          <w14:schemeClr w14:val="tx1"/>
        </w14:solidFill>
      </w14:textFill>
    </w:rPr>
  </w:style>
  <w:style w:type="character" w:customStyle="1" w:styleId="150">
    <w:name w:val="Heading 4 Char"/>
    <w:basedOn w:val="132"/>
    <w:link w:val="6"/>
    <w:semiHidden/>
    <w:qFormat/>
    <w:uiPriority w:val="9"/>
    <w:rPr>
      <w:rFonts w:asciiTheme="majorHAnsi" w:hAnsiTheme="majorHAnsi" w:eastAsiaTheme="majorEastAsia" w:cstheme="majorBidi"/>
      <w:b/>
      <w:bCs/>
      <w:i/>
      <w:iCs/>
      <w:color w:val="4F81BD" w:themeColor="accent1"/>
      <w14:textFill>
        <w14:solidFill>
          <w14:schemeClr w14:val="accent1"/>
        </w14:solidFill>
      </w14:textFill>
    </w:rPr>
  </w:style>
  <w:style w:type="character" w:customStyle="1" w:styleId="151">
    <w:name w:val="Heading 5 Char"/>
    <w:basedOn w:val="132"/>
    <w:link w:val="7"/>
    <w:semiHidden/>
    <w:qFormat/>
    <w:uiPriority w:val="9"/>
    <w:rPr>
      <w:rFonts w:asciiTheme="majorHAnsi" w:hAnsiTheme="majorHAnsi" w:eastAsiaTheme="majorEastAsia" w:cstheme="majorBidi"/>
      <w:color w:val="254061" w:themeColor="accent1" w:themeShade="80"/>
    </w:rPr>
  </w:style>
  <w:style w:type="character" w:customStyle="1" w:styleId="152">
    <w:name w:val="Heading 6 Char"/>
    <w:basedOn w:val="132"/>
    <w:link w:val="8"/>
    <w:semiHidden/>
    <w:qFormat/>
    <w:uiPriority w:val="9"/>
    <w:rPr>
      <w:rFonts w:asciiTheme="majorHAnsi" w:hAnsiTheme="majorHAnsi" w:eastAsiaTheme="majorEastAsia" w:cstheme="majorBidi"/>
      <w:i/>
      <w:iCs/>
      <w:color w:val="254061" w:themeColor="accent1" w:themeShade="80"/>
    </w:rPr>
  </w:style>
  <w:style w:type="character" w:customStyle="1" w:styleId="153">
    <w:name w:val="Heading 7 Char"/>
    <w:basedOn w:val="132"/>
    <w:link w:val="9"/>
    <w:semiHidden/>
    <w:qFormat/>
    <w:uiPriority w:val="9"/>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character" w:customStyle="1" w:styleId="154">
    <w:name w:val="Heading 8 Char"/>
    <w:basedOn w:val="132"/>
    <w:link w:val="10"/>
    <w:semiHidden/>
    <w:qFormat/>
    <w:uiPriority w:val="9"/>
    <w:rPr>
      <w:rFonts w:asciiTheme="majorHAnsi" w:hAnsiTheme="majorHAnsi" w:eastAsiaTheme="majorEastAsia" w:cstheme="majorBidi"/>
      <w:color w:val="4F81BD" w:themeColor="accent1"/>
      <w:sz w:val="20"/>
      <w:szCs w:val="20"/>
      <w14:textFill>
        <w14:solidFill>
          <w14:schemeClr w14:val="accent1"/>
        </w14:solidFill>
      </w14:textFill>
    </w:rPr>
  </w:style>
  <w:style w:type="character" w:customStyle="1" w:styleId="155">
    <w:name w:val="Heading 9 Char"/>
    <w:basedOn w:val="132"/>
    <w:link w:val="11"/>
    <w:semiHidden/>
    <w:qFormat/>
    <w:uiPriority w:val="9"/>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paragraph" w:styleId="156">
    <w:name w:val="Intense Quote"/>
    <w:basedOn w:val="1"/>
    <w:next w:val="1"/>
    <w:link w:val="157"/>
    <w:qFormat/>
    <w:uiPriority w:val="30"/>
    <w:pPr>
      <w:pBdr>
        <w:bottom w:val="single" w:color="4F81BD" w:themeColor="accent1" w:sz="4" w:space="4"/>
      </w:pBdr>
      <w:spacing w:before="200" w:after="280"/>
      <w:ind w:left="936" w:right="936"/>
    </w:pPr>
    <w:rPr>
      <w:b/>
      <w:bCs/>
      <w:i/>
      <w:iCs/>
      <w:color w:val="4F81BD" w:themeColor="accent1"/>
      <w14:textFill>
        <w14:solidFill>
          <w14:schemeClr w14:val="accent1"/>
        </w14:solidFill>
      </w14:textFill>
    </w:rPr>
  </w:style>
  <w:style w:type="character" w:customStyle="1" w:styleId="157">
    <w:name w:val="Intense Quote Char"/>
    <w:basedOn w:val="132"/>
    <w:link w:val="156"/>
    <w:qFormat/>
    <w:uiPriority w:val="30"/>
    <w:rPr>
      <w:b/>
      <w:bCs/>
      <w:i/>
      <w:iCs/>
      <w:color w:val="4F81BD" w:themeColor="accent1"/>
      <w14:textFill>
        <w14:solidFill>
          <w14:schemeClr w14:val="accent1"/>
        </w14:solidFill>
      </w14:textFill>
    </w:rPr>
  </w:style>
  <w:style w:type="character" w:customStyle="1" w:styleId="158">
    <w:name w:val="Subtle Emphasis"/>
    <w:basedOn w:val="132"/>
    <w:qFormat/>
    <w:uiPriority w:val="19"/>
    <w:rPr>
      <w:i/>
      <w:iCs/>
      <w:color w:val="808080" w:themeColor="text1" w:themeTint="80"/>
      <w14:textFill>
        <w14:solidFill>
          <w14:schemeClr w14:val="tx1">
            <w14:lumMod w14:val="50000"/>
            <w14:lumOff w14:val="50000"/>
          </w14:schemeClr>
        </w14:solidFill>
      </w14:textFill>
    </w:rPr>
  </w:style>
  <w:style w:type="character" w:customStyle="1" w:styleId="159">
    <w:name w:val="Intense Emphasis"/>
    <w:basedOn w:val="132"/>
    <w:qFormat/>
    <w:uiPriority w:val="21"/>
    <w:rPr>
      <w:b/>
      <w:bCs/>
      <w:i/>
      <w:iCs/>
      <w:color w:val="4F81BD" w:themeColor="accent1"/>
      <w14:textFill>
        <w14:solidFill>
          <w14:schemeClr w14:val="accent1"/>
        </w14:solidFill>
      </w14:textFill>
    </w:rPr>
  </w:style>
  <w:style w:type="character" w:customStyle="1" w:styleId="160">
    <w:name w:val="Subtle Reference"/>
    <w:basedOn w:val="132"/>
    <w:qFormat/>
    <w:uiPriority w:val="31"/>
    <w:rPr>
      <w:smallCaps/>
      <w:color w:val="C0504D" w:themeColor="accent2"/>
      <w:u w:val="single"/>
      <w14:textFill>
        <w14:solidFill>
          <w14:schemeClr w14:val="accent2"/>
        </w14:solidFill>
      </w14:textFill>
    </w:rPr>
  </w:style>
  <w:style w:type="character" w:customStyle="1" w:styleId="161">
    <w:name w:val="Intense Reference"/>
    <w:basedOn w:val="132"/>
    <w:qFormat/>
    <w:uiPriority w:val="32"/>
    <w:rPr>
      <w:b/>
      <w:bCs/>
      <w:smallCaps/>
      <w:color w:val="C0504D" w:themeColor="accent2"/>
      <w:spacing w:val="5"/>
      <w:u w:val="single"/>
      <w14:textFill>
        <w14:solidFill>
          <w14:schemeClr w14:val="accent2"/>
        </w14:solidFill>
      </w14:textFill>
    </w:rPr>
  </w:style>
  <w:style w:type="character" w:customStyle="1" w:styleId="162">
    <w:name w:val="Book Title"/>
    <w:basedOn w:val="132"/>
    <w:qFormat/>
    <w:uiPriority w:val="33"/>
    <w:rPr>
      <w:b/>
      <w:bCs/>
      <w:smallCaps/>
      <w:spacing w:val="5"/>
    </w:rPr>
  </w:style>
  <w:style w:type="paragraph" w:customStyle="1" w:styleId="163">
    <w:name w:val="TOC Heading"/>
    <w:basedOn w:val="3"/>
    <w:next w:val="1"/>
    <w:semiHidden/>
    <w:unhideWhenUsed/>
    <w:qFormat/>
    <w:uiPriority w:val="39"/>
    <w:pPr>
      <w:outlineLvl w:val="9"/>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1451</Words>
  <Characters>1476</Characters>
  <Lines>0</Lines>
  <Paragraphs>0</Paragraphs>
  <TotalTime>0</TotalTime>
  <ScaleCrop>false</ScaleCrop>
  <LinksUpToDate>false</LinksUpToDate>
  <CharactersWithSpaces>1486</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2013-12-23T23:15:00Z</dcterms:created>
  <dc:creator>python-docx</dc:creator>
  <dc:description>generated by python-docx</dc:description>
  <cp:lastModifiedBy>陈煜羲</cp:lastModifiedBy>
  <dcterms:modified xsi:type="dcterms:W3CDTF">2026-08-18T07:04:42Z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eyJoZGlkIjoiZGFhMzE5MWRlZGE4MGU0MTJkM2JhNzI2MjdmMjE2MTAiLCJ1c2VySWQiOiI0NzQyMjU0NzYifQ==</vt:lpwstr>
  </property>
  <property fmtid="{D5CDD505-2E9C-101B-9397-08002B2CF9AE}" pid="3" name="KSOProductBuildVer">
    <vt:lpwstr>2052-12.1.0.28043</vt:lpwstr>
  </property>
  <property fmtid="{D5CDD505-2E9C-101B-9397-08002B2CF9AE}" pid="4" name="ICV">
    <vt:lpwstr>32850B7EEF55411EB05336EB7752DB8B_12</vt:lpwstr>
  </property>
</Properties>
</file>