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CECBD">
      <w:pPr>
        <w:jc w:val="center"/>
      </w:pPr>
      <w:r>
        <w:rPr>
          <w:rFonts w:ascii="黑体" w:hAnsi="黑体" w:eastAsia="黑体"/>
          <w:b/>
          <w:sz w:val="32"/>
        </w:rPr>
        <w:t>重症信息管理系统</w:t>
      </w:r>
    </w:p>
    <w:p w14:paraId="6CF764FD">
      <w:pPr>
        <w:spacing w:before="160"/>
      </w:pPr>
      <w:r>
        <w:rPr>
          <w:rFonts w:ascii="黑体" w:hAnsi="黑体" w:eastAsia="黑体"/>
          <w:b/>
          <w:sz w:val="26"/>
        </w:rPr>
        <w:t>一、系统概述</w:t>
      </w:r>
    </w:p>
    <w:p w14:paraId="37161985">
      <w:r>
        <w:rPr>
          <w:rFonts w:ascii="宋体" w:hAnsi="宋体" w:eastAsia="宋体"/>
          <w:b w:val="0"/>
          <w:sz w:val="22"/>
        </w:rPr>
        <w:t>本项目建设重症信息管理系统，覆盖全院重症病区床位，实现全院重症资源统筹，满足危重症救治流程标准化、高效化的需求。系统支持监护仪、呼吸机、输液泵等床旁设备输出数据的自动采集与信息高度共享，自动生成 ICU 相关医疗文书，并以危重病人临床护理过程为主线建立 ICU 临床信息数据库，规范重症监护工作流程；通过数据实时监测与早期预警支撑诊疗质量提升，并自动抓取临床数据生成国家重症医学专业医疗质量控制指标，支撑科室质控管理与决策。系统建设后可与院内急诊一体化平台、紧急医学救援指挥调度系统互联互通，支撑伤员救治动态与转归状态跟踪。</w:t>
      </w:r>
    </w:p>
    <w:p w14:paraId="2F510735">
      <w:pPr>
        <w:spacing w:before="160"/>
      </w:pPr>
      <w:r>
        <w:rPr>
          <w:rFonts w:ascii="黑体" w:hAnsi="黑体" w:eastAsia="黑体"/>
          <w:b/>
          <w:sz w:val="26"/>
        </w:rPr>
        <w:t>二、床位与设备管理</w:t>
      </w:r>
    </w:p>
    <w:p w14:paraId="5FA747A7">
      <w:r>
        <w:rPr>
          <w:rFonts w:ascii="黑体" w:hAnsi="黑体" w:eastAsia="黑体"/>
          <w:b/>
          <w:sz w:val="24"/>
        </w:rPr>
        <w:t>患者入科</w:t>
      </w:r>
    </w:p>
    <w:p w14:paraId="32122B10">
      <w:r>
        <w:rPr>
          <w:rFonts w:ascii="宋体" w:hAnsi="宋体" w:eastAsia="宋体"/>
          <w:b w:val="0"/>
          <w:sz w:val="22"/>
        </w:rPr>
        <w:t>支持正常入科（从院内信息系统自动获取患者基本信息）、预约床位（可取消或入科）、紧急入科（补充完整信息）以及忽略长时间未入科患者。</w:t>
      </w:r>
    </w:p>
    <w:p w14:paraId="5DE9842D">
      <w:r>
        <w:rPr>
          <w:rFonts w:ascii="黑体" w:hAnsi="黑体" w:eastAsia="黑体"/>
          <w:b/>
          <w:sz w:val="24"/>
        </w:rPr>
        <w:t>患者在科</w:t>
      </w:r>
    </w:p>
    <w:p w14:paraId="7602FCA0">
      <w:r>
        <w:rPr>
          <w:rFonts w:ascii="宋体" w:hAnsi="宋体" w:eastAsia="宋体"/>
          <w:b w:val="0"/>
          <w:sz w:val="22"/>
        </w:rPr>
        <w:t>支持患者详情查看与编辑、一键同步院内更新信息；自动同步诊断信息（含 ICD 自动编码识别）、科室流转信息与手术信息，支撑 19 项国家质控指标中的转出 48h 内重返、术后非计划转入判定；支持为每位患者设置自定义标签（过敏、护理等级、高危风险、病情状态等）并智能点亮；按护士每日排班呈现负责患者看板；醒目展示床位使用情况（在科、空床、预约、当日新入、转出、出院、死亡人数）；支持快速换床并自动解绑/重绑设备；支持发布患者重要关注事项提醒。</w:t>
      </w:r>
    </w:p>
    <w:p w14:paraId="490D2501">
      <w:r>
        <w:rPr>
          <w:rFonts w:ascii="黑体" w:hAnsi="黑体" w:eastAsia="黑体"/>
          <w:b/>
          <w:sz w:val="24"/>
        </w:rPr>
        <w:t>患者出科</w:t>
      </w:r>
    </w:p>
    <w:p w14:paraId="7C320F01">
      <w:r>
        <w:rPr>
          <w:rFonts w:ascii="宋体" w:hAnsi="宋体" w:eastAsia="宋体"/>
          <w:b w:val="0"/>
          <w:sz w:val="22"/>
        </w:rPr>
        <w:t>支持快速出科并选择出科原因（作为质控数据来源）；出科患者重症护理记录单自动生成 PDF 并支持对接第三方归档；以列表查看所有出科患者信息（床位、姓名、入科/出科时间、住院号、性别、出科类型、诊断、归档状态等）。</w:t>
      </w:r>
    </w:p>
    <w:p w14:paraId="418CD341">
      <w:r>
        <w:rPr>
          <w:rFonts w:ascii="黑体" w:hAnsi="黑体" w:eastAsia="黑体"/>
          <w:b/>
          <w:sz w:val="24"/>
        </w:rPr>
        <w:t>设备总览与绑定</w:t>
      </w:r>
    </w:p>
    <w:p w14:paraId="2857B23A">
      <w:r>
        <w:rPr>
          <w:rFonts w:ascii="宋体" w:hAnsi="宋体" w:eastAsia="宋体"/>
          <w:b w:val="0"/>
          <w:sz w:val="22"/>
        </w:rPr>
        <w:t>以卡片形式查看全科室设备绑定情况、已绑床位、各类设备当前绑定数量及今日新绑/解绑数量；支持多设备批量绑定/解绑，自选机型型号与绑定时间，设置采集开始频率、持续时间与频率，查看设备绑定详情（上机时长、频率、报警累计次数、报警值区间），并可为不同患者设置绑定设备的参数正常值区间。</w:t>
      </w:r>
    </w:p>
    <w:p w14:paraId="33080BE6">
      <w:pPr>
        <w:spacing w:before="160"/>
      </w:pPr>
      <w:r>
        <w:rPr>
          <w:rFonts w:ascii="黑体" w:hAnsi="黑体" w:eastAsia="黑体"/>
          <w:b/>
          <w:sz w:val="26"/>
        </w:rPr>
        <w:t>三、医嘱管理</w:t>
      </w:r>
    </w:p>
    <w:p w14:paraId="257E6B19">
      <w:r>
        <w:rPr>
          <w:rFonts w:ascii="黑体" w:hAnsi="黑体" w:eastAsia="黑体"/>
          <w:b/>
          <w:sz w:val="24"/>
        </w:rPr>
        <w:t>医嘱同步</w:t>
      </w:r>
    </w:p>
    <w:p w14:paraId="5DDDFB9B">
      <w:r>
        <w:rPr>
          <w:rFonts w:ascii="宋体" w:hAnsi="宋体" w:eastAsia="宋体"/>
          <w:b w:val="0"/>
          <w:sz w:val="22"/>
        </w:rPr>
        <w:t>与院内信息系统对接后自动获取患者医嘱（新开、新停、作废等）并提示新开医嘱；长嘱停嘱后可自定义维护当前及当天所有班次继续同步；按医嘱途径、频次、类型自动拆分为各班次需执行医嘱并分类展示（泵入、静脉输液、口服、管饲、推注、皮试、治疗等）。</w:t>
      </w:r>
    </w:p>
    <w:p w14:paraId="3A60778E">
      <w:r>
        <w:rPr>
          <w:rFonts w:ascii="黑体" w:hAnsi="黑体" w:eastAsia="黑体"/>
          <w:b/>
          <w:sz w:val="24"/>
        </w:rPr>
        <w:t>医嘱总览</w:t>
      </w:r>
    </w:p>
    <w:p w14:paraId="5B88B651">
      <w:r>
        <w:rPr>
          <w:rFonts w:ascii="宋体" w:hAnsi="宋体" w:eastAsia="宋体"/>
          <w:b w:val="0"/>
          <w:sz w:val="22"/>
        </w:rPr>
        <w:t>以甘特图展示各班次医嘱执行情况（开始、流速变更、暂停、结束时间点）及最新执行状态，时间轴显示每小时执行量；支持按日期、班次、完成状态、类型、时效性、途径、名称等多条件检索；以醒目标识区分特殊用药、药品备注、停嘱、作废、待执行 PDA 医嘱，并区分 PDA 已执行但未列于医嘱列表的医嘱。</w:t>
      </w:r>
    </w:p>
    <w:p w14:paraId="49B7D422">
      <w:r>
        <w:rPr>
          <w:rFonts w:ascii="黑体" w:hAnsi="黑体" w:eastAsia="黑体"/>
          <w:b/>
          <w:sz w:val="24"/>
        </w:rPr>
        <w:t>医嘱执行</w:t>
      </w:r>
    </w:p>
    <w:p w14:paraId="53A8CD0D">
      <w:r>
        <w:rPr>
          <w:rFonts w:ascii="宋体" w:hAnsi="宋体" w:eastAsia="宋体"/>
          <w:b w:val="0"/>
          <w:sz w:val="22"/>
        </w:rPr>
        <w:t>快速记录执行信息（执行量、方式、时间、余量是否作废）并展示每次执行记录；填写时实时自动计算余量与预计完成时间；执行过程自动写入护理记录单（模板可自定义）；支持给药剂量单位自动换算（规则可维护）；每小时入量自动计算并生成出入量记录写入护理记录单，可查询任意时段液体平衡；支持同一时间相同途径医嘱批量执行。</w:t>
      </w:r>
    </w:p>
    <w:p w14:paraId="045B9BE6">
      <w:pPr>
        <w:spacing w:before="160"/>
      </w:pPr>
      <w:r>
        <w:rPr>
          <w:rFonts w:ascii="黑体" w:hAnsi="黑体" w:eastAsia="黑体"/>
          <w:b/>
          <w:sz w:val="26"/>
        </w:rPr>
        <w:t>四、护理管理</w:t>
      </w:r>
    </w:p>
    <w:p w14:paraId="56D13870">
      <w:r>
        <w:rPr>
          <w:rFonts w:ascii="黑体" w:hAnsi="黑体" w:eastAsia="黑体"/>
          <w:b/>
          <w:sz w:val="24"/>
        </w:rPr>
        <w:t>护理监测</w:t>
      </w:r>
    </w:p>
    <w:p w14:paraId="4B232EB1">
      <w:r>
        <w:rPr>
          <w:rFonts w:ascii="宋体" w:hAnsi="宋体" w:eastAsia="宋体"/>
          <w:b w:val="0"/>
          <w:sz w:val="22"/>
        </w:rPr>
        <w:t>以时间轴展示各班次护理项目；生命体征（心率、无创/有创血压、呼吸、血氧、脉搏等）支持自动采集监护数据与手动记录，超正常值高亮显示并支持折线趋势图；出入量自动集成医嘱入量与管路引流、口服、鼻饲等手动数据，自动汇总每小时出/入量小计并计算平衡写入护理记录单，提供趋势图；呼吸系统（吸氧方式、通气模式、氧浓度、氧流量等）与循环、神经系统（意识、瞳孔、对光反射、肢体循环、动脉搏动等）多系统记录；基于特征参数算法自动分组、异常标记与消息提示；体征数据可按自定义频率从监护设备采集回顾。</w:t>
      </w:r>
    </w:p>
    <w:p w14:paraId="70F9A339">
      <w:r>
        <w:rPr>
          <w:rFonts w:ascii="黑体" w:hAnsi="黑体" w:eastAsia="黑体"/>
          <w:b/>
          <w:sz w:val="24"/>
        </w:rPr>
        <w:t>管路监测</w:t>
      </w:r>
    </w:p>
    <w:p w14:paraId="7B045435">
      <w:r>
        <w:rPr>
          <w:rFonts w:ascii="宋体" w:hAnsi="宋体" w:eastAsia="宋体"/>
          <w:b w:val="0"/>
          <w:sz w:val="22"/>
        </w:rPr>
        <w:t>支持自定义部位与导管并以 3D 人体与列表双视图展示，按知识库对高/中/低危导管分级标注；记录管路名称、置管部位、留置天数/深度/刻度、有效期、通畅度及护理操作；自定义导管护理模板并依填写自动记入护理措施。</w:t>
      </w:r>
    </w:p>
    <w:p w14:paraId="72F85D7D">
      <w:r>
        <w:rPr>
          <w:rFonts w:ascii="黑体" w:hAnsi="黑体" w:eastAsia="黑体"/>
          <w:b/>
          <w:sz w:val="24"/>
        </w:rPr>
        <w:t>皮肤与口腔监测</w:t>
      </w:r>
    </w:p>
    <w:p w14:paraId="1BCB87AB">
      <w:r>
        <w:rPr>
          <w:rFonts w:ascii="宋体" w:hAnsi="宋体" w:eastAsia="宋体"/>
          <w:b w:val="0"/>
          <w:sz w:val="22"/>
        </w:rPr>
        <w:t>皮肤监测支持 3D 人体图标记（按解剖学），覆盖压力性损伤、失禁性皮炎等类型并记录部位及尺寸，支持压疮图片留存与护理模板；口腔监测在口腔模型上标记护理内容，支持自定义牙齿名称与规范的口腔护理部位、描述、结论记录及护理模板。</w:t>
      </w:r>
    </w:p>
    <w:p w14:paraId="08851DF7">
      <w:r>
        <w:rPr>
          <w:rFonts w:ascii="黑体" w:hAnsi="黑体" w:eastAsia="黑体"/>
          <w:b/>
          <w:sz w:val="24"/>
        </w:rPr>
        <w:t>基础与常规护理</w:t>
      </w:r>
    </w:p>
    <w:p w14:paraId="794A1536">
      <w:r>
        <w:rPr>
          <w:rFonts w:ascii="宋体" w:hAnsi="宋体" w:eastAsia="宋体"/>
          <w:b w:val="0"/>
          <w:sz w:val="22"/>
        </w:rPr>
        <w:t>支持基础护理配置与快捷记录（擦浴/洗头、翻身/拍背、运动、保护约束、末梢循环等），全部采集至历史护理并可筛选查阅；常规护理提供自定义日常与持续性操作快捷模板（含输血、CRRT 等持续性记录），按使用频率智能排序，支持从医嘱/检验/体征/检查/特殊字符一键记入护理措施，护理记录单支持快捷双签名审核。</w:t>
      </w:r>
    </w:p>
    <w:p w14:paraId="701127E3">
      <w:pPr>
        <w:spacing w:before="160"/>
      </w:pPr>
      <w:r>
        <w:rPr>
          <w:rFonts w:ascii="黑体" w:hAnsi="黑体" w:eastAsia="黑体"/>
          <w:b/>
          <w:sz w:val="26"/>
        </w:rPr>
        <w:t>五、评估评分</w:t>
      </w:r>
    </w:p>
    <w:p w14:paraId="0F6D2BE2">
      <w:r>
        <w:rPr>
          <w:rFonts w:ascii="黑体" w:hAnsi="黑体" w:eastAsia="黑体"/>
          <w:b/>
          <w:sz w:val="24"/>
        </w:rPr>
        <w:t>评分总览与评分</w:t>
      </w:r>
    </w:p>
    <w:p w14:paraId="63C29B32">
      <w:r>
        <w:rPr>
          <w:rFonts w:ascii="宋体" w:hAnsi="宋体" w:eastAsia="宋体"/>
          <w:b w:val="0"/>
          <w:sz w:val="22"/>
        </w:rPr>
        <w:t>按月份展现患者每日护理与医疗评分并查看历史；以图表呈现入科后评分与每次分值，用醒目颜色区分危重等级。内置并支持自定义多种评分系统，涵盖 GCS、RASS、CPOT、CAM-ICU、肌力、FPS、NRS、Braden、TISS、Caprini、Barthel、Padua、Autar、Morse、UEX 及跌倒坠床风险等；支持带分值/无分值/带描述/互斥/单选/多选/带图片等各类自定义模板。</w:t>
      </w:r>
    </w:p>
    <w:p w14:paraId="77B45481">
      <w:r>
        <w:rPr>
          <w:rFonts w:ascii="黑体" w:hAnsi="黑体" w:eastAsia="黑体"/>
          <w:b/>
          <w:sz w:val="24"/>
        </w:rPr>
        <w:t>评分计算与数据提取</w:t>
      </w:r>
    </w:p>
    <w:p w14:paraId="23B4D890">
      <w:r>
        <w:rPr>
          <w:rFonts w:ascii="宋体" w:hAnsi="宋体" w:eastAsia="宋体"/>
          <w:b w:val="0"/>
          <w:sz w:val="22"/>
        </w:rPr>
        <w:t>历史评分自动形成趋势图并以颜色区分危重等级；支持根据评分内容自动计算总分，并按严重程度给出提醒与护理措施推荐；支持一键提取评分所需数据并展示来源（体征产生时间、检验报告名称及时间等）。</w:t>
      </w:r>
    </w:p>
    <w:p w14:paraId="23F3FA21">
      <w:pPr>
        <w:spacing w:before="160"/>
      </w:pPr>
      <w:r>
        <w:rPr>
          <w:rFonts w:ascii="黑体" w:hAnsi="黑体" w:eastAsia="黑体"/>
          <w:b/>
          <w:sz w:val="26"/>
        </w:rPr>
        <w:t>六、交接班、公告与抢救</w:t>
      </w:r>
    </w:p>
    <w:p w14:paraId="38E105E3">
      <w:r>
        <w:rPr>
          <w:rFonts w:ascii="黑体" w:hAnsi="黑体" w:eastAsia="黑体"/>
          <w:b/>
          <w:sz w:val="24"/>
        </w:rPr>
        <w:t>护士交接班</w:t>
      </w:r>
    </w:p>
    <w:p w14:paraId="1F425DFB">
      <w:r>
        <w:rPr>
          <w:rFonts w:ascii="宋体" w:hAnsi="宋体" w:eastAsia="宋体"/>
          <w:b w:val="0"/>
          <w:sz w:val="22"/>
        </w:rPr>
        <w:t>支持结构化（ISBAR）交班，自动集成患者基本信息、体征趋势图、每小时出入量与平衡量、当日新开/停止医嘱、导管情况、检验信息等；支持手写交班小结与接班备注并可暂存确认后再交班；支持班次内交接班与历史交班信息查询。</w:t>
      </w:r>
    </w:p>
    <w:p w14:paraId="270C0493">
      <w:r>
        <w:rPr>
          <w:rFonts w:ascii="黑体" w:hAnsi="黑体" w:eastAsia="黑体"/>
          <w:b/>
          <w:sz w:val="24"/>
        </w:rPr>
        <w:t>公告栏</w:t>
      </w:r>
    </w:p>
    <w:p w14:paraId="3872F67D">
      <w:r>
        <w:rPr>
          <w:rFonts w:ascii="宋体" w:hAnsi="宋体" w:eastAsia="宋体"/>
          <w:b w:val="0"/>
          <w:sz w:val="22"/>
        </w:rPr>
        <w:t>支持发布患者重要关注事项提醒；支持信息的添加、修改、删除、排序与显隐控制。</w:t>
      </w:r>
    </w:p>
    <w:p w14:paraId="6FD84881">
      <w:r>
        <w:rPr>
          <w:rFonts w:ascii="黑体" w:hAnsi="黑体" w:eastAsia="黑体"/>
          <w:b/>
          <w:sz w:val="24"/>
        </w:rPr>
        <w:t>抢救模式</w:t>
      </w:r>
    </w:p>
    <w:p w14:paraId="64AE4874">
      <w:r>
        <w:rPr>
          <w:rFonts w:ascii="宋体" w:hAnsi="宋体" w:eastAsia="宋体"/>
          <w:b w:val="0"/>
          <w:sz w:val="22"/>
        </w:rPr>
        <w:t>支持一键进入抢救模式，自动切换为体征密集采集（可改频率）；支持抢救药物与措施快速记录；支持查看患者历史抢救记录详情。</w:t>
      </w:r>
    </w:p>
    <w:p w14:paraId="79A02B00">
      <w:r>
        <w:rPr>
          <w:rFonts w:ascii="黑体" w:hAnsi="黑体" w:eastAsia="黑体"/>
          <w:b/>
          <w:sz w:val="24"/>
        </w:rPr>
        <w:t>特护单</w:t>
      </w:r>
    </w:p>
    <w:p w14:paraId="06989D87">
      <w:r>
        <w:rPr>
          <w:rFonts w:ascii="宋体" w:hAnsi="宋体" w:eastAsia="宋体"/>
          <w:b w:val="0"/>
          <w:sz w:val="22"/>
        </w:rPr>
        <w:t>自动采集汇总护理记录（含管路评估记录，可定制）；自动采集病情变化数据并以图表直观显示 24 小时生命体征、出入量、平衡、护理操作、用药、评估、特殊事件等波动；支持多入科记录列表展示；支持特护单预览与打印。</w:t>
      </w:r>
    </w:p>
    <w:p w14:paraId="4BFC378E">
      <w:pPr>
        <w:spacing w:before="160"/>
      </w:pPr>
      <w:r>
        <w:rPr>
          <w:rFonts w:ascii="黑体" w:hAnsi="黑体" w:eastAsia="黑体"/>
          <w:b/>
          <w:sz w:val="26"/>
        </w:rPr>
        <w:t>七、病情概览与临床诊疗</w:t>
      </w:r>
    </w:p>
    <w:p w14:paraId="2C379D73">
      <w:r>
        <w:rPr>
          <w:rFonts w:ascii="黑体" w:hAnsi="黑体" w:eastAsia="黑体"/>
          <w:b/>
          <w:sz w:val="24"/>
        </w:rPr>
        <w:t>病情总览</w:t>
      </w:r>
    </w:p>
    <w:p w14:paraId="1AE1B361">
      <w:r>
        <w:rPr>
          <w:rFonts w:ascii="宋体" w:hAnsi="宋体" w:eastAsia="宋体"/>
          <w:b w:val="0"/>
          <w:sz w:val="22"/>
        </w:rPr>
        <w:t>提供循环（生命体征、体温、心率、血压、血氧等）、呼吸（潮气量、吸入氧浓度、气道峰压等）、神经（GCS、瞳孔、意识）、感染预防（VAP/CRBSI/CAUTI 发生与 DVT 预防）、血糖与消化营养、电解质酸碱平衡（血气相关离子、分压、pH 等横向对比）、血液等多系统监测数据；集成基础信息、病情记录、医嘱信息、检验信息（含危急值检索、异常/危急值高亮、单份报告与多份趋势图、跨检验单自定义趋势组合及对未出结果快速跟踪）、微生物检验、检查信息、护理记录，并支持医院 360 视图接入。</w:t>
      </w:r>
    </w:p>
    <w:p w14:paraId="19D04983">
      <w:r>
        <w:rPr>
          <w:rFonts w:ascii="黑体" w:hAnsi="黑体" w:eastAsia="黑体"/>
          <w:b/>
          <w:sz w:val="24"/>
        </w:rPr>
        <w:t>医生交接班</w:t>
      </w:r>
    </w:p>
    <w:p w14:paraId="3F20562D">
      <w:r>
        <w:rPr>
          <w:rFonts w:ascii="宋体" w:hAnsi="宋体" w:eastAsia="宋体"/>
          <w:b w:val="0"/>
          <w:sz w:val="22"/>
        </w:rPr>
        <w:t>支持医生交班流程，集成患者基本信息与体征趋势图，手写交班小结与接班备注并可暂存，生成交接班大屏。</w:t>
      </w:r>
    </w:p>
    <w:p w14:paraId="15F70DFF">
      <w:r>
        <w:rPr>
          <w:rFonts w:ascii="黑体" w:hAnsi="黑体" w:eastAsia="黑体"/>
          <w:b/>
          <w:sz w:val="24"/>
        </w:rPr>
        <w:t>临床诊疗</w:t>
      </w:r>
    </w:p>
    <w:p w14:paraId="1037CBAB">
      <w:r>
        <w:rPr>
          <w:rFonts w:ascii="宋体" w:hAnsi="宋体" w:eastAsia="宋体"/>
          <w:b w:val="0"/>
          <w:sz w:val="22"/>
        </w:rPr>
        <w:t>医疗核查：管床医生每日诊疗核查、责任护士出院/死亡核查。营养监测：展示营养计算详情，自动提取已开营养医嘱并在计算时扣除已补充营养、算出需补充热量。三管评估：自动提取护士评估的VAP/CRBSI/CAUTI 数据供医生修改并回写，评估后可审核。Sepsis bundle 闭环：为感染性休克患者启动集束化治疗，自动提取 1h/3h/6h 各项过程数据（乳酸、血培养、抗菌药、液体复苏、升压药等），提供早期预警、过程监测与达标监测，并自动同步至感染性休克 bundle 完成率质控指标；支持按科室规范动态调整监测阈值。</w:t>
      </w:r>
    </w:p>
    <w:p w14:paraId="3A7E250E">
      <w:r>
        <w:rPr>
          <w:rFonts w:ascii="黑体" w:hAnsi="黑体" w:eastAsia="黑体"/>
          <w:b/>
          <w:sz w:val="24"/>
        </w:rPr>
        <w:t>诊疗预警</w:t>
      </w:r>
    </w:p>
    <w:p w14:paraId="33C13800">
      <w:r>
        <w:rPr>
          <w:rFonts w:ascii="宋体" w:hAnsi="宋体" w:eastAsia="宋体"/>
          <w:b w:val="0"/>
          <w:sz w:val="22"/>
        </w:rPr>
        <w:t>依据评分、检验、体征、医嘱、Sepsis bundle 等多类预警知识库提供个性化提醒（含严重程度分级与频次配置）；预警后可快速定位来源，并支持所有患者历史消息回顾查询。</w:t>
      </w:r>
    </w:p>
    <w:p w14:paraId="3C53D480">
      <w:r>
        <w:rPr>
          <w:rFonts w:ascii="黑体" w:hAnsi="黑体" w:eastAsia="黑体"/>
          <w:b/>
          <w:sz w:val="24"/>
        </w:rPr>
        <w:t>诊疗规范</w:t>
      </w:r>
    </w:p>
    <w:p w14:paraId="0163C6BF">
      <w:r>
        <w:rPr>
          <w:rFonts w:ascii="宋体" w:hAnsi="宋体" w:eastAsia="宋体"/>
          <w:b w:val="0"/>
          <w:sz w:val="22"/>
        </w:rPr>
        <w:t>提供持续肾脏替代治疗（CRRT）、机械通气/无创通气、俯卧位通气、中心静脉穿刺置管、肺复张（RM）、脉搏指示持续心输出量监测（PiCCO）、主动脉内球囊反搏（IABP）、体外膜氧合（ECMO，含移动端PAD 上机 CheckList）、血浆置换、血液灌流等操作的医嘱单与监测记录单，指导并过程记录临床操作。</w:t>
      </w:r>
    </w:p>
    <w:p w14:paraId="06AA8200">
      <w:pPr>
        <w:spacing w:before="160"/>
      </w:pPr>
      <w:r>
        <w:rPr>
          <w:rFonts w:ascii="黑体" w:hAnsi="黑体" w:eastAsia="黑体"/>
          <w:b/>
          <w:sz w:val="26"/>
        </w:rPr>
        <w:t>八、移动端调阅与智能辅诊</w:t>
      </w:r>
    </w:p>
    <w:p w14:paraId="1F029660">
      <w:r>
        <w:rPr>
          <w:rFonts w:ascii="黑体" w:hAnsi="黑体" w:eastAsia="黑体"/>
          <w:b/>
          <w:sz w:val="24"/>
        </w:rPr>
        <w:t>移动端/小程序调阅</w:t>
      </w:r>
    </w:p>
    <w:p w14:paraId="14CB829B">
      <w:r>
        <w:rPr>
          <w:rFonts w:ascii="宋体" w:hAnsi="宋体" w:eastAsia="宋体"/>
          <w:b w:val="0"/>
          <w:sz w:val="22"/>
        </w:rPr>
        <w:t>支持通过移动端或小程序调阅病情概览、生命体征图、检验结果、评分结果、出入量（趋势图与数字两种显示）；查看医嘱执行详情（用药、起止时间、方式）与护理记录；对新患者、使用呼吸机、插管、有过敏史、需隔离患者高亮标识；支持血糖历史记录与走势图调阅。</w:t>
      </w:r>
    </w:p>
    <w:p w14:paraId="38AC6BAD">
      <w:r>
        <w:rPr>
          <w:rFonts w:ascii="黑体" w:hAnsi="黑体" w:eastAsia="黑体"/>
          <w:b/>
          <w:sz w:val="24"/>
        </w:rPr>
        <w:t>智能辅诊</w:t>
      </w:r>
    </w:p>
    <w:p w14:paraId="574F1842">
      <w:r>
        <w:rPr>
          <w:rFonts w:ascii="宋体" w:hAnsi="宋体" w:eastAsia="宋体"/>
          <w:b w:val="0"/>
          <w:sz w:val="22"/>
        </w:rPr>
        <w:t>文本生成：依据患者实时体征、诊断、交班记录、电子病历等信息自动生成护理与诊疗建议文本；AI 对话：在系统内直接输入医疗问题获得回答与建议；知识问答：基于知识库与模型回答医疗领域问题。</w:t>
      </w:r>
    </w:p>
    <w:p w14:paraId="7FD3F89E">
      <w:pPr>
        <w:spacing w:before="160"/>
      </w:pPr>
      <w:r>
        <w:rPr>
          <w:rFonts w:ascii="黑体" w:hAnsi="黑体" w:eastAsia="黑体"/>
          <w:b/>
          <w:sz w:val="26"/>
        </w:rPr>
        <w:t>九、知识库与统计查询</w:t>
      </w:r>
    </w:p>
    <w:p w14:paraId="78F910A6">
      <w:r>
        <w:rPr>
          <w:rFonts w:ascii="黑体" w:hAnsi="黑体" w:eastAsia="黑体"/>
          <w:b/>
          <w:sz w:val="24"/>
        </w:rPr>
        <w:t>文档管理及知识库</w:t>
      </w:r>
    </w:p>
    <w:p w14:paraId="07C58CCE">
      <w:r>
        <w:rPr>
          <w:rFonts w:ascii="宋体" w:hAnsi="宋体" w:eastAsia="宋体"/>
          <w:b w:val="0"/>
          <w:sz w:val="22"/>
        </w:rPr>
        <w:t>提供自助式学习教程（按高频问题/常用模块分类、图文结合）；支持关键词全文检索；按分类管理理论考试题库并支持自动导入与自定义表单（培训评估、操作考评、调查表等）；临床知识视频资源管理（分类课程体系、上传/编辑/撤回与观看统计）；临床知识库支持图文/视频/Word 文档上传与在线打开、目录结构调整、历史修改记录与修改前后差异横向比对。</w:t>
      </w:r>
    </w:p>
    <w:p w14:paraId="041BCB25">
      <w:r>
        <w:rPr>
          <w:rFonts w:ascii="黑体" w:hAnsi="黑体" w:eastAsia="黑体"/>
          <w:b/>
          <w:sz w:val="24"/>
        </w:rPr>
        <w:t>统计中心</w:t>
      </w:r>
    </w:p>
    <w:p w14:paraId="6FB0E250">
      <w:r>
        <w:rPr>
          <w:rFonts w:ascii="宋体" w:hAnsi="宋体" w:eastAsia="宋体"/>
          <w:b w:val="0"/>
          <w:sz w:val="22"/>
        </w:rPr>
        <w:t>日常统计（收治、入科来源、出科去向、术后转入、特殊治疗、导管使用、床位使用）；设备统计（绑定状态、患者使用、绑定历史记录含上机时长/解绑人/最后同步/报警累计）；患者出入科统计（含统计报告）；导管每日统计（胃管、鼻肠管、尿管、气管插管/切开、引流管等实时汇总）；护理敏感指标每日统计（非计划拔管率、感染率、住院约束率、压力性损伤、失禁性皮炎、跌倒坠床、糖尿病发生率等）。</w:t>
      </w:r>
    </w:p>
    <w:p w14:paraId="54C16650">
      <w:r>
        <w:rPr>
          <w:rFonts w:ascii="黑体" w:hAnsi="黑体" w:eastAsia="黑体"/>
          <w:b/>
          <w:sz w:val="24"/>
        </w:rPr>
        <w:t>数据查询与检索</w:t>
      </w:r>
    </w:p>
    <w:p w14:paraId="5FB7731D">
      <w:r>
        <w:rPr>
          <w:rFonts w:ascii="宋体" w:hAnsi="宋体" w:eastAsia="宋体"/>
          <w:b w:val="0"/>
          <w:sz w:val="22"/>
        </w:rPr>
        <w:t>支持按姓名、性别、住院号、诊断、入科/出科日期查询重症病案（含已出科与死亡患者）；可设定体征范围结合患者与时间条件定位异常/正常值条目；常用查询条件可保存为快捷方式；支持护理监测记录全文检索与结果导出。</w:t>
      </w:r>
    </w:p>
    <w:p w14:paraId="76A50607">
      <w:pPr>
        <w:spacing w:before="160"/>
      </w:pPr>
      <w:r>
        <w:rPr>
          <w:rFonts w:ascii="黑体" w:hAnsi="黑体" w:eastAsia="黑体"/>
          <w:b/>
          <w:sz w:val="26"/>
        </w:rPr>
        <w:t>十、质控管理</w:t>
      </w:r>
    </w:p>
    <w:p w14:paraId="2821EBF1">
      <w:r>
        <w:rPr>
          <w:rFonts w:ascii="黑体" w:hAnsi="黑体" w:eastAsia="黑体"/>
          <w:b/>
          <w:sz w:val="24"/>
        </w:rPr>
        <w:t>质控大屏</w:t>
      </w:r>
    </w:p>
    <w:p w14:paraId="4632D92F">
      <w:r>
        <w:rPr>
          <w:rFonts w:ascii="宋体" w:hAnsi="宋体" w:eastAsia="宋体"/>
          <w:b w:val="0"/>
          <w:sz w:val="22"/>
        </w:rPr>
        <w:t>以可视化大屏轮循展示 19 项国家质控数据并支持全屏；每项指标以柱状图展示近六个月数据，呈现结果指标及分子、分母，并自动计算环比增减比例。</w:t>
      </w:r>
    </w:p>
    <w:p w14:paraId="327CA140">
      <w:r>
        <w:rPr>
          <w:rFonts w:ascii="黑体" w:hAnsi="黑体" w:eastAsia="黑体"/>
          <w:b/>
          <w:sz w:val="24"/>
        </w:rPr>
        <w:t>19 项国家指标自动统计</w:t>
      </w:r>
    </w:p>
    <w:p w14:paraId="432CAA26">
      <w:r>
        <w:rPr>
          <w:rFonts w:ascii="宋体" w:hAnsi="宋体" w:eastAsia="宋体"/>
          <w:b w:val="0"/>
          <w:sz w:val="22"/>
        </w:rPr>
        <w:t>自动统计覆盖 ICU 床位使用率、医师/护士床位比、APACHEⅡ≥15 分患者收治率、感染性休克 bundle（1h/3h/6h）完成率、抗菌药物治疗前病原学送检率、DVT 预防率、中重度 ARDS 俯卧位通气实施率、镇痛/镇静评估率、标化病死指数（SMR）、非计划气管插管拔管率、拔管后 48h 内再插管率、非计划转入 ICU 率、转出 48h 内重返率、VAP 发病率、CRBSI 发病率、急性脑损伤意识评估率、48h 肠内营养启动率等。支持按病区/月份查询与半年趋势图、查阅公式与政策解读、三级数据下钻溯源分子分母明细、人工纳排及 Excel 导出总览与明细。</w:t>
      </w:r>
    </w:p>
    <w:p w14:paraId="371F4F07">
      <w:pPr>
        <w:spacing w:before="160"/>
      </w:pPr>
      <w:r>
        <w:rPr>
          <w:rFonts w:ascii="黑体" w:hAnsi="黑体" w:eastAsia="黑体"/>
          <w:b/>
          <w:sz w:val="26"/>
        </w:rPr>
        <w:t>十一、系统集成与设备接入</w:t>
      </w:r>
    </w:p>
    <w:p w14:paraId="6A2816DE">
      <w:r>
        <w:rPr>
          <w:rFonts w:ascii="黑体" w:hAnsi="黑体" w:eastAsia="黑体"/>
          <w:b/>
          <w:sz w:val="24"/>
        </w:rPr>
        <w:t>外部系统集成</w:t>
      </w:r>
    </w:p>
    <w:p w14:paraId="10037830">
      <w:r>
        <w:rPr>
          <w:rFonts w:ascii="宋体" w:hAnsi="宋体" w:eastAsia="宋体"/>
          <w:b w:val="0"/>
          <w:sz w:val="22"/>
        </w:rPr>
        <w:t>支持视图、WebService、存储过程、HL7 等多种集成方式实现数据互联互通；与 HIS（科室分区、患者/工作人员/床位/在院/医嘱信息）、LIS/PACS/RIS（检查检验结果与过程数据、报告调取）、EMR（诊断、病程、出入院、医嘱执行）等集成；支持向医院信息系统完整发送统一浏览记录（生命体征、出入量、护理评估、体温单等）；支持单点登录、CA 签名无纸化对接；支持与医院科研平台、专病数据库等系统对接。</w:t>
      </w:r>
    </w:p>
    <w:p w14:paraId="332EF7BE">
      <w:r>
        <w:rPr>
          <w:rFonts w:ascii="黑体" w:hAnsi="黑体" w:eastAsia="黑体"/>
          <w:b/>
          <w:sz w:val="24"/>
        </w:rPr>
        <w:t>床旁设备集成</w:t>
      </w:r>
    </w:p>
    <w:p w14:paraId="61DC7246">
      <w:r>
        <w:rPr>
          <w:rFonts w:ascii="宋体" w:hAnsi="宋体" w:eastAsia="宋体"/>
          <w:b w:val="0"/>
          <w:sz w:val="22"/>
        </w:rPr>
        <w:t>基于标准协议自动采集监护仪、呼吸机、输液泵工作站、PICCO、血滤机、血气分析仪、ECMO 等重症监护设备数据并写入护理记录单；支持预警算法与自定义采集频率、正常值及告警值，对异常数据预警；实时采集 CRRT 净化数据（前稀置换液、透析液、废液等）并完成标准格式融合转换；提供设备使用统计（时长、使用率）与绑定全流程记录；沿用医院既有网络与数据中心环境完成采集与存储；适配中央站组网、有线单机、有线自组网、无线单机等多种接入场景；移动采集采用数据采集盒套件（含采集转换器与线材），确保监护数据自动采集。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781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4837</Words>
  <Characters>5099</Characters>
  <Lines>0</Lines>
  <Paragraphs>0</Paragraphs>
  <TotalTime>0</TotalTime>
  <ScaleCrop>false</ScaleCrop>
  <LinksUpToDate>false</LinksUpToDate>
  <CharactersWithSpaces>5174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周暖青</cp:lastModifiedBy>
  <dcterms:modified xsi:type="dcterms:W3CDTF">2026-08-07T03:14:51Z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eyJoZGlkIjoiZDkyZDQ0YWRiYWM5YzVjNThkZjQ3ZWRjMzU5NmUyZGIiLCJ1c2VySWQiOiIxNzg1ODI5NjQyIn0=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6E3D2C9ADE9F415FB1A959149A6DE1BA_12</vt:lpwstr>
  </property>
</Properties>
</file>